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40"/>
        <w:jc w:val="center"/>
      </w:pPr>
      <w:r>
        <w:rPr>
          <w:rFonts w:hint="eastAsia" w:ascii="微软雅黑" w:hAnsi="微软雅黑" w:eastAsia="微软雅黑" w:cs="微软雅黑"/>
          <w:b/>
          <w:bCs/>
          <w:color w:val="0F4C81"/>
          <w:sz w:val="32"/>
          <w:szCs w:val="32"/>
        </w:rPr>
        <w:t>会议纪要</w:t>
      </w:r>
    </w:p>
    <w:p w14:paraId="00000003">
      <w:pPr>
        <w:spacing w:after="40"/>
        <w:jc w:val="center"/>
      </w:pPr>
      <w:r>
        <w:rPr>
          <w:rFonts w:hint="eastAsia" w:cs="微软雅黑"/>
          <w:color w:val="404040"/>
          <w:sz w:val="24"/>
          <w:szCs w:val="24"/>
          <w:lang w:val="en-US" w:eastAsia="zh-CN"/>
        </w:rPr>
        <w:t>会议主题：创迪</w:t>
      </w:r>
      <w:r>
        <w:rPr>
          <w:rFonts w:hint="eastAsia" w:ascii="微软雅黑" w:hAnsi="微软雅黑" w:eastAsia="微软雅黑" w:cs="微软雅黑"/>
          <w:color w:val="404040"/>
          <w:sz w:val="24"/>
          <w:szCs w:val="24"/>
        </w:rPr>
        <w:t>AI 报价解决方案需求沟通</w:t>
      </w:r>
      <w:bookmarkStart w:id="0" w:name="_GoBack"/>
      <w:bookmarkEnd w:id="0"/>
    </w:p>
    <w:tbl>
      <w:tblPr>
        <w:tblStyle w:val="21"/>
        <w:tblW w:w="5000" w:type="pct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550"/>
        <w:gridCol w:w="2003"/>
        <w:gridCol w:w="2550"/>
      </w:tblGrid>
      <w:tr w14:paraId="19FE893B">
        <w:trPr>
          <w:tblHeader/>
        </w:trPr>
        <w:tc>
          <w:tcPr>
            <w:tcW w:w="1100" w:type="pct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04">
            <w:pPr>
              <w:spacing w:before="0" w:after="0" w:line="300" w:lineRule="auto"/>
              <w:jc w:val="left"/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F4C81"/>
                <w:sz w:val="20"/>
                <w:szCs w:val="20"/>
              </w:rPr>
              <w:t>项目</w:t>
            </w:r>
          </w:p>
        </w:tc>
        <w:tc>
          <w:tcPr>
            <w:tcW w:w="1400" w:type="pct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05">
            <w:pPr>
              <w:spacing w:before="0" w:after="0" w:line="300" w:lineRule="auto"/>
              <w:jc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F4C81"/>
                <w:sz w:val="20"/>
                <w:szCs w:val="20"/>
              </w:rPr>
              <w:t>内容</w:t>
            </w:r>
          </w:p>
        </w:tc>
        <w:tc>
          <w:tcPr>
            <w:tcW w:w="1100" w:type="pct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06">
            <w:pPr>
              <w:spacing w:before="0" w:after="0" w:line="300" w:lineRule="auto"/>
              <w:jc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F4C81"/>
                <w:sz w:val="20"/>
                <w:szCs w:val="20"/>
              </w:rPr>
              <w:t>项目</w:t>
            </w:r>
          </w:p>
        </w:tc>
        <w:tc>
          <w:tcPr>
            <w:tcW w:w="1400" w:type="pct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07">
            <w:pPr>
              <w:spacing w:before="0" w:after="0" w:line="300" w:lineRule="auto"/>
              <w:jc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F4C81"/>
                <w:sz w:val="20"/>
                <w:szCs w:val="20"/>
              </w:rPr>
              <w:t>内容</w:t>
            </w:r>
          </w:p>
        </w:tc>
      </w:tr>
      <w:tr w14:paraId="2CFBBB21"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08">
            <w:pPr>
              <w:spacing w:before="0" w:after="0" w:line="300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会议时间</w:t>
            </w:r>
          </w:p>
        </w:tc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09">
            <w:pPr>
              <w:spacing w:before="0" w:after="0" w:line="300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2026 年 10 月 28 日 13:30 — 14:03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0A">
            <w:pPr>
              <w:spacing w:before="0" w:after="0" w:line="300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会议时长</w:t>
            </w:r>
          </w:p>
        </w:tc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0B">
            <w:pPr>
              <w:spacing w:before="0" w:after="0" w:line="300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约 33 分钟</w:t>
            </w:r>
          </w:p>
        </w:tc>
      </w:tr>
      <w:tr w14:paraId="41E1DD0B"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0C">
            <w:pPr>
              <w:spacing w:before="0" w:after="0" w:line="300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会议号</w:t>
            </w:r>
          </w:p>
        </w:tc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0D">
            <w:pPr>
              <w:spacing w:before="0" w:after="0" w:line="30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930392924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0E">
            <w:pPr>
              <w:spacing w:before="0" w:after="0" w:line="300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会议形式</w:t>
            </w:r>
          </w:p>
        </w:tc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0F">
            <w:pPr>
              <w:spacing w:before="0" w:after="0" w:line="300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线上会议（腾讯会议）</w:t>
            </w:r>
          </w:p>
        </w:tc>
      </w:tr>
      <w:tr w14:paraId="69BB2AFE"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0">
            <w:pPr>
              <w:spacing w:before="0" w:after="0" w:line="300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记录方</w:t>
            </w:r>
          </w:p>
        </w:tc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1">
            <w:pPr>
              <w:spacing w:before="0" w:after="0" w:line="300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涤生咨询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2">
            <w:pPr>
              <w:spacing w:before="0" w:after="0" w:line="300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纪要日期</w:t>
            </w:r>
          </w:p>
        </w:tc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3">
            <w:pPr>
              <w:spacing w:before="0" w:after="0" w:line="300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2026 年 10 月 28 日</w:t>
            </w:r>
          </w:p>
        </w:tc>
      </w:tr>
    </w:tbl>
    <w:p w14:paraId="00000014">
      <w:pPr>
        <w:spacing w:before="280" w:after="120"/>
      </w:pPr>
      <w:r>
        <w:rPr>
          <w:rFonts w:hint="eastAsia" w:ascii="微软雅黑" w:hAnsi="微软雅黑" w:eastAsia="微软雅黑" w:cs="微软雅黑"/>
          <w:b/>
          <w:bCs/>
          <w:color w:val="0F4C81"/>
          <w:sz w:val="24"/>
          <w:szCs w:val="24"/>
        </w:rPr>
        <w:t>参会人员</w:t>
      </w:r>
    </w:p>
    <w:tbl>
      <w:tblPr>
        <w:tblStyle w:val="21"/>
        <w:tblW w:w="5000" w:type="pct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9"/>
        <w:gridCol w:w="2732"/>
        <w:gridCol w:w="4735"/>
      </w:tblGrid>
      <w:tr w14:paraId="29A51693">
        <w:trPr>
          <w:tblHeader/>
        </w:trPr>
        <w:tc>
          <w:tcPr>
            <w:tcW w:w="900" w:type="pct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5">
            <w:pPr>
              <w:spacing w:before="0" w:after="0" w:line="300" w:lineRule="auto"/>
              <w:jc w:val="left"/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F4C81"/>
                <w:sz w:val="20"/>
                <w:szCs w:val="20"/>
              </w:rPr>
              <w:t>序号</w:t>
            </w:r>
          </w:p>
        </w:tc>
        <w:tc>
          <w:tcPr>
            <w:tcW w:w="1500" w:type="pct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6">
            <w:pPr>
              <w:spacing w:before="0" w:after="0" w:line="300" w:lineRule="auto"/>
              <w:jc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F4C81"/>
                <w:sz w:val="20"/>
                <w:szCs w:val="20"/>
              </w:rPr>
              <w:t>姓名</w:t>
            </w:r>
          </w:p>
        </w:tc>
        <w:tc>
          <w:tcPr>
            <w:tcW w:w="2600" w:type="pct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7">
            <w:pPr>
              <w:spacing w:before="0" w:after="0" w:line="300" w:lineRule="auto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公司</w:t>
            </w:r>
          </w:p>
        </w:tc>
      </w:tr>
      <w:tr w14:paraId="6D84E7F8"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8">
            <w:pPr>
              <w:spacing w:before="0" w:after="0" w:line="30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1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9">
            <w:pPr>
              <w:spacing w:before="0" w:after="0" w:line="300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陈 伟</w:t>
            </w:r>
          </w:p>
        </w:tc>
        <w:tc>
          <w:tcPr>
            <w:tcW w:w="2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A">
            <w:pPr>
              <w:spacing w:before="0" w:after="0" w:line="30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创迪</w:t>
            </w:r>
          </w:p>
        </w:tc>
      </w:tr>
      <w:tr w14:paraId="3D64CEC9"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B">
            <w:pPr>
              <w:spacing w:before="0" w:after="0" w:line="30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2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C">
            <w:pPr>
              <w:spacing w:before="0" w:after="0" w:line="300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万 芳</w:t>
            </w:r>
          </w:p>
        </w:tc>
        <w:tc>
          <w:tcPr>
            <w:tcW w:w="2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D">
            <w:pPr>
              <w:spacing w:before="0" w:after="0" w:line="300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创迪</w:t>
            </w:r>
          </w:p>
        </w:tc>
      </w:tr>
      <w:tr w14:paraId="34A265E0"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E">
            <w:pPr>
              <w:spacing w:before="0" w:after="0" w:line="30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3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F">
            <w:pPr>
              <w:spacing w:before="0" w:after="0" w:line="300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潘有富</w:t>
            </w:r>
          </w:p>
        </w:tc>
        <w:tc>
          <w:tcPr>
            <w:tcW w:w="2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20">
            <w:pPr>
              <w:spacing w:before="0" w:after="0" w:line="30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涤生咨询CTO</w:t>
            </w:r>
          </w:p>
        </w:tc>
      </w:tr>
      <w:tr w14:paraId="2673A1BF"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21">
            <w:pPr>
              <w:spacing w:before="0" w:after="0" w:line="30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4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22">
            <w:pPr>
              <w:spacing w:before="0" w:after="0" w:line="300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杨 贺</w:t>
            </w:r>
          </w:p>
        </w:tc>
        <w:tc>
          <w:tcPr>
            <w:tcW w:w="2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23">
            <w:pPr>
              <w:spacing w:before="0" w:after="0" w:line="300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涤生咨询</w:t>
            </w:r>
            <w:r>
              <w:rPr>
                <w:rFonts w:hint="eastAsia" w:cs="微软雅黑"/>
                <w:b w:val="0"/>
                <w:bCs w:val="0"/>
                <w:color w:val="1A1A1A"/>
                <w:sz w:val="20"/>
                <w:szCs w:val="20"/>
                <w:lang w:val="en-US" w:eastAsia="zh-CN"/>
              </w:rPr>
              <w:t>专家</w:t>
            </w:r>
          </w:p>
        </w:tc>
      </w:tr>
    </w:tbl>
    <w:p w14:paraId="00000024">
      <w:pPr>
        <w:spacing w:before="280" w:after="120"/>
      </w:pPr>
      <w:r>
        <w:rPr>
          <w:rFonts w:hint="eastAsia" w:ascii="微软雅黑" w:hAnsi="微软雅黑" w:eastAsia="微软雅黑" w:cs="微软雅黑"/>
          <w:b/>
          <w:bCs/>
          <w:color w:val="0F4C81"/>
          <w:sz w:val="24"/>
          <w:szCs w:val="24"/>
        </w:rPr>
        <w:t>一、会议目的</w:t>
      </w:r>
    </w:p>
    <w:p w14:paraId="00000025">
      <w:pPr>
        <w:spacing w:before="60" w:after="60" w:line="320" w:lineRule="auto"/>
      </w:pPr>
      <w:r>
        <w:rPr>
          <w:rFonts w:hint="eastAsia" w:ascii="微软雅黑" w:hAnsi="微软雅黑" w:eastAsia="微软雅黑" w:cs="微软雅黑"/>
          <w:b w:val="0"/>
          <w:bCs w:val="0"/>
          <w:color w:val="1A1A1A"/>
          <w:sz w:val="21"/>
          <w:szCs w:val="21"/>
        </w:rPr>
        <w:t>围绕高速公路 LED 显示屏（门架情报板等）复杂报价与成本核算场景，梳理当前人工核算的业务流程与痛点，评估 AI 技术在该场景下的落地可行性与应用边界，并明确下一阶段的测试数据准备与推进计划。</w:t>
      </w:r>
    </w:p>
    <w:p w14:paraId="00000026">
      <w:pPr>
        <w:spacing w:before="280" w:after="120"/>
      </w:pPr>
      <w:r>
        <w:rPr>
          <w:rFonts w:hint="eastAsia" w:ascii="微软雅黑" w:hAnsi="微软雅黑" w:eastAsia="微软雅黑" w:cs="微软雅黑"/>
          <w:b/>
          <w:bCs/>
          <w:color w:val="0F4C81"/>
          <w:sz w:val="24"/>
          <w:szCs w:val="24"/>
        </w:rPr>
        <w:t>二、业务现状与痛点（业务方介绍）</w:t>
      </w:r>
    </w:p>
    <w:p w14:paraId="00000027">
      <w:pPr>
        <w:spacing w:before="120" w:after="40" w:line="320" w:lineRule="auto"/>
      </w:pPr>
      <w:r>
        <w:rPr>
          <w:rFonts w:hint="eastAsia" w:ascii="微软雅黑" w:hAnsi="微软雅黑" w:eastAsia="微软雅黑" w:cs="微软雅黑"/>
          <w:b/>
          <w:bCs/>
          <w:color w:val="1A1A1A"/>
          <w:sz w:val="21"/>
          <w:szCs w:val="21"/>
        </w:rPr>
        <w:t>1. 产品组合与参数极其复杂</w:t>
      </w:r>
    </w:p>
    <w:p w14:paraId="00000028">
      <w:pPr>
        <w:spacing w:before="40" w:after="40" w:line="320" w:lineRule="auto"/>
        <w:ind w:left="320" w:hanging="160"/>
      </w:pPr>
      <w:r>
        <w:rPr>
          <w:rFonts w:hint="eastAsia" w:ascii="微软雅黑" w:hAnsi="微软雅黑" w:eastAsia="微软雅黑" w:cs="微软雅黑"/>
          <w:color w:val="1A1A1A"/>
          <w:sz w:val="21"/>
          <w:szCs w:val="21"/>
        </w:rPr>
        <w:t>· 定制化占比高：常规产品相对标准，大型项目定制化比例可达 70%—80%。</w:t>
      </w:r>
    </w:p>
    <w:p w14:paraId="00000029">
      <w:pPr>
        <w:spacing w:before="40" w:after="40" w:line="320" w:lineRule="auto"/>
        <w:ind w:left="320" w:hanging="160"/>
      </w:pPr>
      <w:r>
        <w:rPr>
          <w:rFonts w:hint="eastAsia" w:ascii="微软雅黑" w:hAnsi="微软雅黑" w:eastAsia="微软雅黑" w:cs="微软雅黑"/>
          <w:color w:val="1A1A1A"/>
          <w:sz w:val="21"/>
          <w:szCs w:val="21"/>
        </w:rPr>
        <w:t>· 参数组合庞大：以门架情报板为例，仅点间距就有十余种规格，叠加不同尺寸、安装方式后组合数量巨大。</w:t>
      </w:r>
    </w:p>
    <w:p w14:paraId="0000002A">
      <w:pPr>
        <w:spacing w:before="40" w:after="40" w:line="320" w:lineRule="auto"/>
        <w:ind w:left="320" w:hanging="160"/>
      </w:pPr>
      <w:r>
        <w:rPr>
          <w:rFonts w:hint="eastAsia" w:ascii="微软雅黑" w:hAnsi="微软雅黑" w:eastAsia="微软雅黑" w:cs="微软雅黑"/>
          <w:color w:val="1A1A1A"/>
          <w:sz w:val="21"/>
          <w:szCs w:val="21"/>
        </w:rPr>
        <w:t>· 物料种类繁多：组装一块屏需组合上百至上千个模组编码，并涉及箱体、电源、网线、接收卡等多种辅料。</w:t>
      </w:r>
    </w:p>
    <w:p w14:paraId="0000002B">
      <w:pPr>
        <w:spacing w:before="160" w:after="40" w:line="320" w:lineRule="auto"/>
      </w:pPr>
      <w:r>
        <w:rPr>
          <w:rFonts w:hint="eastAsia" w:ascii="微软雅黑" w:hAnsi="微软雅黑" w:eastAsia="微软雅黑" w:cs="微软雅黑"/>
          <w:b/>
          <w:bCs/>
          <w:color w:val="1A1A1A"/>
          <w:sz w:val="21"/>
          <w:szCs w:val="21"/>
        </w:rPr>
        <w:t>2. 人工核算效率低、依赖经验</w:t>
      </w:r>
    </w:p>
    <w:p w14:paraId="0000002C">
      <w:pPr>
        <w:spacing w:before="40" w:after="40" w:line="320" w:lineRule="auto"/>
        <w:ind w:left="320" w:hanging="160"/>
      </w:pPr>
      <w:r>
        <w:rPr>
          <w:rFonts w:hint="eastAsia" w:ascii="微软雅黑" w:hAnsi="微软雅黑" w:eastAsia="微软雅黑" w:cs="微软雅黑"/>
          <w:color w:val="1A1A1A"/>
          <w:sz w:val="21"/>
          <w:szCs w:val="21"/>
        </w:rPr>
        <w:t>· 目前主要依靠 Excel 表格人工联动计算，缺乏系统支撑，高度依赖个人经验。</w:t>
      </w:r>
    </w:p>
    <w:p w14:paraId="0000002D">
      <w:pPr>
        <w:spacing w:before="40" w:after="40" w:line="320" w:lineRule="auto"/>
        <w:ind w:left="320" w:hanging="160"/>
      </w:pPr>
      <w:r>
        <w:rPr>
          <w:rFonts w:hint="eastAsia" w:ascii="微软雅黑" w:hAnsi="微软雅黑" w:eastAsia="微软雅黑" w:cs="微软雅黑"/>
          <w:color w:val="1A1A1A"/>
          <w:sz w:val="21"/>
          <w:szCs w:val="21"/>
        </w:rPr>
        <w:t>· 面对设计院提供的复杂清单，完成一份报价表的参数解读、成本计算与核对通常需 3—4 小时。</w:t>
      </w:r>
    </w:p>
    <w:p w14:paraId="0000002E">
      <w:pPr>
        <w:spacing w:before="40" w:after="40" w:line="320" w:lineRule="auto"/>
        <w:ind w:left="320" w:hanging="160"/>
      </w:pPr>
      <w:r>
        <w:rPr>
          <w:rFonts w:hint="eastAsia" w:ascii="微软雅黑" w:hAnsi="微软雅黑" w:eastAsia="微软雅黑" w:cs="微软雅黑"/>
          <w:color w:val="1A1A1A"/>
          <w:sz w:val="21"/>
          <w:szCs w:val="21"/>
        </w:rPr>
        <w:t>· 主推物料价格受市场影响波动频繁，需定期人工更新表格数据以保障成本准确性。</w:t>
      </w:r>
    </w:p>
    <w:p w14:paraId="0000002F">
      <w:pPr>
        <w:spacing w:before="160" w:after="40" w:line="320" w:lineRule="auto"/>
      </w:pPr>
      <w:r>
        <w:rPr>
          <w:rFonts w:hint="eastAsia" w:ascii="微软雅黑" w:hAnsi="微软雅黑" w:eastAsia="微软雅黑" w:cs="微软雅黑"/>
          <w:b/>
          <w:bCs/>
          <w:color w:val="1A1A1A"/>
          <w:sz w:val="21"/>
          <w:szCs w:val="21"/>
        </w:rPr>
        <w:t>3. 数据源不统一、协同困难</w:t>
      </w:r>
    </w:p>
    <w:p w14:paraId="00000030">
      <w:pPr>
        <w:spacing w:before="40" w:after="40" w:line="320" w:lineRule="auto"/>
        <w:ind w:left="320" w:hanging="160"/>
      </w:pPr>
      <w:r>
        <w:rPr>
          <w:rFonts w:hint="eastAsia" w:ascii="微软雅黑" w:hAnsi="微软雅黑" w:eastAsia="微软雅黑" w:cs="微软雅黑"/>
          <w:color w:val="1A1A1A"/>
          <w:sz w:val="21"/>
          <w:szCs w:val="21"/>
        </w:rPr>
        <w:t>· 设计院提供的招标清单多为 Word 文档，参数表述不统一，需人工反复解读与沟通确认。</w:t>
      </w:r>
    </w:p>
    <w:p w14:paraId="00000031">
      <w:pPr>
        <w:spacing w:before="40" w:after="40" w:line="320" w:lineRule="auto"/>
        <w:ind w:left="320" w:hanging="160"/>
      </w:pPr>
      <w:r>
        <w:rPr>
          <w:rFonts w:hint="eastAsia" w:ascii="微软雅黑" w:hAnsi="微软雅黑" w:eastAsia="微软雅黑" w:cs="微软雅黑"/>
          <w:color w:val="1A1A1A"/>
          <w:sz w:val="21"/>
          <w:szCs w:val="21"/>
        </w:rPr>
        <w:t>· 出于数据安全考虑，核心成本核算表格仅在本地流转，未实现线上多人实时协同维护。</w:t>
      </w:r>
    </w:p>
    <w:p w14:paraId="00000032">
      <w:pPr>
        <w:spacing w:before="280" w:after="120"/>
      </w:pPr>
      <w:r>
        <w:rPr>
          <w:rFonts w:hint="eastAsia" w:ascii="微软雅黑" w:hAnsi="微软雅黑" w:eastAsia="微软雅黑" w:cs="微软雅黑"/>
          <w:b/>
          <w:bCs/>
          <w:color w:val="0F4C81"/>
          <w:sz w:val="24"/>
          <w:szCs w:val="24"/>
        </w:rPr>
        <w:t>三、AI 落地方案讨论要点</w:t>
      </w:r>
    </w:p>
    <w:p w14:paraId="00000033">
      <w:pPr>
        <w:spacing w:before="120" w:after="40" w:line="320" w:lineRule="auto"/>
      </w:pPr>
      <w:r>
        <w:rPr>
          <w:rFonts w:hint="eastAsia" w:ascii="微软雅黑" w:hAnsi="微软雅黑" w:eastAsia="微软雅黑" w:cs="微软雅黑"/>
          <w:b/>
          <w:bCs/>
          <w:color w:val="1A1A1A"/>
          <w:sz w:val="21"/>
          <w:szCs w:val="21"/>
        </w:rPr>
        <w:t>1. 数据安全与边界（首要前提）</w:t>
      </w:r>
    </w:p>
    <w:p w14:paraId="00000034">
      <w:pPr>
        <w:spacing w:before="40" w:after="40" w:line="320" w:lineRule="auto"/>
        <w:ind w:left="320" w:hanging="160"/>
      </w:pPr>
      <w:r>
        <w:rPr>
          <w:rFonts w:hint="eastAsia" w:ascii="微软雅黑" w:hAnsi="微软雅黑" w:eastAsia="微软雅黑" w:cs="微软雅黑"/>
          <w:color w:val="1A1A1A"/>
          <w:sz w:val="21"/>
          <w:szCs w:val="21"/>
        </w:rPr>
        <w:t>· 成本核算及供应商信息属企业核心机密，严禁上传至云端或外部系统。</w:t>
      </w:r>
    </w:p>
    <w:p w14:paraId="00000035">
      <w:pPr>
        <w:spacing w:before="40" w:after="40" w:line="320" w:lineRule="auto"/>
        <w:ind w:left="320" w:hanging="160"/>
      </w:pPr>
      <w:r>
        <w:rPr>
          <w:rFonts w:hint="eastAsia" w:ascii="微软雅黑" w:hAnsi="微软雅黑" w:eastAsia="微软雅黑" w:cs="微软雅黑"/>
          <w:color w:val="1A1A1A"/>
          <w:sz w:val="21"/>
          <w:szCs w:val="21"/>
        </w:rPr>
        <w:t>· 后续测试阶段，业务方将提供脱敏后的历史数据，仅保留物料规格等基础参数。</w:t>
      </w:r>
    </w:p>
    <w:p w14:paraId="00000036">
      <w:pPr>
        <w:spacing w:before="160" w:after="40" w:line="320" w:lineRule="auto"/>
      </w:pPr>
      <w:r>
        <w:rPr>
          <w:rFonts w:hint="eastAsia" w:ascii="微软雅黑" w:hAnsi="微软雅黑" w:eastAsia="微软雅黑" w:cs="微软雅黑"/>
          <w:b/>
          <w:bCs/>
          <w:color w:val="1A1A1A"/>
          <w:sz w:val="21"/>
          <w:szCs w:val="21"/>
        </w:rPr>
        <w:t>2. AI 实现思路（初步技术路线，供下一步细化确认）</w:t>
      </w:r>
    </w:p>
    <w:p w14:paraId="00000037">
      <w:pPr>
        <w:spacing w:before="40" w:after="40" w:line="320" w:lineRule="auto"/>
        <w:ind w:left="320" w:hanging="160"/>
      </w:pPr>
      <w:r>
        <w:rPr>
          <w:rFonts w:hint="eastAsia" w:ascii="微软雅黑" w:hAnsi="微软雅黑" w:eastAsia="微软雅黑" w:cs="微软雅黑"/>
          <w:color w:val="1A1A1A"/>
          <w:sz w:val="21"/>
          <w:szCs w:val="21"/>
        </w:rPr>
        <w:t>· 清单解析与参数归一：由 AI 完成非结构化清单（Word/PDF）向结构化参数的转换，解决表述不统一问题。</w:t>
      </w:r>
    </w:p>
    <w:p w14:paraId="00000038">
      <w:pPr>
        <w:spacing w:before="40" w:after="40" w:line="320" w:lineRule="auto"/>
        <w:ind w:left="320" w:hanging="160"/>
      </w:pPr>
      <w:r>
        <w:rPr>
          <w:rFonts w:hint="eastAsia" w:ascii="微软雅黑" w:hAnsi="微软雅黑" w:eastAsia="微软雅黑" w:cs="微软雅黑"/>
          <w:color w:val="1A1A1A"/>
          <w:sz w:val="21"/>
          <w:szCs w:val="21"/>
        </w:rPr>
        <w:t>· 选型与 BOM 展开、成本计算：由确定性规则引擎与本地价格库完成，确保结果可校验、可追溯。</w:t>
      </w:r>
    </w:p>
    <w:p w14:paraId="00000039">
      <w:pPr>
        <w:spacing w:before="40" w:after="40" w:line="320" w:lineRule="auto"/>
        <w:ind w:left="320" w:hanging="160"/>
      </w:pPr>
      <w:r>
        <w:rPr>
          <w:rFonts w:hint="eastAsia" w:ascii="微软雅黑" w:hAnsi="微软雅黑" w:eastAsia="微软雅黑" w:cs="微软雅黑"/>
          <w:color w:val="1A1A1A"/>
          <w:sz w:val="21"/>
          <w:szCs w:val="21"/>
        </w:rPr>
        <w:t>· 置信度自检与人工复核：AI 对每一条结果给出置信度并标记可疑项，业务人员只需复核少量异常点。</w:t>
      </w:r>
    </w:p>
    <w:p w14:paraId="0000003A">
      <w:pPr>
        <w:spacing w:before="40" w:after="40" w:line="320" w:lineRule="auto"/>
        <w:ind w:left="320" w:hanging="160"/>
      </w:pPr>
      <w:r>
        <w:rPr>
          <w:rFonts w:hint="eastAsia" w:ascii="微软雅黑" w:hAnsi="微软雅黑" w:eastAsia="微软雅黑" w:cs="微软雅黑"/>
          <w:color w:val="1A1A1A"/>
          <w:sz w:val="21"/>
          <w:szCs w:val="21"/>
        </w:rPr>
        <w:t>· 修正沉淀：人工每次修正自动沉淀为规则与样本，使系统准确率随使用持续提升。</w:t>
      </w:r>
    </w:p>
    <w:p w14:paraId="0000003B">
      <w:pPr>
        <w:spacing w:before="160" w:after="40" w:line="320" w:lineRule="auto"/>
      </w:pPr>
      <w:r>
        <w:rPr>
          <w:rFonts w:hint="eastAsia" w:ascii="微软雅黑" w:hAnsi="微软雅黑" w:eastAsia="微软雅黑" w:cs="微软雅黑"/>
          <w:b/>
          <w:bCs/>
          <w:color w:val="1A1A1A"/>
          <w:sz w:val="21"/>
          <w:szCs w:val="21"/>
        </w:rPr>
        <w:t>3. 准确率与验收口径</w:t>
      </w:r>
    </w:p>
    <w:p w14:paraId="0000003C">
      <w:pPr>
        <w:spacing w:before="40" w:after="40" w:line="320" w:lineRule="auto"/>
        <w:ind w:left="320" w:hanging="160"/>
      </w:pPr>
      <w:r>
        <w:rPr>
          <w:rFonts w:hint="eastAsia" w:ascii="微软雅黑" w:hAnsi="微软雅黑" w:eastAsia="微软雅黑" w:cs="微软雅黑"/>
          <w:color w:val="1A1A1A"/>
          <w:sz w:val="21"/>
          <w:szCs w:val="21"/>
        </w:rPr>
        <w:t>· 业务方曾尝试用 AI 直接生成报表，受产品种类复杂度影响，准确率约 70%—80%，仍需大量人工修正。</w:t>
      </w:r>
    </w:p>
    <w:p w14:paraId="0000003D">
      <w:pPr>
        <w:spacing w:before="40" w:after="40" w:line="320" w:lineRule="auto"/>
        <w:ind w:left="320" w:hanging="160"/>
      </w:pPr>
      <w:r>
        <w:rPr>
          <w:rFonts w:hint="eastAsia" w:ascii="微软雅黑" w:hAnsi="微软雅黑" w:eastAsia="微软雅黑" w:cs="微软雅黑"/>
          <w:color w:val="1A1A1A"/>
          <w:sz w:val="21"/>
          <w:szCs w:val="21"/>
        </w:rPr>
        <w:t>· 业务方期望：优先实现全自动精准核算；若无法完全替代，则要求 AI 能精准定位需人工复核的少数异常点。</w:t>
      </w:r>
    </w:p>
    <w:p w14:paraId="0000003E">
      <w:pPr>
        <w:spacing w:before="40" w:after="40" w:line="320" w:lineRule="auto"/>
        <w:ind w:left="320" w:hanging="160"/>
      </w:pPr>
      <w:r>
        <w:rPr>
          <w:rFonts w:hint="eastAsia" w:ascii="微软雅黑" w:hAnsi="微软雅黑" w:eastAsia="微软雅黑" w:cs="微软雅黑"/>
          <w:color w:val="1A1A1A"/>
          <w:sz w:val="21"/>
          <w:szCs w:val="21"/>
        </w:rPr>
        <w:t>· 双方共识：验收口径将分层设定（参数抽取、型号匹配、BOM 完整性、金额计算），并以单表处理工时的下降幅度作为主要衡量指标。</w:t>
      </w:r>
    </w:p>
    <w:p w14:paraId="0000003F">
      <w:pPr>
        <w:spacing w:before="280" w:after="120"/>
      </w:pPr>
      <w:r>
        <w:rPr>
          <w:rFonts w:hint="eastAsia" w:ascii="微软雅黑" w:hAnsi="微软雅黑" w:eastAsia="微软雅黑" w:cs="微软雅黑"/>
          <w:b/>
          <w:bCs/>
          <w:color w:val="0F4C81"/>
          <w:sz w:val="24"/>
          <w:szCs w:val="24"/>
        </w:rPr>
        <w:t>四、会议共识</w:t>
      </w:r>
    </w:p>
    <w:p w14:paraId="00000040">
      <w:pPr>
        <w:spacing w:before="40" w:after="40" w:line="320" w:lineRule="auto"/>
        <w:ind w:left="320" w:hanging="160"/>
      </w:pPr>
      <w:r>
        <w:rPr>
          <w:rFonts w:hint="eastAsia" w:ascii="微软雅黑" w:hAnsi="微软雅黑" w:eastAsia="微软雅黑" w:cs="微软雅黑"/>
          <w:color w:val="1A1A1A"/>
          <w:sz w:val="21"/>
          <w:szCs w:val="21"/>
        </w:rPr>
        <w:t>· 本场景具备明确的 AI 应用价值，核心目标为「缩短单表处理时间 + 降低对个人经验的依赖」。</w:t>
      </w:r>
    </w:p>
    <w:p w14:paraId="00000041">
      <w:pPr>
        <w:spacing w:before="40" w:after="40" w:line="320" w:lineRule="auto"/>
        <w:ind w:left="320" w:hanging="160"/>
      </w:pPr>
      <w:r>
        <w:rPr>
          <w:rFonts w:hint="eastAsia" w:ascii="微软雅黑" w:hAnsi="微软雅黑" w:eastAsia="微软雅黑" w:cs="微软雅黑"/>
          <w:color w:val="1A1A1A"/>
          <w:sz w:val="21"/>
          <w:szCs w:val="21"/>
        </w:rPr>
        <w:t>· 数据不出本地是硬约束，任何方案须在安全边界内设计与部署。</w:t>
      </w:r>
    </w:p>
    <w:p w14:paraId="00000042">
      <w:pPr>
        <w:spacing w:before="40" w:after="40" w:line="320" w:lineRule="auto"/>
        <w:ind w:left="320" w:hanging="160"/>
      </w:pPr>
      <w:r>
        <w:rPr>
          <w:rFonts w:hint="eastAsia" w:ascii="微软雅黑" w:hAnsi="微软雅黑" w:eastAsia="微软雅黑" w:cs="微软雅黑"/>
          <w:color w:val="1A1A1A"/>
          <w:sz w:val="21"/>
          <w:szCs w:val="21"/>
        </w:rPr>
        <w:t>· 以脱敏历史报价数据作为测试基线，先做小范围可用性验证，验证通过后再讨论具体模型与实施方案。</w:t>
      </w:r>
    </w:p>
    <w:p w14:paraId="00000043">
      <w:pPr>
        <w:spacing w:before="40" w:after="40" w:line="320" w:lineRule="auto"/>
        <w:ind w:left="320" w:hanging="160"/>
      </w:pPr>
      <w:r>
        <w:rPr>
          <w:rFonts w:hint="eastAsia" w:ascii="微软雅黑" w:hAnsi="微软雅黑" w:eastAsia="微软雅黑" w:cs="微软雅黑"/>
          <w:color w:val="1A1A1A"/>
          <w:sz w:val="21"/>
          <w:szCs w:val="21"/>
        </w:rPr>
        <w:t>· AI 定位为「辅助 + 异常定位」，逐步向自动化演进，不追求一次性完全替代人工。</w:t>
      </w:r>
    </w:p>
    <w:p w14:paraId="00000044">
      <w:pPr>
        <w:spacing w:before="280" w:after="120"/>
      </w:pPr>
      <w:r>
        <w:rPr>
          <w:rFonts w:hint="eastAsia" w:ascii="微软雅黑" w:hAnsi="微软雅黑" w:eastAsia="微软雅黑" w:cs="微软雅黑"/>
          <w:b/>
          <w:bCs/>
          <w:color w:val="0F4C81"/>
          <w:sz w:val="24"/>
          <w:szCs w:val="24"/>
        </w:rPr>
        <w:t>五、后续行动事项</w:t>
      </w:r>
    </w:p>
    <w:tbl>
      <w:tblPr>
        <w:tblStyle w:val="21"/>
        <w:tblW w:w="5000" w:type="pct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8"/>
        <w:gridCol w:w="4189"/>
        <w:gridCol w:w="1821"/>
        <w:gridCol w:w="2368"/>
      </w:tblGrid>
      <w:tr w14:paraId="63C8E03B">
        <w:trPr>
          <w:tblHeader/>
        </w:trPr>
        <w:tc>
          <w:tcPr>
            <w:tcW w:w="400" w:type="pct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45">
            <w:pPr>
              <w:spacing w:before="0" w:after="0" w:line="300" w:lineRule="auto"/>
              <w:jc w:val="left"/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F4C81"/>
                <w:sz w:val="20"/>
                <w:szCs w:val="20"/>
              </w:rPr>
              <w:t>序号</w:t>
            </w:r>
          </w:p>
        </w:tc>
        <w:tc>
          <w:tcPr>
            <w:tcW w:w="2300" w:type="pct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46">
            <w:pPr>
              <w:spacing w:before="0" w:after="0" w:line="300" w:lineRule="auto"/>
              <w:jc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F4C81"/>
                <w:sz w:val="20"/>
                <w:szCs w:val="20"/>
              </w:rPr>
              <w:t>事项</w:t>
            </w:r>
          </w:p>
        </w:tc>
        <w:tc>
          <w:tcPr>
            <w:tcW w:w="1000" w:type="pct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47">
            <w:pPr>
              <w:spacing w:before="0" w:after="0" w:line="300" w:lineRule="auto"/>
              <w:jc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F4C81"/>
                <w:sz w:val="20"/>
                <w:szCs w:val="20"/>
              </w:rPr>
              <w:t>责任人</w:t>
            </w:r>
          </w:p>
        </w:tc>
        <w:tc>
          <w:tcPr>
            <w:tcW w:w="1300" w:type="pct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48">
            <w:pPr>
              <w:spacing w:before="0" w:after="0" w:line="300" w:lineRule="auto"/>
              <w:jc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F4C81"/>
                <w:sz w:val="20"/>
                <w:szCs w:val="20"/>
              </w:rPr>
              <w:t>时间要求</w:t>
            </w:r>
          </w:p>
        </w:tc>
      </w:tr>
      <w:tr w14:paraId="32CDD4C2"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49">
            <w:pPr>
              <w:spacing w:before="0" w:after="0" w:line="30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1</w:t>
            </w:r>
          </w:p>
        </w:tc>
        <w:tc>
          <w:tcPr>
            <w:tcW w:w="2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4A">
            <w:pPr>
              <w:spacing w:before="0" w:after="0" w:line="300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提供一份较早的历史报价表格（已剔除近期数据及敏感信息）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4B">
            <w:pPr>
              <w:spacing w:before="0" w:after="0" w:line="300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陈 伟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4C">
            <w:pPr>
              <w:spacing w:before="0" w:after="0" w:line="300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本周内（10 月 31 日前）</w:t>
            </w:r>
          </w:p>
        </w:tc>
      </w:tr>
      <w:tr w14:paraId="70C13F6D"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4D">
            <w:pPr>
              <w:spacing w:before="0" w:after="0" w:line="30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2</w:t>
            </w:r>
          </w:p>
        </w:tc>
        <w:tc>
          <w:tcPr>
            <w:tcW w:w="2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4E">
            <w:pPr>
              <w:spacing w:before="0" w:after="0" w:line="300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建立包含技术方与业务方的项目沟通群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4F">
            <w:pPr>
              <w:spacing w:before="0" w:after="0" w:line="300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杨 贺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0">
            <w:pPr>
              <w:spacing w:before="0" w:after="0" w:line="300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10 月 28 日（今日）</w:t>
            </w:r>
          </w:p>
        </w:tc>
      </w:tr>
      <w:tr w14:paraId="0B7C635E"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1">
            <w:pPr>
              <w:spacing w:before="0" w:after="0" w:line="30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3</w:t>
            </w:r>
          </w:p>
        </w:tc>
        <w:tc>
          <w:tcPr>
            <w:tcW w:w="2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2">
            <w:pPr>
              <w:spacing w:before="0" w:after="0" w:line="300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基于脱敏数据开展模型调试、规则制定与可用性测试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3">
            <w:pPr>
              <w:spacing w:before="0" w:after="0" w:line="300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潘有富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4">
            <w:pPr>
              <w:spacing w:before="0" w:after="0" w:line="300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收到数据后 5 个工作日内</w:t>
            </w:r>
          </w:p>
        </w:tc>
      </w:tr>
      <w:tr w14:paraId="6B1C3D70"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5">
            <w:pPr>
              <w:spacing w:before="0" w:after="0" w:line="30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4</w:t>
            </w:r>
          </w:p>
        </w:tc>
        <w:tc>
          <w:tcPr>
            <w:tcW w:w="2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6">
            <w:pPr>
              <w:spacing w:before="0" w:after="0" w:line="300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汇总测试结果并组织下一次方案沟通会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7">
            <w:pPr>
              <w:spacing w:before="0" w:after="0" w:line="300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杨 贺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8">
            <w:pPr>
              <w:spacing w:before="0" w:after="0" w:line="300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初步测试完成后</w:t>
            </w:r>
          </w:p>
        </w:tc>
      </w:tr>
    </w:tbl>
    <w:p w14:paraId="00000059">
      <w:pPr>
        <w:spacing w:before="280" w:after="120"/>
      </w:pPr>
      <w:r>
        <w:rPr>
          <w:rFonts w:hint="eastAsia" w:ascii="微软雅黑" w:hAnsi="微软雅黑" w:eastAsia="微软雅黑" w:cs="微软雅黑"/>
          <w:b/>
          <w:bCs/>
          <w:color w:val="0F4C81"/>
          <w:sz w:val="24"/>
          <w:szCs w:val="24"/>
        </w:rPr>
        <w:t>六、下一步安排</w:t>
      </w:r>
    </w:p>
    <w:p w14:paraId="0000005A">
      <w:pPr>
        <w:spacing w:before="60" w:after="60" w:line="320" w:lineRule="auto"/>
      </w:pPr>
      <w:r>
        <w:rPr>
          <w:rFonts w:hint="eastAsia" w:ascii="微软雅黑" w:hAnsi="微软雅黑" w:eastAsia="微软雅黑" w:cs="微软雅黑"/>
          <w:b w:val="0"/>
          <w:bCs w:val="0"/>
          <w:color w:val="1A1A1A"/>
          <w:sz w:val="21"/>
          <w:szCs w:val="21"/>
        </w:rPr>
        <w:t>第二次沟通会拟重点讨论以下议题，请业务方提前准备：</w:t>
      </w:r>
    </w:p>
    <w:p w14:paraId="0000005B">
      <w:pPr>
        <w:spacing w:before="40" w:after="40" w:line="320" w:lineRule="auto"/>
        <w:ind w:left="320" w:hanging="160"/>
      </w:pPr>
      <w:r>
        <w:rPr>
          <w:rFonts w:hint="eastAsia" w:ascii="微软雅黑" w:hAnsi="微软雅黑" w:eastAsia="微软雅黑" w:cs="微软雅黑"/>
          <w:color w:val="1A1A1A"/>
          <w:sz w:val="21"/>
          <w:szCs w:val="21"/>
        </w:rPr>
        <w:t>· 历史报价数据测试结果与准确率分层的实际表现；</w:t>
      </w:r>
    </w:p>
    <w:p w14:paraId="0000005C">
      <w:pPr>
        <w:spacing w:before="40" w:after="40" w:line="320" w:lineRule="auto"/>
        <w:ind w:left="320" w:hanging="160"/>
      </w:pPr>
      <w:r>
        <w:rPr>
          <w:rFonts w:hint="eastAsia" w:ascii="微软雅黑" w:hAnsi="微软雅黑" w:eastAsia="微软雅黑" w:cs="微软雅黑"/>
          <w:color w:val="1A1A1A"/>
          <w:sz w:val="21"/>
          <w:szCs w:val="21"/>
        </w:rPr>
        <w:t>· 年度报价单量、参与核算人数及平均单表工时（用于量化项目价值）；</w:t>
      </w:r>
    </w:p>
    <w:p w14:paraId="0000005D">
      <w:pPr>
        <w:spacing w:before="40" w:after="40" w:line="320" w:lineRule="auto"/>
        <w:ind w:left="320" w:hanging="160"/>
      </w:pPr>
      <w:r>
        <w:rPr>
          <w:rFonts w:hint="eastAsia" w:ascii="微软雅黑" w:hAnsi="微软雅黑" w:eastAsia="微软雅黑" w:cs="微软雅黑"/>
          <w:color w:val="1A1A1A"/>
          <w:sz w:val="21"/>
          <w:szCs w:val="21"/>
        </w:rPr>
        <w:t>· 具体部署方式与安全边界的细化确认；</w:t>
      </w:r>
    </w:p>
    <w:p w14:paraId="0000005F">
      <w:pPr>
        <w:spacing w:before="40" w:after="40" w:line="320" w:lineRule="auto"/>
        <w:ind w:left="320" w:hanging="160"/>
      </w:pPr>
      <w:r>
        <w:rPr>
          <w:rFonts w:hint="eastAsia" w:ascii="微软雅黑" w:hAnsi="微软雅黑" w:eastAsia="微软雅黑" w:cs="微软雅黑"/>
          <w:color w:val="1A1A1A"/>
          <w:sz w:val="21"/>
          <w:szCs w:val="21"/>
        </w:rPr>
        <w:t>· 后续实施范围、阶段计划与合作方式。</w:t>
      </w:r>
    </w:p>
    <w:p w14:paraId="00000061">
      <w:pPr>
        <w:spacing w:before="200"/>
        <w:jc w:val="right"/>
      </w:pPr>
      <w:r>
        <w:rPr>
          <w:rFonts w:hint="eastAsia" w:ascii="微软雅黑" w:hAnsi="微软雅黑" w:eastAsia="微软雅黑" w:cs="微软雅黑"/>
          <w:b/>
          <w:bCs/>
          <w:color w:val="0F4C81"/>
          <w:sz w:val="21"/>
          <w:szCs w:val="21"/>
        </w:rPr>
        <w:t>涤生咨询</w:t>
      </w:r>
    </w:p>
    <w:p w14:paraId="00000062">
      <w:pPr>
        <w:jc w:val="right"/>
      </w:pPr>
      <w:r>
        <w:rPr>
          <w:rFonts w:hint="eastAsia" w:ascii="微软雅黑" w:hAnsi="微软雅黑" w:eastAsia="微软雅黑" w:cs="微软雅黑"/>
          <w:color w:val="595959"/>
          <w:sz w:val="20"/>
          <w:szCs w:val="20"/>
        </w:rPr>
        <w:t>2026 年 10 月 28 日</w:t>
      </w:r>
    </w:p>
    <w:sectPr>
      <w:pgSz w:w="11906" w:h="16838"/>
      <w:pgMar w:top="1400" w:right="1500" w:bottom="1400" w:left="15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方正雅意黑 GB18030L2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displayBackgroundShape w:val="1"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765EC9EA"/>
    <w:rsid w:val="DBED68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basedOn w:val="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22">
    <w:name w:val="Default Paragraph Font"/>
    <w:semiHidden/>
    <w:uiPriority w:val="0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7"/>
    <w:basedOn w:val="1"/>
    <w:next w:val="1"/>
    <w:semiHidden/>
    <w:unhideWhenUsed/>
    <w:uiPriority w:val="39"/>
    <w:pPr>
      <w:spacing w:after="100"/>
      <w:ind w:left="1260"/>
    </w:pPr>
  </w:style>
  <w:style w:type="paragraph" w:styleId="9">
    <w:name w:val="caption"/>
    <w:basedOn w:val="1"/>
    <w:next w:val="1"/>
    <w:semiHidden/>
    <w:unhideWhenUsed/>
    <w:qFormat/>
    <w:uiPriority w:val="35"/>
    <w:pPr>
      <w:spacing w:after="200"/>
    </w:pPr>
    <w:rPr>
      <w:i/>
      <w:iCs/>
      <w:color w:val="44546A" w:themeColor="dark2"/>
      <w:sz w:val="18"/>
      <w:szCs w:val="18"/>
      <w14:textFill>
        <w14:solidFill>
          <w14:schemeClr w14:val="dk2"/>
        </w14:solidFill>
      </w14:textFill>
    </w:rPr>
  </w:style>
  <w:style w:type="paragraph" w:styleId="10">
    <w:name w:val="toc 5"/>
    <w:basedOn w:val="1"/>
    <w:next w:val="1"/>
    <w:semiHidden/>
    <w:unhideWhenUsed/>
    <w:uiPriority w:val="39"/>
    <w:pPr>
      <w:spacing w:after="100"/>
      <w:ind w:left="840"/>
    </w:pPr>
  </w:style>
  <w:style w:type="paragraph" w:styleId="11">
    <w:name w:val="toc 3"/>
    <w:basedOn w:val="1"/>
    <w:next w:val="1"/>
    <w:semiHidden/>
    <w:unhideWhenUsed/>
    <w:uiPriority w:val="39"/>
    <w:pPr>
      <w:spacing w:after="100"/>
      <w:ind w:left="420"/>
    </w:pPr>
  </w:style>
  <w:style w:type="paragraph" w:styleId="12">
    <w:name w:val="toc 8"/>
    <w:basedOn w:val="1"/>
    <w:next w:val="1"/>
    <w:semiHidden/>
    <w:unhideWhenUsed/>
    <w:uiPriority w:val="39"/>
    <w:pPr>
      <w:spacing w:after="100"/>
      <w:ind w:left="1470"/>
    </w:pPr>
  </w:style>
  <w:style w:type="paragraph" w:styleId="13">
    <w:name w:val="endnote text"/>
    <w:basedOn w:val="1"/>
    <w:link w:val="30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4">
    <w:name w:val="toc 1"/>
    <w:basedOn w:val="1"/>
    <w:next w:val="1"/>
    <w:semiHidden/>
    <w:unhideWhenUsed/>
    <w:uiPriority w:val="39"/>
    <w:pPr>
      <w:spacing w:after="100"/>
    </w:pPr>
  </w:style>
  <w:style w:type="paragraph" w:styleId="15">
    <w:name w:val="toc 4"/>
    <w:basedOn w:val="1"/>
    <w:next w:val="1"/>
    <w:semiHidden/>
    <w:unhideWhenUsed/>
    <w:uiPriority w:val="39"/>
    <w:pPr>
      <w:spacing w:after="100"/>
      <w:ind w:left="630"/>
    </w:pPr>
  </w:style>
  <w:style w:type="paragraph" w:styleId="16">
    <w:name w:val="footnote text"/>
    <w:basedOn w:val="1"/>
    <w:link w:val="2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7">
    <w:name w:val="toc 6"/>
    <w:basedOn w:val="1"/>
    <w:next w:val="1"/>
    <w:semiHidden/>
    <w:unhideWhenUsed/>
    <w:uiPriority w:val="39"/>
    <w:pPr>
      <w:spacing w:after="100"/>
      <w:ind w:left="1050"/>
    </w:pPr>
  </w:style>
  <w:style w:type="paragraph" w:styleId="18">
    <w:name w:val="toc 2"/>
    <w:basedOn w:val="1"/>
    <w:next w:val="1"/>
    <w:semiHidden/>
    <w:unhideWhenUsed/>
    <w:uiPriority w:val="39"/>
    <w:pPr>
      <w:spacing w:after="100"/>
      <w:ind w:left="210"/>
    </w:pPr>
  </w:style>
  <w:style w:type="paragraph" w:styleId="19">
    <w:name w:val="toc 9"/>
    <w:basedOn w:val="1"/>
    <w:next w:val="1"/>
    <w:semiHidden/>
    <w:unhideWhenUsed/>
    <w:uiPriority w:val="39"/>
    <w:pPr>
      <w:spacing w:after="100"/>
      <w:ind w:left="1680"/>
    </w:pPr>
  </w:style>
  <w:style w:type="paragraph" w:styleId="20">
    <w:name w:val="Title"/>
    <w:basedOn w:val="1"/>
    <w:next w:val="1"/>
    <w:qFormat/>
    <w:uiPriority w:val="0"/>
    <w:rPr>
      <w:sz w:val="56"/>
      <w:szCs w:val="56"/>
    </w:rPr>
  </w:style>
  <w:style w:type="character" w:styleId="23">
    <w:name w:val="endnote reference"/>
    <w:semiHidden/>
    <w:unhideWhenUsed/>
    <w:uiPriority w:val="99"/>
    <w:rPr>
      <w:vertAlign w:val="superscript"/>
    </w:rPr>
  </w:style>
  <w:style w:type="character" w:styleId="24">
    <w:name w:val="line number"/>
    <w:semiHidden/>
    <w:unhideWhenUsed/>
    <w:uiPriority w:val="99"/>
  </w:style>
  <w:style w:type="character" w:styleId="25">
    <w:name w:val="Hyperlink"/>
    <w:unhideWhenUsed/>
    <w:uiPriority w:val="99"/>
    <w:rPr>
      <w:color w:val="0563C1"/>
      <w:u w:val="single"/>
    </w:rPr>
  </w:style>
  <w:style w:type="character" w:styleId="26">
    <w:name w:val="footnote reference"/>
    <w:semiHidden/>
    <w:unhideWhenUsed/>
    <w:uiPriority w:val="99"/>
    <w:rPr>
      <w:vertAlign w:val="superscript"/>
    </w:rPr>
  </w:style>
  <w:style w:type="character" w:customStyle="1" w:styleId="27">
    <w:name w:val="Footnote Text Char"/>
    <w:link w:val="16"/>
    <w:semiHidden/>
    <w:unhideWhenUsed/>
    <w:uiPriority w:val="99"/>
    <w:rPr>
      <w:sz w:val="20"/>
      <w:szCs w:val="20"/>
    </w:rPr>
  </w:style>
  <w:style w:type="paragraph" w:styleId="28">
    <w:name w:val="List Paragraph"/>
    <w:basedOn w:val="1"/>
    <w:qFormat/>
    <w:uiPriority w:val="0"/>
  </w:style>
  <w:style w:type="paragraph" w:customStyle="1" w:styleId="29">
    <w:name w:val="Bibliography"/>
    <w:basedOn w:val="1"/>
    <w:next w:val="1"/>
    <w:unhideWhenUsed/>
    <w:uiPriority w:val="37"/>
  </w:style>
  <w:style w:type="character" w:customStyle="1" w:styleId="30">
    <w:name w:val="End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</TotalTime>
  <ScaleCrop>false</ScaleCrop>
  <LinksUpToDate>false</LinksUpToDate>
  <Application>WPS Office_12.1.28496.28496_F1E327BC-269C-435d-A152-05C5408002CA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2026-10-28T22:15:00Z</dcterms:created>
  <dc:creator>Data</dc:creator>
  <cp:lastModifiedBy>杨贺</cp:lastModifiedBy>
  <dcterms:modified xsi:type="dcterms:W3CDTF">2026-10-28T14:18:11Z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2D01A11390C2B5BD4E93E16AD2020060_42</vt:lpwstr>
  </property>
</Properties>
</file>