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w:t>
      </w:r>
      <w:r>
        <w:t xml:space="preserve"> </w:t>
      </w:r>
      <w:r>
        <w:t xml:space="preserve">arXiv</w:t>
      </w:r>
      <w:r>
        <w:t xml:space="preserve"> </w:t>
      </w:r>
      <w:r>
        <w:t xml:space="preserve">template</w:t>
      </w:r>
    </w:p>
    <w:p>
      <w:pPr>
        <w:pStyle w:val="Author"/>
      </w:pPr>
      <w:r>
        <w:t xml:space="preserve">Steven</w:t>
      </w:r>
      <w:r>
        <w:t xml:space="preserve"> </w:t>
      </w:r>
      <w:r>
        <w:t xml:space="preserve">Bickley</w:t>
      </w:r>
    </w:p>
    <w:p>
      <w:pPr>
        <w:pStyle w:val="Author"/>
      </w:pPr>
      <w:r>
        <w:t xml:space="preserve">Son</w:t>
      </w:r>
      <w:r>
        <w:t xml:space="preserve"> </w:t>
      </w:r>
      <w:r>
        <w:t xml:space="preserve">Tran</w:t>
      </w:r>
    </w:p>
    <w:p>
      <w:pPr>
        <w:pStyle w:val="AbstractTitle"/>
      </w:pPr>
      <w:r>
        <w:t xml:space="preserve">Abstract</w:t>
      </w:r>
    </w:p>
    <w:p>
      <w:pPr>
        <w:pStyle w:val="Abstract"/>
      </w:pPr>
      <w:r>
        <w:t xml:space="preserve">This</w:t>
      </w:r>
      <w:r>
        <w:t xml:space="preserve"> </w:t>
      </w:r>
      <w:r>
        <w:t xml:space="preserve">document</w:t>
      </w:r>
      <w:r>
        <w:t xml:space="preserve"> </w:t>
      </w:r>
      <w:r>
        <w:t xml:space="preserve">is</w:t>
      </w:r>
      <w:r>
        <w:t xml:space="preserve"> </w:t>
      </w:r>
      <w:r>
        <w:t xml:space="preserve">only</w:t>
      </w:r>
      <w:r>
        <w:t xml:space="preserve"> </w:t>
      </w:r>
      <w:r>
        <w:t xml:space="preserve">a</w:t>
      </w:r>
      <w:r>
        <w:t xml:space="preserve"> </w:t>
      </w:r>
      <w:r>
        <w:t xml:space="preserve">demo</w:t>
      </w:r>
      <w:r>
        <w:t xml:space="preserve"> </w:t>
      </w:r>
      <w:r>
        <w:t xml:space="preserve">explaining</w:t>
      </w:r>
      <w:r>
        <w:t xml:space="preserve"> </w:t>
      </w:r>
      <w:r>
        <w:t xml:space="preserve">how</w:t>
      </w:r>
      <w:r>
        <w:t xml:space="preserve"> </w:t>
      </w:r>
      <w:r>
        <w:t xml:space="preserve">to</w:t>
      </w:r>
      <w:r>
        <w:t xml:space="preserve"> </w:t>
      </w:r>
      <w:r>
        <w:t xml:space="preserve">use</w:t>
      </w:r>
      <w:r>
        <w:t xml:space="preserve"> </w:t>
      </w:r>
      <w:r>
        <w:t xml:space="preserve">the</w:t>
      </w:r>
      <w:r>
        <w:t xml:space="preserve"> </w:t>
      </w:r>
      <w:r>
        <w:t xml:space="preserve">template.</w:t>
      </w:r>
    </w:p>
    <w:bookmarkStart w:id="20" w:name="sec-intro"/>
    <w:p>
      <w:pPr>
        <w:pStyle w:val="Heading1"/>
      </w:pPr>
      <w:r>
        <w:t xml:space="preserve">Introduction</w:t>
      </w:r>
    </w:p>
    <w:p>
      <w:pPr>
        <w:pStyle w:val="FirstParagraph"/>
      </w:pPr>
      <w:r>
        <w:t xml:space="preserve">This is an example of how to use this template to render journal articles. This template is inspired by the arXiv rticles template for rmarkdown, repurposed for the Quarto publishing system.</w:t>
      </w:r>
    </w:p>
    <w:p>
      <w:pPr>
        <w:pStyle w:val="BodyText"/>
      </w:pPr>
      <w:r>
        <w:t xml:space="preserve">This quarto extension format supports PDF and HTML outputs. This template is primarily focused on generating acceptable</w:t>
      </w:r>
      <w:r>
        <w:t xml:space="preserve"> </w:t>
      </w:r>
      <w:r>
        <w:t xml:space="preserve"> </w:t>
      </w:r>
      <w:r>
        <w:t xml:space="preserve">outputs from Quarto, but renders an acceptable HTML output using the standard Quarto options.</w:t>
      </w:r>
    </w:p>
    <w:bookmarkEnd w:id="20"/>
    <w:bookmarkStart w:id="22" w:name="quarto"/>
    <w:p>
      <w:pPr>
        <w:pStyle w:val="Heading1"/>
      </w:pPr>
      <w:r>
        <w:t xml:space="preserve">Quarto</w:t>
      </w:r>
    </w:p>
    <w:p>
      <w:pPr>
        <w:pStyle w:val="FirstParagraph"/>
      </w:pPr>
      <w:r>
        <w:t xml:space="preserve">Quarto enables you to weave together content and executable code into a finished document. To learn more about Quarto see</w:t>
      </w:r>
      <w:r>
        <w:t xml:space="preserve"> </w:t>
      </w:r>
      <w:hyperlink r:id="rId21">
        <w:r>
          <w:rPr>
            <w:rStyle w:val="Hyperlink"/>
          </w:rPr>
          <w:t xml:space="preserve">https://quarto.org</w:t>
        </w:r>
      </w:hyperlink>
      <w:r>
        <w:t xml:space="preserve">.</w:t>
      </w:r>
    </w:p>
    <w:bookmarkEnd w:id="22"/>
    <w:bookmarkStart w:id="27" w:name="running-code"/>
    <w:p>
      <w:pPr>
        <w:pStyle w:val="Heading1"/>
      </w:pPr>
      <w:r>
        <w:t xml:space="preserve">Running Code</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SourceCode"/>
      </w:pP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2</w:t>
      </w:r>
    </w:p>
    <w:p>
      <w:pPr>
        <w:pStyle w:val="FirstParagraph"/>
      </w:pPr>
      <w:r>
        <w:t xml:space="preserve">This format hide chunks by default, but you can set</w:t>
      </w:r>
      <w:r>
        <w:t xml:space="preserve"> </w:t>
      </w:r>
      <w:r>
        <w:rPr>
          <w:rStyle w:val="VerbatimChar"/>
        </w:rPr>
        <w:t xml:space="preserve">echo</w:t>
      </w:r>
      <w:r>
        <w:t xml:space="preserve"> </w:t>
      </w:r>
      <w:r>
        <w:t xml:space="preserve">option to</w:t>
      </w:r>
      <w:r>
        <w:t xml:space="preserve"> </w:t>
      </w:r>
      <w:r>
        <w:rPr>
          <w:rStyle w:val="VerbatimChar"/>
        </w:rPr>
        <w:t xml:space="preserve">true</w:t>
      </w:r>
      <w:r>
        <w:t xml:space="preserve"> </w:t>
      </w:r>
      <w:r>
        <w:t xml:space="preserve">locally in the chunk:</w:t>
      </w:r>
    </w:p>
    <w:tbl>
      <w:tblPr>
        <w:tblStyle w:val="Table"/>
        <w:tblW w:type="pct" w:w="5000"/>
        <w:tblLook w:firstRow="0" w:lastRow="0" w:firstColumn="0" w:lastColumn="0" w:noHBand="0" w:noVBand="0" w:val="0000"/>
        <w:jc w:val="start"/>
      </w:tblPr>
      <w:tblGrid>
        <w:gridCol w:w="7920"/>
      </w:tblGrid>
      <w:tr>
        <w:tc>
          <w:tcPr/>
          <w:bookmarkStart w:id="26" w:name="fig-plot"/>
          <w:p>
            <w:pPr>
              <w:jc w:val="center"/>
            </w:pPr>
            <w:r>
              <w:drawing>
                <wp:inline>
                  <wp:extent cx="4200525" cy="3209925"/>
                  <wp:effectExtent b="0" l="0" r="0" t="0"/>
                  <wp:docPr descr="" title="" id="24" name="Picture"/>
                  <a:graphic>
                    <a:graphicData uri="http://schemas.openxmlformats.org/drawingml/2006/picture">
                      <pic:pic>
                        <pic:nvPicPr>
                          <pic:cNvPr descr="first_paper_files/figure-docx/fig-plot-output-1.png" id="25" name="Picture"/>
                          <pic:cNvPicPr>
                            <a:picLocks noChangeArrowheads="1" noChangeAspect="1"/>
                          </pic:cNvPicPr>
                        </pic:nvPicPr>
                        <pic:blipFill>
                          <a:blip r:embed="rId23"/>
                          <a:stretch>
                            <a:fillRect/>
                          </a:stretch>
                        </pic:blipFill>
                        <pic:spPr bwMode="auto">
                          <a:xfrm>
                            <a:off x="0" y="0"/>
                            <a:ext cx="4200525" cy="3209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plot</w:t>
            </w:r>
          </w:p>
          <w:bookmarkEnd w:id="26"/>
        </w:tc>
      </w:tr>
    </w:tbl>
    <w:bookmarkEnd w:id="27"/>
    <w:bookmarkStart w:id="43" w:name="markdown-basics"/>
    <w:p>
      <w:pPr>
        <w:pStyle w:val="Heading1"/>
      </w:pPr>
      <w:r>
        <w:t xml:space="preserve">Markdown Basics</w:t>
      </w:r>
    </w:p>
    <w:p>
      <w:pPr>
        <w:pStyle w:val="FirstParagraph"/>
      </w:pPr>
      <w:r>
        <w:t xml:space="preserve">This section of the template is adapted from</w:t>
      </w:r>
      <w:r>
        <w:t xml:space="preserve"> </w:t>
      </w:r>
      <w:hyperlink r:id="rId28">
        <w:r>
          <w:rPr>
            <w:rStyle w:val="Hyperlink"/>
          </w:rPr>
          <w:t xml:space="preserve">Quarto’s documentation on Markdown basics</w:t>
        </w:r>
      </w:hyperlink>
      <w:r>
        <w:t xml:space="preserve">.</w:t>
      </w:r>
    </w:p>
    <w:bookmarkStart w:id="29" w:name="text-formatting"/>
    <w:p>
      <w:pPr>
        <w:pStyle w:val="Heading2"/>
      </w:pPr>
      <w:r>
        <w:t xml:space="preserve">Text Formatting</w:t>
      </w:r>
    </w:p>
    <w:tbl>
      <w:tblPr>
        <w:tblStyle w:val="Table"/>
        <w:tblW w:type="pct" w:w="4722"/>
        <w:tblLook w:firstRow="1" w:lastRow="0" w:firstColumn="0" w:lastColumn="0" w:noHBand="0" w:noVBand="0" w:val="0020"/>
        <w:jc w:val="start"/>
      </w:tblPr>
      <w:tblGrid>
        <w:gridCol w:w="3960"/>
        <w:gridCol w:w="3520"/>
      </w:tblGrid>
      <w:tr>
        <w:trPr>
          <w:tblHeader w:val="true"/>
        </w:trPr>
        <w:tc>
          <w:tcPr/>
          <w:p>
            <w:pPr>
              <w:pStyle w:val="Compact"/>
              <w:jc w:val="left"/>
            </w:pPr>
            <w:r>
              <w:t xml:space="preserve">Markdown Syntax</w:t>
            </w:r>
          </w:p>
        </w:tc>
        <w:tc>
          <w:tcPr/>
          <w:p>
            <w:pPr>
              <w:pStyle w:val="Compact"/>
              <w:jc w:val="left"/>
            </w:pPr>
            <w:r>
              <w:t xml:space="preserve">Output</w:t>
            </w:r>
          </w:p>
        </w:tc>
      </w:tr>
      <w:tr>
        <w:tc>
          <w:tcPr/>
          <w:p>
            <w:pPr>
              <w:pStyle w:val="SourceCode"/>
              <w:jc w:val="left"/>
            </w:pPr>
            <w:r>
              <w:rPr>
                <w:rStyle w:val="VerbatimChar"/>
              </w:rPr>
              <w:t xml:space="preserve">*italics* and **bold**</w:t>
            </w:r>
          </w:p>
        </w:tc>
        <w:tc>
          <w:tcPr/>
          <w:p>
            <w:pPr>
              <w:pStyle w:val="Compact"/>
              <w:jc w:val="left"/>
            </w:pPr>
            <w:r>
              <w:rPr>
                <w:iCs/>
                <w:i/>
              </w:rPr>
              <w:t xml:space="preserve">italics</w:t>
            </w:r>
            <w:r>
              <w:t xml:space="preserve"> </w:t>
            </w:r>
            <w:r>
              <w:t xml:space="preserve">and</w:t>
            </w:r>
            <w:r>
              <w:t xml:space="preserve"> </w:t>
            </w:r>
            <w:r>
              <w:rPr>
                <w:bCs/>
                <w:b/>
              </w:rPr>
              <w:t xml:space="preserve">bold</w:t>
            </w:r>
          </w:p>
        </w:tc>
      </w:tr>
      <w:tr>
        <w:tc>
          <w:tcPr/>
          <w:p>
            <w:pPr>
              <w:pStyle w:val="SourceCode"/>
              <w:jc w:val="left"/>
            </w:pPr>
            <w:r>
              <w:rPr>
                <w:rStyle w:val="VerbatimChar"/>
              </w:rPr>
              <w:t xml:space="preserve">superscript^2^ / subscript~2~</w:t>
            </w:r>
          </w:p>
        </w:tc>
        <w:tc>
          <w:tcPr/>
          <w:p>
            <w:pPr>
              <w:pStyle w:val="Compact"/>
              <w:jc w:val="left"/>
            </w:pPr>
            <w:r>
              <w:t xml:space="preserve">superscript</w:t>
            </w:r>
            <w:r>
              <w:rPr>
                <w:vertAlign w:val="superscript"/>
              </w:rPr>
              <w:t xml:space="preserve">2</w:t>
            </w:r>
            <w:r>
              <w:t xml:space="preserve"> </w:t>
            </w:r>
            <w:r>
              <w:t xml:space="preserve">/ subscript</w:t>
            </w:r>
            <w:r>
              <w:rPr>
                <w:vertAlign w:val="subscript"/>
              </w:rPr>
              <w:t xml:space="preserve">2</w:t>
            </w:r>
          </w:p>
        </w:tc>
      </w:tr>
      <w:tr>
        <w:tc>
          <w:tcPr/>
          <w:p>
            <w:pPr>
              <w:pStyle w:val="SourceCode"/>
              <w:jc w:val="left"/>
            </w:pPr>
            <w:r>
              <w:rPr>
                <w:rStyle w:val="VerbatimChar"/>
              </w:rPr>
              <w:t xml:space="preserve">~~strikethrough~~</w:t>
            </w:r>
          </w:p>
        </w:tc>
        <w:tc>
          <w:tcPr/>
          <w:p>
            <w:pPr>
              <w:pStyle w:val="Compact"/>
              <w:jc w:val="left"/>
            </w:pPr>
            <w:r>
              <w:rPr>
                <w:strike/>
              </w:rPr>
              <w:t xml:space="preserve">strikethrough</w:t>
            </w:r>
          </w:p>
        </w:tc>
      </w:tr>
      <w:tr>
        <w:tc>
          <w:tcPr/>
          <w:p>
            <w:pPr>
              <w:pStyle w:val="SourceCode"/>
              <w:jc w:val="left"/>
            </w:pPr>
            <w:r>
              <w:rPr>
                <w:rStyle w:val="VerbatimChar"/>
              </w:rPr>
              <w:t xml:space="preserve">`verbatim code`</w:t>
            </w:r>
          </w:p>
        </w:tc>
        <w:tc>
          <w:tcPr/>
          <w:p>
            <w:pPr>
              <w:pStyle w:val="Compact"/>
              <w:jc w:val="left"/>
            </w:pPr>
            <w:r>
              <w:rPr>
                <w:rStyle w:val="VerbatimChar"/>
              </w:rPr>
              <w:t xml:space="preserve">verbatim code</w:t>
            </w:r>
          </w:p>
        </w:tc>
      </w:tr>
    </w:tbl>
    <w:bookmarkEnd w:id="29"/>
    <w:bookmarkStart w:id="33" w:name="headings"/>
    <w:p>
      <w:pPr>
        <w:pStyle w:val="Heading2"/>
      </w:pPr>
      <w:r>
        <w:t xml:space="preserve">Headings</w:t>
      </w:r>
    </w:p>
    <w:tbl>
      <w:tblPr>
        <w:tblStyle w:val="Table"/>
        <w:tblW w:type="pct" w:w="3889"/>
        <w:tblLook w:firstRow="1" w:lastRow="0" w:firstColumn="0" w:lastColumn="0" w:noHBand="0" w:noVBand="0" w:val="0020"/>
        <w:jc w:val="start"/>
      </w:tblPr>
      <w:tblGrid>
        <w:gridCol w:w="2200"/>
        <w:gridCol w:w="3960"/>
      </w:tblGrid>
      <w:tr>
        <w:trPr>
          <w:tblHeader w:val="true"/>
        </w:trPr>
        <w:tc>
          <w:tcPr/>
          <w:p>
            <w:pPr>
              <w:pStyle w:val="Compact"/>
              <w:jc w:val="left"/>
            </w:pPr>
            <w:r>
              <w:t xml:space="preserve">Markdown Syntax</w:t>
            </w:r>
          </w:p>
        </w:tc>
        <w:tc>
          <w:tcPr/>
          <w:p>
            <w:pPr>
              <w:pStyle w:val="Compact"/>
              <w:jc w:val="left"/>
            </w:pPr>
            <w:r>
              <w:t xml:space="preserve">Output</w:t>
            </w:r>
          </w:p>
        </w:tc>
      </w:tr>
      <w:tr>
        <w:tc>
          <w:tcPr/>
          <w:p>
            <w:pPr>
              <w:pStyle w:val="SourceCode"/>
              <w:jc w:val="left"/>
            </w:pPr>
            <w:r>
              <w:rPr>
                <w:rStyle w:val="VerbatimChar"/>
              </w:rPr>
              <w:t xml:space="preserve"># Header 1</w:t>
            </w:r>
          </w:p>
        </w:tc>
        <w:tc>
          <w:tcPr/>
          <w:p>
            <w:pPr>
              <w:pStyle w:val="Heading1"/>
              <w:jc w:val="left"/>
            </w:pPr>
            <w:bookmarkStart w:id="30" w:name="header-1"/>
            <w:r>
              <w:t xml:space="preserve">Header 1</w:t>
            </w:r>
            <w:bookmarkEnd w:id="30"/>
          </w:p>
        </w:tc>
      </w:tr>
      <w:tr>
        <w:tc>
          <w:tcPr/>
          <w:p>
            <w:pPr>
              <w:pStyle w:val="SourceCode"/>
              <w:jc w:val="left"/>
            </w:pPr>
            <w:r>
              <w:rPr>
                <w:rStyle w:val="VerbatimChar"/>
              </w:rPr>
              <w:t xml:space="preserve">## Header 2</w:t>
            </w:r>
          </w:p>
        </w:tc>
        <w:tc>
          <w:tcPr/>
          <w:p>
            <w:pPr>
              <w:pStyle w:val="Heading2"/>
              <w:jc w:val="left"/>
            </w:pPr>
            <w:bookmarkStart w:id="31" w:name="header-2"/>
            <w:r>
              <w:t xml:space="preserve">Header 2</w:t>
            </w:r>
            <w:bookmarkEnd w:id="31"/>
          </w:p>
        </w:tc>
      </w:tr>
      <w:tr>
        <w:tc>
          <w:tcPr/>
          <w:p>
            <w:pPr>
              <w:pStyle w:val="SourceCode"/>
              <w:jc w:val="left"/>
            </w:pPr>
            <w:r>
              <w:rPr>
                <w:rStyle w:val="VerbatimChar"/>
              </w:rPr>
              <w:t xml:space="preserve">### Header 3</w:t>
            </w:r>
          </w:p>
        </w:tc>
        <w:tc>
          <w:tcPr/>
          <w:p>
            <w:pPr>
              <w:pStyle w:val="Heading3"/>
              <w:jc w:val="left"/>
            </w:pPr>
            <w:bookmarkStart w:id="32" w:name="header-3"/>
            <w:r>
              <w:t xml:space="preserve">Header 3</w:t>
            </w:r>
            <w:bookmarkEnd w:id="32"/>
          </w:p>
        </w:tc>
      </w:tr>
    </w:tbl>
    <w:bookmarkEnd w:id="33"/>
    <w:bookmarkStart w:id="35" w:name="equations"/>
    <w:p>
      <w:pPr>
        <w:pStyle w:val="Heading2"/>
      </w:pPr>
      <w:r>
        <w:t xml:space="preserve">Equations</w:t>
      </w:r>
    </w:p>
    <w:p>
      <w:pPr>
        <w:pStyle w:val="FirstParagraph"/>
      </w:pPr>
      <w:r>
        <w:t xml:space="preserve">Use</w:t>
      </w:r>
      <w:r>
        <w:t xml:space="preserve"> </w:t>
      </w:r>
      <w:r>
        <w:rPr>
          <w:rStyle w:val="VerbatimChar"/>
        </w:rPr>
        <w:t xml:space="preserve">$</w:t>
      </w:r>
      <w:r>
        <w:t xml:space="preserve"> </w:t>
      </w:r>
      <w:r>
        <w:t xml:space="preserve">delimiters for inline math and</w:t>
      </w:r>
      <w:r>
        <w:t xml:space="preserve"> </w:t>
      </w:r>
      <w:r>
        <w:rPr>
          <w:rStyle w:val="VerbatimChar"/>
        </w:rPr>
        <w:t xml:space="preserve">$$</w:t>
      </w:r>
      <w:r>
        <w:t xml:space="preserve"> </w:t>
      </w:r>
      <w:r>
        <w:t xml:space="preserve">delimiters for display math. For example:</w:t>
      </w:r>
    </w:p>
    <w:tbl>
      <w:tblPr>
        <w:tblStyle w:val="Table"/>
        <w:tblW w:type="pct" w:w="4028"/>
        <w:tblLook w:firstRow="1" w:lastRow="0" w:firstColumn="0" w:lastColumn="0" w:noHBand="0" w:noVBand="0" w:val="0020"/>
        <w:jc w:val="start"/>
      </w:tblPr>
      <w:tblGrid>
        <w:gridCol w:w="3520"/>
        <w:gridCol w:w="2860"/>
      </w:tblGrid>
      <w:tr>
        <w:trPr>
          <w:tblHeader w:val="true"/>
        </w:trPr>
        <w:tc>
          <w:tcPr/>
          <w:p>
            <w:pPr>
              <w:pStyle w:val="Compact"/>
              <w:jc w:val="left"/>
            </w:pPr>
            <w:r>
              <w:t xml:space="preserve">Markdown Syntax</w:t>
            </w:r>
          </w:p>
        </w:tc>
        <w:tc>
          <w:tcPr/>
          <w:p>
            <w:pPr>
              <w:pStyle w:val="Compact"/>
              <w:jc w:val="left"/>
            </w:pPr>
            <w:r>
              <w:t xml:space="preserve">Output</w:t>
            </w:r>
          </w:p>
        </w:tc>
      </w:tr>
      <w:tr>
        <w:tc>
          <w:tcPr/>
          <w:p>
            <w:pPr>
              <w:pStyle w:val="SourceCode"/>
              <w:jc w:val="left"/>
            </w:pPr>
            <w:r>
              <w:rPr>
                <w:rStyle w:val="VerbatimChar"/>
              </w:rPr>
              <w:t xml:space="preserve">inline math: $E = mc^{2}$</w:t>
            </w:r>
          </w:p>
        </w:tc>
        <w:tc>
          <w:tcPr/>
          <w:p>
            <w:pPr>
              <w:pStyle w:val="Compact"/>
              <w:jc w:val="left"/>
            </w:pPr>
            <w:r>
              <w:t xml:space="preserve">inline math:</w:t>
            </w:r>
            <w:r>
              <w:t xml:space="preserve"> </w:t>
            </w:r>
            <m:oMath>
              <m:r>
                <m:t>E</m:t>
              </m:r>
              <m:r>
                <m:rPr>
                  <m:sty m:val="p"/>
                </m:rPr>
                <m:t>=</m:t>
              </m:r>
              <m:r>
                <m:t>m</m:t>
              </m:r>
              <m:sSup>
                <m:e>
                  <m:r>
                    <m:t>c</m:t>
                  </m:r>
                </m:e>
                <m:sup>
                  <m:r>
                    <m:t>2</m:t>
                  </m:r>
                </m:sup>
              </m:sSup>
            </m:oMath>
          </w:p>
        </w:tc>
      </w:tr>
      <w:tr>
        <w:tc>
          <w:tcPr/>
          <w:p>
            <w:pPr>
              <w:pStyle w:val="SourceCode"/>
              <w:jc w:val="left"/>
            </w:pPr>
            <w:r>
              <w:rPr>
                <w:rStyle w:val="VerbatimChar"/>
              </w:rPr>
              <w:t xml:space="preserve">display math:</w:t>
            </w:r>
            <w:r>
              <w:br/>
            </w:r>
            <w:r>
              <w:br/>
            </w:r>
            <w:r>
              <w:rPr>
                <w:rStyle w:val="VerbatimChar"/>
              </w:rPr>
              <w:t xml:space="preserve">$$E = mc^{2}$$</w:t>
            </w:r>
          </w:p>
        </w:tc>
        <w:tc>
          <w:tcPr/>
          <w:p>
            <w:pPr>
              <w:pStyle w:val="Compact"/>
              <w:jc w:val="left"/>
            </w:pPr>
            <w:r>
              <w:t xml:space="preserve">display math:</w:t>
            </w:r>
            <w:r>
              <w:br/>
            </w:r>
          </w:p>
          <w:p>
            <w:pPr>
              <w:pStyle w:val="Compact"/>
              <w:jc w:val="left"/>
            </w:pPr>
            <m:oMathPara>
              <m:oMathParaPr>
                <m:jc m:val="center"/>
              </m:oMathParaPr>
              <m:oMath>
                <m:r>
                  <m:t>E</m:t>
                </m:r>
                <m:r>
                  <m:rPr>
                    <m:sty m:val="p"/>
                  </m:rPr>
                  <m:t>=</m:t>
                </m:r>
                <m:r>
                  <m:t>m</m:t>
                </m:r>
                <m:sSup>
                  <m:e>
                    <m:r>
                      <m:t>c</m:t>
                    </m:r>
                  </m:e>
                  <m:sup>
                    <m:r>
                      <m:t>2</m:t>
                    </m:r>
                  </m:sup>
                </m:sSup>
              </m:oMath>
            </m:oMathPara>
          </w:p>
        </w:tc>
      </w:tr>
    </w:tbl>
    <w:p>
      <w:pPr>
        <w:pStyle w:val="FirstParagraph"/>
      </w:pPr>
      <w:r>
        <w:t xml:space="preserve">If assigned an ID, display math equations will be automatically numbered:</w:t>
      </w:r>
    </w:p>
    <w:p>
      <w:pPr>
        <w:pStyle w:val="BodyText"/>
      </w:pPr>
      <w:bookmarkStart w:id="34" w:name="eq-black-scholes"/>
      <m:oMathPara>
        <m:oMathParaPr>
          <m:jc m:val="center"/>
        </m:oMathParaPr>
        <m:oMath>
          <m:f>
            <m:fPr>
              <m:type m:val="bar"/>
            </m:fPr>
            <m:num>
              <m:r>
                <m:rPr>
                  <m:sty m:val="p"/>
                </m:rPr>
                <m:t>∂</m:t>
              </m:r>
              <m:r>
                <m:rPr>
                  <m:sty m:val="p"/>
                </m:rPr>
                <m:t>C</m:t>
              </m:r>
            </m:num>
            <m:den>
              <m:r>
                <m:rPr>
                  <m:sty m:val="p"/>
                </m:rPr>
                <m:t>∂</m:t>
              </m:r>
              <m:r>
                <m:rPr>
                  <m:sty m:val="p"/>
                </m:rPr>
                <m:t>t</m:t>
              </m:r>
            </m:den>
          </m:f>
          <m:r>
            <m:rPr>
              <m:sty m:val="p"/>
            </m:rPr>
            <m:t>+</m:t>
          </m:r>
          <m:f>
            <m:fPr>
              <m:type m:val="bar"/>
            </m:fPr>
            <m:num>
              <m:r>
                <m:t>1</m:t>
              </m:r>
            </m:num>
            <m:den>
              <m:r>
                <m:t>2</m:t>
              </m:r>
            </m:den>
          </m:f>
          <m:sSup>
            <m:e>
              <m:r>
                <m:t>σ</m:t>
              </m:r>
            </m:e>
            <m:sup>
              <m:r>
                <m:t>2</m:t>
              </m:r>
            </m:sup>
          </m:sSup>
          <m:sSup>
            <m:e>
              <m:r>
                <m:rPr>
                  <m:sty m:val="p"/>
                </m:rPr>
                <m:t>S</m:t>
              </m:r>
            </m:e>
            <m:sup>
              <m:r>
                <m:t>2</m:t>
              </m:r>
            </m:sup>
          </m:sSup>
          <m:f>
            <m:fPr>
              <m:type m:val="bar"/>
            </m:fPr>
            <m:num>
              <m:sSup>
                <m:e>
                  <m:r>
                    <m:rPr>
                      <m:sty m:val="p"/>
                    </m:rPr>
                    <m:t>∂</m:t>
                  </m:r>
                </m:e>
                <m:sup>
                  <m:r>
                    <m:t>2</m:t>
                  </m:r>
                </m:sup>
              </m:sSup>
              <m:r>
                <m:rPr>
                  <m:sty m:val="p"/>
                </m:rPr>
                <m:t>C</m:t>
              </m:r>
            </m:num>
            <m:den>
              <m:r>
                <m:rPr>
                  <m:sty m:val="p"/>
                </m:rPr>
                <m:t>∂</m:t>
              </m:r>
              <m:sSup>
                <m:e>
                  <m:r>
                    <m:rPr>
                      <m:sty m:val="p"/>
                    </m:rPr>
                    <m:t>C</m:t>
                  </m:r>
                </m:e>
                <m:sup>
                  <m:r>
                    <m:t>2</m:t>
                  </m:r>
                </m:sup>
              </m:sSup>
            </m:den>
          </m:f>
          <m:r>
            <m:rPr>
              <m:sty m:val="p"/>
            </m:rPr>
            <m:t>+</m:t>
          </m:r>
          <m:r>
            <m:rPr>
              <m:sty m:val="p"/>
            </m:rPr>
            <m:t>r</m:t>
          </m:r>
          <m:r>
            <m:rPr>
              <m:sty m:val="p"/>
            </m:rPr>
            <m:t>S</m:t>
          </m:r>
          <m:f>
            <m:fPr>
              <m:type m:val="bar"/>
            </m:fPr>
            <m:num>
              <m:r>
                <m:rPr>
                  <m:sty m:val="p"/>
                </m:rPr>
                <m:t>∂</m:t>
              </m:r>
              <m:r>
                <m:rPr>
                  <m:sty m:val="p"/>
                </m:rPr>
                <m:t>C</m:t>
              </m:r>
            </m:num>
            <m:den>
              <m:r>
                <m:rPr>
                  <m:sty m:val="p"/>
                </m:rPr>
                <m:t>∂</m:t>
              </m:r>
              <m:r>
                <m:rPr>
                  <m:sty m:val="p"/>
                </m:rPr>
                <m:t>S</m:t>
              </m:r>
            </m:den>
          </m:f>
          <m:r>
            <m:t> </m:t>
          </m:r>
          <m:r>
            <m:rPr>
              <m:sty m:val="p"/>
            </m:rPr>
            <m:t>=</m:t>
          </m:r>
          <m:r>
            <m:rPr>
              <m:sty m:val="p"/>
            </m:rPr>
            <m:t>r</m:t>
          </m:r>
          <m:r>
            <m:rPr>
              <m:sty m:val="p"/>
            </m:rPr>
            <m:t>C</m:t>
          </m:r>
          <m:r>
            <m:t>  </m:t>
          </m:r>
          <m:d>
            <m:dPr>
              <m:begChr m:val="("/>
              <m:endChr m:val=")"/>
              <m:sepChr m:val=""/>
              <m:grow/>
            </m:dPr>
            <m:e>
              <m:r>
                <m:t>1</m:t>
              </m:r>
            </m:e>
          </m:d>
        </m:oMath>
      </m:oMathPara>
      <w:bookmarkEnd w:id="34"/>
    </w:p>
    <w:bookmarkEnd w:id="35"/>
    <w:bookmarkStart w:id="36" w:name="other-blocks"/>
    <w:p>
      <w:pPr>
        <w:pStyle w:val="Heading2"/>
      </w:pPr>
      <w:r>
        <w:t xml:space="preserve">Other Blocks</w:t>
      </w:r>
    </w:p>
    <w:tbl>
      <w:tblPr>
        <w:tblStyle w:val="Table"/>
        <w:tblW w:type="pct" w:w="3819"/>
        <w:tblLook w:firstRow="1" w:lastRow="0" w:firstColumn="0" w:lastColumn="0" w:noHBand="0" w:noVBand="0" w:val="0020"/>
        <w:jc w:val="start"/>
      </w:tblPr>
      <w:tblGrid>
        <w:gridCol w:w="3080"/>
        <w:gridCol w:w="2970"/>
      </w:tblGrid>
      <w:tr>
        <w:trPr>
          <w:tblHeader w:val="true"/>
        </w:trPr>
        <w:tc>
          <w:tcPr/>
          <w:p>
            <w:pPr>
              <w:pStyle w:val="Compact"/>
              <w:jc w:val="left"/>
            </w:pPr>
            <w:r>
              <w:t xml:space="preserve">Markdown Syntax</w:t>
            </w:r>
          </w:p>
        </w:tc>
        <w:tc>
          <w:tcPr/>
          <w:p>
            <w:pPr>
              <w:pStyle w:val="Compact"/>
              <w:jc w:val="left"/>
            </w:pPr>
            <w:r>
              <w:t xml:space="preserve">Output</w:t>
            </w:r>
          </w:p>
        </w:tc>
      </w:tr>
      <w:tr>
        <w:tc>
          <w:tcPr/>
          <w:p>
            <w:pPr>
              <w:pStyle w:val="SourceCode"/>
              <w:jc w:val="left"/>
            </w:pPr>
            <w:r>
              <w:rPr>
                <w:rStyle w:val="VerbatimChar"/>
              </w:rPr>
              <w:t xml:space="preserve">&gt; Blockquote</w:t>
            </w:r>
          </w:p>
        </w:tc>
        <w:tc>
          <w:tcPr/>
          <w:p>
            <w:pPr>
              <w:pStyle w:val="BlockText"/>
              <w:jc w:val="left"/>
            </w:pPr>
            <w:r>
              <w:t xml:space="preserve">Blockquote</w:t>
            </w:r>
          </w:p>
        </w:tc>
      </w:tr>
      <w:tr>
        <w:tc>
          <w:tcPr/>
          <w:p>
            <w:pPr>
              <w:pStyle w:val="SourceCode"/>
              <w:jc w:val="left"/>
            </w:pPr>
            <w:r>
              <w:rPr>
                <w:rStyle w:val="VerbatimChar"/>
              </w:rPr>
              <w:t xml:space="preserve">| Line Block</w:t>
            </w:r>
            <w:r>
              <w:br/>
            </w:r>
            <w:r>
              <w:rPr>
                <w:rStyle w:val="VerbatimChar"/>
              </w:rPr>
              <w:t xml:space="preserve">|   Spaces and newlines</w:t>
            </w:r>
            <w:r>
              <w:br/>
            </w:r>
            <w:r>
              <w:rPr>
                <w:rStyle w:val="VerbatimChar"/>
              </w:rPr>
              <w:t xml:space="preserve">|   are preserved</w:t>
            </w:r>
          </w:p>
        </w:tc>
        <w:tc>
          <w:tcPr/>
          <w:p>
            <w:pPr>
              <w:jc w:val="left"/>
            </w:pPr>
            <w:r>
              <w:t xml:space="preserve">Line Block</w:t>
            </w:r>
            <w:r>
              <w:br/>
            </w:r>
            <w:r>
              <w:t xml:space="preserve">   Spaces and newlines</w:t>
            </w:r>
            <w:r>
              <w:br/>
            </w:r>
            <w:r>
              <w:t xml:space="preserve">   are preserved</w:t>
            </w:r>
          </w:p>
        </w:tc>
      </w:tr>
    </w:tbl>
    <w:bookmarkEnd w:id="36"/>
    <w:bookmarkStart w:id="42" w:name="sec-crf"/>
    <w:p>
      <w:pPr>
        <w:pStyle w:val="Heading2"/>
      </w:pPr>
      <w:r>
        <w:t xml:space="preserve">Cross-references</w:t>
      </w:r>
    </w:p>
    <w:tbl>
      <w:tblPr>
        <w:tblStyle w:val="Table"/>
        <w:tblW w:type="pct" w:w="5000"/>
        <w:tblLook w:firstRow="0" w:lastRow="0" w:firstColumn="0" w:lastColumn="0" w:noHBand="0" w:noVBand="0" w:val="0000"/>
        <w:jc w:val="start"/>
      </w:tblPr>
      <w:tblGrid>
        <w:gridCol w:w="7920"/>
      </w:tblGrid>
      <w:tr>
        <w:tc>
          <w:tcPr/>
          <w:bookmarkStart w:id="40" w:name="fig-sunflower"/>
          <w:p>
            <w:pPr>
              <w:jc w:val="center"/>
            </w:pPr>
            <w:r>
              <w:drawing>
                <wp:inline>
                  <wp:extent cx="5334000" cy="5756762"/>
                  <wp:effectExtent b="0" l="0" r="0" t="0"/>
                  <wp:docPr descr="" title="" id="38" name="Picture"/>
                  <a:graphic>
                    <a:graphicData uri="http://schemas.openxmlformats.org/drawingml/2006/picture">
                      <pic:pic>
                        <pic:nvPicPr>
                          <pic:cNvPr descr="sunflower.png" id="39" name="Picture"/>
                          <pic:cNvPicPr>
                            <a:picLocks noChangeArrowheads="1" noChangeAspect="1"/>
                          </pic:cNvPicPr>
                        </pic:nvPicPr>
                        <pic:blipFill>
                          <a:blip r:embed="rId37"/>
                          <a:stretch>
                            <a:fillRect/>
                          </a:stretch>
                        </pic:blipFill>
                        <pic:spPr bwMode="auto">
                          <a:xfrm>
                            <a:off x="0" y="0"/>
                            <a:ext cx="5334000" cy="57567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sunflower</w:t>
            </w:r>
          </w:p>
          <w:bookmarkEnd w:id="40"/>
        </w:tc>
      </w:tr>
    </w:tbl>
    <w:p>
      <w:pPr>
        <w:pStyle w:val="BodyText"/>
      </w:pPr>
      <w:r>
        <w:t xml:space="preserve"> </w:t>
      </w:r>
    </w:p>
    <w:tbl>
      <w:tblPr>
        <w:tblStyle w:val="Table"/>
        <w:tblW w:type="pct" w:w="4861"/>
        <w:tblLook w:firstRow="1" w:lastRow="0" w:firstColumn="0" w:lastColumn="0" w:noHBand="0" w:noVBand="0" w:val="0020"/>
        <w:jc w:val="start"/>
      </w:tblPr>
      <w:tblGrid>
        <w:gridCol w:w="3960"/>
        <w:gridCol w:w="3740"/>
      </w:tblGrid>
      <w:tr>
        <w:trPr>
          <w:tblHeader w:val="true"/>
        </w:trPr>
        <w:tc>
          <w:tcPr/>
          <w:p>
            <w:pPr>
              <w:pStyle w:val="Compact"/>
              <w:jc w:val="left"/>
            </w:pPr>
            <w:r>
              <w:t xml:space="preserve">Markdown Format</w:t>
            </w:r>
          </w:p>
        </w:tc>
        <w:tc>
          <w:tcPr/>
          <w:p>
            <w:pPr>
              <w:pStyle w:val="Compact"/>
              <w:jc w:val="left"/>
            </w:pPr>
            <w:r>
              <w:t xml:space="preserve">Output</w:t>
            </w:r>
          </w:p>
        </w:tc>
      </w:tr>
      <w:tr>
        <w:tc>
          <w:tcPr/>
          <w:p>
            <w:pPr>
              <w:pStyle w:val="SourceCode"/>
              <w:jc w:val="left"/>
            </w:pPr>
            <w:r>
              <w:rPr>
                <w:rStyle w:val="VerbatimChar"/>
              </w:rPr>
              <w:t xml:space="preserve">@fig-sunflower is pretty.</w:t>
            </w:r>
          </w:p>
        </w:tc>
        <w:tc>
          <w:tcPr/>
          <w:p>
            <w:pPr>
              <w:pStyle w:val="Compact"/>
              <w:jc w:val="left"/>
            </w:pPr>
            <w:hyperlink w:anchor="fig-sunflower">
              <w:r>
                <w:rPr>
                  <w:rStyle w:val="Hyperlink"/>
                </w:rPr>
                <w:t xml:space="preserve">Figure 2</w:t>
              </w:r>
            </w:hyperlink>
            <w:r>
              <w:t xml:space="preserve"> </w:t>
            </w:r>
            <w:r>
              <w:t xml:space="preserve">is pretty.</w:t>
            </w:r>
          </w:p>
        </w:tc>
      </w:tr>
      <w:tr>
        <w:tc>
          <w:tcPr/>
          <w:p>
            <w:pPr>
              <w:pStyle w:val="SourceCode"/>
              <w:jc w:val="left"/>
            </w:pPr>
            <w:r>
              <w:rPr>
                <w:rStyle w:val="VerbatimChar"/>
              </w:rPr>
              <w:t xml:space="preserve">@tbl-glm was created from code.</w:t>
            </w:r>
          </w:p>
        </w:tc>
        <w:tc>
          <w:tcPr/>
          <w:p>
            <w:pPr>
              <w:pStyle w:val="Compact"/>
              <w:jc w:val="left"/>
            </w:pPr>
            <w:r>
              <w:rPr>
                <w:bCs/>
                <w:b/>
              </w:rPr>
              <w:t xml:space="preserve">?@tbl-glm</w:t>
            </w:r>
            <w:r>
              <w:t xml:space="preserve"> </w:t>
            </w:r>
            <w:r>
              <w:t xml:space="preserve">was created from code.</w:t>
            </w:r>
          </w:p>
        </w:tc>
      </w:tr>
      <w:tr>
        <w:tc>
          <w:tcPr/>
          <w:p>
            <w:pPr>
              <w:pStyle w:val="SourceCode"/>
              <w:jc w:val="left"/>
            </w:pPr>
            <w:r>
              <w:rPr>
                <w:rStyle w:val="VerbatimChar"/>
              </w:rPr>
              <w:t xml:space="preserve">@sec-crf is this section.</w:t>
            </w:r>
          </w:p>
        </w:tc>
        <w:tc>
          <w:tcPr/>
          <w:p>
            <w:pPr>
              <w:pStyle w:val="Compact"/>
              <w:jc w:val="left"/>
            </w:pPr>
            <w:hyperlink w:anchor="sec-crf">
              <w:r>
                <w:rPr>
                  <w:rStyle w:val="Hyperlink"/>
                </w:rPr>
                <w:t xml:space="preserve">Section 5.4</w:t>
              </w:r>
            </w:hyperlink>
            <w:r>
              <w:t xml:space="preserve"> </w:t>
            </w:r>
            <w:r>
              <w:t xml:space="preserve">is this section.</w:t>
            </w:r>
          </w:p>
        </w:tc>
      </w:tr>
      <w:tr>
        <w:tc>
          <w:tcPr/>
          <w:p>
            <w:pPr>
              <w:pStyle w:val="SourceCode"/>
              <w:jc w:val="left"/>
            </w:pPr>
            <w:r>
              <w:rPr>
                <w:rStyle w:val="VerbatimChar"/>
              </w:rPr>
              <w:t xml:space="preserve">@eq-black-scholes is above.</w:t>
            </w:r>
          </w:p>
        </w:tc>
        <w:tc>
          <w:tcPr/>
          <w:p>
            <w:pPr>
              <w:pStyle w:val="Compact"/>
              <w:jc w:val="left"/>
            </w:pPr>
            <w:hyperlink w:anchor="eq-black-scholes">
              <w:r>
                <w:rPr>
                  <w:rStyle w:val="Hyperlink"/>
                </w:rPr>
                <w:t xml:space="preserve">Equation 1</w:t>
              </w:r>
            </w:hyperlink>
            <w:r>
              <w:t xml:space="preserve"> </w:t>
            </w:r>
            <w:r>
              <w:t xml:space="preserve">is above.</w:t>
            </w:r>
          </w:p>
        </w:tc>
      </w:tr>
    </w:tbl>
    <w:p>
      <w:pPr>
        <w:pStyle w:val="BodyText"/>
      </w:pPr>
      <w:r>
        <w:t xml:space="preserve">See the</w:t>
      </w:r>
      <w:r>
        <w:t xml:space="preserve"> </w:t>
      </w:r>
      <w:hyperlink r:id="rId41">
        <w:r>
          <w:rPr>
            <w:rStyle w:val="Hyperlink"/>
          </w:rPr>
          <w:t xml:space="preserve">Quarto documentation on cross-references for more</w:t>
        </w:r>
      </w:hyperlink>
      <w:r>
        <w:t xml:space="preserve">.</w:t>
      </w:r>
    </w:p>
    <w:bookmarkEnd w:id="42"/>
    <w:bookmarkEnd w:id="43"/>
    <w:bookmarkStart w:id="47" w:name="citations"/>
    <w:p>
      <w:pPr>
        <w:pStyle w:val="Heading1"/>
      </w:pPr>
      <w:r>
        <w:t xml:space="preserve">Citations</w:t>
      </w:r>
    </w:p>
    <w:p>
      <w:pPr>
        <w:pStyle w:val="FirstParagraph"/>
      </w:pPr>
      <w:r>
        <w:t xml:space="preserve">This section of the template is adapted from the</w:t>
      </w:r>
      <w:r>
        <w:t xml:space="preserve"> </w:t>
      </w:r>
      <w:hyperlink r:id="rId44">
        <w:r>
          <w:rPr>
            <w:rStyle w:val="Hyperlink"/>
          </w:rPr>
          <w:t xml:space="preserve">Quarto citation documentation</w:t>
        </w:r>
      </w:hyperlink>
      <w:r>
        <w:t xml:space="preserve">.</w:t>
      </w:r>
    </w:p>
    <w:p>
      <w:pPr>
        <w:pStyle w:val="BodyText"/>
      </w:pPr>
      <w:r>
        <w:t xml:space="preserve">bla bla bla</w:t>
      </w:r>
      <w:r>
        <w:t xml:space="preserve"> </w:t>
      </w:r>
      <w:r>
        <w:t xml:space="preserve">(Bai et al. 2022)</w:t>
      </w:r>
    </w:p>
    <w:p>
      <w:pPr>
        <w:pStyle w:val="BodyText"/>
      </w:pPr>
      <w:r>
        <w:t xml:space="preserve">Quarto supports bibliography files in a wide variety of formats including BibTeX and CSL. Add a bibliography to your document using the</w:t>
      </w:r>
      <w:r>
        <w:t xml:space="preserve"> </w:t>
      </w:r>
      <w:r>
        <w:rPr>
          <w:rStyle w:val="VerbatimChar"/>
        </w:rPr>
        <w:t xml:space="preserve">bibliography</w:t>
      </w:r>
      <w:r>
        <w:t xml:space="preserve"> </w:t>
      </w:r>
      <w:r>
        <w:t xml:space="preserve">YAML metadata field. For example:</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"My Document"</w:t>
      </w:r>
      <w:r>
        <w:br/>
      </w:r>
      <w:r>
        <w:rPr>
          <w:rStyle w:val="FunctionTok"/>
        </w:rPr>
        <w:t xml:space="preserve">bibliography</w:t>
      </w:r>
      <w:r>
        <w:rPr>
          <w:rStyle w:val="KeywordTok"/>
        </w:rPr>
        <w:t xml:space="preserve">:</w:t>
      </w:r>
      <w:r>
        <w:rPr>
          <w:rStyle w:val="AttributeTok"/>
        </w:rPr>
        <w:t xml:space="preserve"> references.bib</w:t>
      </w:r>
      <w:r>
        <w:br/>
      </w:r>
      <w:r>
        <w:rPr>
          <w:rStyle w:val="PreprocessorTok"/>
        </w:rPr>
        <w:t xml:space="preserve">---</w:t>
      </w:r>
    </w:p>
    <w:p>
      <w:pPr>
        <w:pStyle w:val="FirstParagraph"/>
      </w:pPr>
      <w:r>
        <w:t xml:space="preserve">See the</w:t>
      </w:r>
      <w:r>
        <w:t xml:space="preserve"> </w:t>
      </w:r>
      <w:hyperlink r:id="rId45">
        <w:r>
          <w:rPr>
            <w:rStyle w:val="Hyperlink"/>
          </w:rPr>
          <w:t xml:space="preserve">Pandoc Citations</w:t>
        </w:r>
      </w:hyperlink>
      <w:r>
        <w:t xml:space="preserve"> </w:t>
      </w:r>
      <w:r>
        <w:t xml:space="preserve">documentation for additional information on bibliography formats.</w:t>
      </w:r>
    </w:p>
    <w:bookmarkStart w:id="46" w:name="sec-citations"/>
    <w:p>
      <w:pPr>
        <w:pStyle w:val="Heading2"/>
      </w:pPr>
      <w:r>
        <w:t xml:space="preserve">Citation Syntax</w:t>
      </w:r>
    </w:p>
    <w:p>
      <w:pPr>
        <w:pStyle w:val="FirstParagraph"/>
      </w:pPr>
      <w:r>
        <w:t xml:space="preserve">Quarto uses the standard Pandoc markdown representation for citations. Here are some examples:</w:t>
      </w:r>
    </w:p>
    <w:tbl>
      <w:tblPr>
        <w:tblStyle w:val="Table"/>
        <w:tblW w:type="pct" w:w="5000"/>
        <w:tblLook w:firstRow="1" w:lastRow="0" w:firstColumn="0" w:lastColumn="0" w:noHBand="0" w:noVBand="0" w:val="0020"/>
        <w:jc w:val="start"/>
      </w:tblPr>
      <w:tblGrid>
        <w:gridCol w:w="2933"/>
        <w:gridCol w:w="4986"/>
      </w:tblGrid>
      <w:tr>
        <w:trPr>
          <w:tblHeader w:val="true"/>
        </w:trPr>
        <w:tc>
          <w:tcPr/>
          <w:p>
            <w:pPr>
              <w:pStyle w:val="Compact"/>
              <w:jc w:val="left"/>
            </w:pPr>
            <w:r>
              <w:t xml:space="preserve">Markdown Format</w:t>
            </w:r>
          </w:p>
        </w:tc>
        <w:tc>
          <w:tcPr/>
          <w:p>
            <w:pPr>
              <w:pStyle w:val="Compact"/>
              <w:jc w:val="left"/>
            </w:pPr>
            <w:r>
              <w:t xml:space="preserve">Output</w:t>
            </w:r>
          </w:p>
        </w:tc>
      </w:tr>
      <w:tr>
        <w:tc>
          <w:tcPr/>
          <w:p>
            <w:pPr>
              <w:pStyle w:val="SourceCode"/>
              <w:jc w:val="left"/>
            </w:pPr>
            <w:r>
              <w:rPr>
                <w:rStyle w:val="VerbatimChar"/>
              </w:rPr>
              <w:t xml:space="preserve">Blah Blah [see @knuth1984, pp. 33-35;</w:t>
            </w:r>
            <w:r>
              <w:br/>
            </w:r>
            <w:r>
              <w:rPr>
                <w:rStyle w:val="VerbatimChar"/>
              </w:rPr>
              <w:t xml:space="preserve">also @wickham2015, chap. 1]</w:t>
            </w:r>
          </w:p>
        </w:tc>
        <w:tc>
          <w:tcPr/>
          <w:p>
            <w:pPr>
              <w:pStyle w:val="Compact"/>
              <w:jc w:val="left"/>
            </w:pPr>
            <w:r>
              <w:t xml:space="preserve">Blah Blah</w:t>
            </w:r>
            <w:r>
              <w:t xml:space="preserve"> </w:t>
            </w:r>
            <w:r>
              <w:t xml:space="preserve">(see</w:t>
            </w:r>
            <w:r>
              <w:t xml:space="preserve"> </w:t>
            </w:r>
            <w:r>
              <w:rPr>
                <w:bCs/>
                <w:b/>
              </w:rPr>
              <w:t xml:space="preserve">knuth1984?</w:t>
            </w:r>
            <w:r>
              <w:t xml:space="preserve">; also</w:t>
            </w:r>
            <w:r>
              <w:t xml:space="preserve"> </w:t>
            </w:r>
            <w:r>
              <w:rPr>
                <w:bCs/>
                <w:b/>
              </w:rPr>
              <w:t xml:space="preserve">wickham2015?</w:t>
            </w:r>
            <w:r>
              <w:t xml:space="preserve">)</w:t>
            </w:r>
          </w:p>
        </w:tc>
      </w:tr>
      <w:tr>
        <w:tc>
          <w:tcPr/>
          <w:p>
            <w:pPr>
              <w:pStyle w:val="SourceCode"/>
              <w:jc w:val="left"/>
            </w:pPr>
            <w:r>
              <w:rPr>
                <w:rStyle w:val="VerbatimChar"/>
              </w:rPr>
              <w:t xml:space="preserve">Blah Blah [@knuth1984, pp. 33-35,</w:t>
            </w:r>
            <w:r>
              <w:br/>
            </w:r>
            <w:r>
              <w:rPr>
                <w:rStyle w:val="VerbatimChar"/>
              </w:rPr>
              <w:t xml:space="preserve">38-39 and passim]</w:t>
            </w:r>
          </w:p>
        </w:tc>
        <w:tc>
          <w:tcPr/>
          <w:p>
            <w:pPr>
              <w:pStyle w:val="Compact"/>
              <w:jc w:val="left"/>
            </w:pPr>
            <w:r>
              <w:t xml:space="preserve">Blah Blah</w:t>
            </w:r>
            <w:r>
              <w:t xml:space="preserve"> </w:t>
            </w:r>
            <w:r>
              <w:t xml:space="preserve">(</w:t>
            </w:r>
            <w:r>
              <w:rPr>
                <w:bCs/>
                <w:b/>
              </w:rPr>
              <w:t xml:space="preserve">knuth1984?</w:t>
            </w:r>
            <w:r>
              <w:t xml:space="preserve"> </w:t>
            </w:r>
            <w:r>
              <w:t xml:space="preserve">and passim)</w:t>
            </w:r>
          </w:p>
        </w:tc>
      </w:tr>
      <w:tr>
        <w:tc>
          <w:tcPr/>
          <w:p>
            <w:pPr>
              <w:pStyle w:val="SourceCode"/>
              <w:jc w:val="left"/>
            </w:pPr>
            <w:r>
              <w:rPr>
                <w:rStyle w:val="VerbatimChar"/>
              </w:rPr>
              <w:t xml:space="preserve">Blah Blah [@wickham2015; @knuth1984].</w:t>
            </w:r>
          </w:p>
        </w:tc>
        <w:tc>
          <w:tcPr/>
          <w:p>
            <w:pPr>
              <w:pStyle w:val="Compact"/>
              <w:jc w:val="left"/>
            </w:pPr>
            <w:r>
              <w:t xml:space="preserve">Blah Blah</w:t>
            </w:r>
            <w:r>
              <w:t xml:space="preserve"> </w:t>
            </w:r>
            <w:r>
              <w:t xml:space="preserve">(</w:t>
            </w:r>
            <w:r>
              <w:rPr>
                <w:bCs/>
                <w:b/>
              </w:rPr>
              <w:t xml:space="preserve">wickham2015?</w:t>
            </w:r>
            <w:r>
              <w:t xml:space="preserve">;</w:t>
            </w:r>
            <w:r>
              <w:t xml:space="preserve"> </w:t>
            </w:r>
            <w:r>
              <w:rPr>
                <w:bCs/>
                <w:b/>
              </w:rPr>
              <w:t xml:space="preserve">knuth1984?</w:t>
            </w:r>
            <w:r>
              <w:t xml:space="preserve">)</w:t>
            </w:r>
            <w:r>
              <w:t xml:space="preserve">.</w:t>
            </w:r>
          </w:p>
        </w:tc>
      </w:tr>
      <w:tr>
        <w:tc>
          <w:tcPr/>
          <w:p>
            <w:pPr>
              <w:pStyle w:val="SourceCode"/>
              <w:jc w:val="left"/>
            </w:pPr>
            <w:r>
              <w:rPr>
                <w:rStyle w:val="VerbatimChar"/>
              </w:rPr>
              <w:t xml:space="preserve">Wickham says blah [-@wickham2015]</w:t>
            </w:r>
          </w:p>
        </w:tc>
        <w:tc>
          <w:tcPr/>
          <w:p>
            <w:pPr>
              <w:pStyle w:val="Compact"/>
              <w:jc w:val="left"/>
            </w:pPr>
            <w:r>
              <w:t xml:space="preserve">Wickham says blah</w:t>
            </w:r>
            <w:r>
              <w:t xml:space="preserve"> </w:t>
            </w:r>
            <w:r>
              <w:t xml:space="preserve">(</w:t>
            </w:r>
            <w:r>
              <w:rPr>
                <w:bCs/>
                <w:b/>
              </w:rPr>
              <w:t xml:space="preserve">wickham2015?</w:t>
            </w:r>
            <w:r>
              <w:t xml:space="preserve">)</w:t>
            </w:r>
          </w:p>
        </w:tc>
      </w:tr>
    </w:tbl>
    <w:p>
      <w:pPr>
        <w:pStyle w:val="BodyText"/>
      </w:pPr>
      <w:r>
        <w:t xml:space="preserve">You can also write in-text citations, as follows:</w:t>
      </w:r>
    </w:p>
    <w:tbl>
      <w:tblPr>
        <w:tblStyle w:val="Table"/>
        <w:tblW w:type="pct" w:w="4722"/>
        <w:tblLook w:firstRow="1" w:lastRow="0" w:firstColumn="0" w:lastColumn="0" w:noHBand="0" w:noVBand="0" w:val="0020"/>
        <w:jc w:val="start"/>
      </w:tblPr>
      <w:tblGrid>
        <w:gridCol w:w="3960"/>
        <w:gridCol w:w="3520"/>
      </w:tblGrid>
      <w:tr>
        <w:trPr>
          <w:tblHeader w:val="true"/>
        </w:trPr>
        <w:tc>
          <w:tcPr/>
          <w:p>
            <w:pPr>
              <w:pStyle w:val="Compact"/>
              <w:jc w:val="left"/>
            </w:pPr>
            <w:r>
              <w:t xml:space="preserve">Markdown Format</w:t>
            </w:r>
          </w:p>
        </w:tc>
        <w:tc>
          <w:tcPr/>
          <w:p>
            <w:pPr>
              <w:pStyle w:val="Compact"/>
              <w:jc w:val="left"/>
            </w:pPr>
            <w:r>
              <w:t xml:space="preserve">Output</w:t>
            </w:r>
          </w:p>
        </w:tc>
      </w:tr>
      <w:tr>
        <w:tc>
          <w:tcPr/>
          <w:p>
            <w:pPr>
              <w:pStyle w:val="SourceCode"/>
              <w:jc w:val="left"/>
            </w:pPr>
            <w:r>
              <w:rPr>
                <w:rStyle w:val="VerbatimChar"/>
              </w:rPr>
              <w:t xml:space="preserve">@knuth1984 says blah.</w:t>
            </w:r>
          </w:p>
        </w:tc>
        <w:tc>
          <w:tcPr/>
          <w:p>
            <w:pPr>
              <w:pStyle w:val="Compact"/>
              <w:jc w:val="left"/>
            </w:pPr>
            <w:r>
              <w:t xml:space="preserve">(</w:t>
            </w:r>
            <w:r>
              <w:rPr>
                <w:bCs/>
                <w:b/>
              </w:rPr>
              <w:t xml:space="preserve">knuth1984?</w:t>
            </w:r>
            <w:r>
              <w:t xml:space="preserve">)</w:t>
            </w:r>
            <w:r>
              <w:t xml:space="preserve"> </w:t>
            </w:r>
            <w:r>
              <w:t xml:space="preserve">says blah.</w:t>
            </w:r>
          </w:p>
        </w:tc>
      </w:tr>
      <w:tr>
        <w:tc>
          <w:tcPr/>
          <w:p>
            <w:pPr>
              <w:pStyle w:val="SourceCode"/>
              <w:jc w:val="left"/>
            </w:pPr>
            <w:r>
              <w:rPr>
                <w:rStyle w:val="VerbatimChar"/>
              </w:rPr>
              <w:t xml:space="preserve">@knuth1984 [p. 33] says blah.</w:t>
            </w:r>
          </w:p>
        </w:tc>
        <w:tc>
          <w:tcPr/>
          <w:p>
            <w:pPr>
              <w:pStyle w:val="Compact"/>
              <w:jc w:val="left"/>
            </w:pPr>
            <w:r>
              <w:t xml:space="preserve">(</w:t>
            </w:r>
            <w:r>
              <w:rPr>
                <w:bCs/>
                <w:b/>
              </w:rPr>
              <w:t xml:space="preserve">knuth1984?</w:t>
            </w:r>
            <w:r>
              <w:t xml:space="preserve">)</w:t>
            </w:r>
            <w:r>
              <w:t xml:space="preserve"> </w:t>
            </w:r>
            <w:r>
              <w:t xml:space="preserve">says blah.</w:t>
            </w:r>
          </w:p>
        </w:tc>
      </w:tr>
    </w:tbl>
    <w:p>
      <w:pPr>
        <w:pStyle w:val="BodyText"/>
      </w:pPr>
      <w:r>
        <w:t xml:space="preserve">See the</w:t>
      </w:r>
      <w:r>
        <w:t xml:space="preserve"> </w:t>
      </w:r>
      <w:hyperlink r:id="rId45">
        <w:r>
          <w:rPr>
            <w:rStyle w:val="Hyperlink"/>
          </w:rPr>
          <w:t xml:space="preserve">Pandoc Citations</w:t>
        </w:r>
      </w:hyperlink>
      <w:r>
        <w:t xml:space="preserve"> </w:t>
      </w:r>
      <w:r>
        <w:t xml:space="preserve">documentation for additional information on citation syntax.</w:t>
      </w:r>
    </w:p>
    <w:p>
      <w:pPr>
        <w:pStyle w:val="BodyText"/>
      </w:pPr>
      <w:r>
        <w:t xml:space="preserve">To provide a custom citation stylesheet, provide a path to a CSL file using the</w:t>
      </w:r>
      <w:r>
        <w:t xml:space="preserve"> </w:t>
      </w:r>
      <w:r>
        <w:rPr>
          <w:rStyle w:val="VerbatimChar"/>
        </w:rPr>
        <w:t xml:space="preserve">csl</w:t>
      </w:r>
      <w:r>
        <w:t xml:space="preserve"> </w:t>
      </w:r>
      <w:r>
        <w:t xml:space="preserve">metadata field in your document, for example:</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"My Document"</w:t>
      </w:r>
      <w:r>
        <w:br/>
      </w:r>
      <w:r>
        <w:rPr>
          <w:rStyle w:val="FunctionTok"/>
        </w:rPr>
        <w:t xml:space="preserve">bibliography</w:t>
      </w:r>
      <w:r>
        <w:rPr>
          <w:rStyle w:val="KeywordTok"/>
        </w:rPr>
        <w:t xml:space="preserve">:</w:t>
      </w:r>
      <w:r>
        <w:rPr>
          <w:rStyle w:val="AttributeTok"/>
        </w:rPr>
        <w:t xml:space="preserve"> references.bib</w:t>
      </w:r>
      <w:r>
        <w:br/>
      </w:r>
      <w:r>
        <w:rPr>
          <w:rStyle w:val="FunctionTok"/>
        </w:rPr>
        <w:t xml:space="preserve">csl</w:t>
      </w:r>
      <w:r>
        <w:rPr>
          <w:rStyle w:val="KeywordTok"/>
        </w:rPr>
        <w:t xml:space="preserve">:</w:t>
      </w:r>
      <w:r>
        <w:rPr>
          <w:rStyle w:val="AttributeTok"/>
        </w:rPr>
        <w:t xml:space="preserve"> nature.csl</w:t>
      </w:r>
      <w:r>
        <w:br/>
      </w:r>
      <w:r>
        <w:rPr>
          <w:rStyle w:val="PreprocessorTok"/>
        </w:rPr>
        <w:t xml:space="preserve">---</w:t>
      </w:r>
    </w:p>
    <w:p>
      <w:r>
        <w:br w:type="page"/>
      </w:r>
    </w:p>
    <w:bookmarkEnd w:id="46"/>
    <w:bookmarkEnd w:id="47"/>
    <w:bookmarkStart w:id="51" w:name="references"/>
    <w:p>
      <w:pPr>
        <w:pStyle w:val="Heading1"/>
      </w:pPr>
      <w:r>
        <w:t xml:space="preserve">References</w:t>
      </w:r>
    </w:p>
    <w:bookmarkStart w:id="50" w:name="refs"/>
    <w:bookmarkStart w:id="49" w:name="ref-bai_constitutional_2022"/>
    <w:p>
      <w:pPr>
        <w:pStyle w:val="Bibliography"/>
      </w:pPr>
      <w:r>
        <w:t xml:space="preserve">Bai, Yuntao, Saurav Kadavath, Sandipan Kundu, Amanda Askell, Jackson Kernion, Andy Jones, Anna Chen, et al. 2022.</w:t>
      </w:r>
      <w:r>
        <w:t xml:space="preserve"> </w:t>
      </w:r>
      <w:r>
        <w:t xml:space="preserve">“Constitutional</w:t>
      </w:r>
      <w:r>
        <w:t xml:space="preserve"> </w:t>
      </w:r>
      <w:r>
        <w:t xml:space="preserve">AI</w:t>
      </w:r>
      <w:r>
        <w:t xml:space="preserve">:</w:t>
      </w:r>
      <w:r>
        <w:t xml:space="preserve"> </w:t>
      </w:r>
      <w:r>
        <w:t xml:space="preserve">Harmlessness</w:t>
      </w:r>
      <w:r>
        <w:t xml:space="preserve"> </w:t>
      </w:r>
      <w:r>
        <w:t xml:space="preserve">from</w:t>
      </w:r>
      <w:r>
        <w:t xml:space="preserve"> </w:t>
      </w:r>
      <w:r>
        <w:t xml:space="preserve">AI</w:t>
      </w:r>
      <w:r>
        <w:t xml:space="preserve"> </w:t>
      </w:r>
      <w:r>
        <w:t xml:space="preserve">Feedback</w:t>
      </w:r>
      <w:r>
        <w:t xml:space="preserve">.”</w:t>
      </w:r>
      <w:r>
        <w:t xml:space="preserve"> </w:t>
      </w:r>
      <w:r>
        <w:t xml:space="preserve">arXiv.</w:t>
      </w:r>
      <w:r>
        <w:t xml:space="preserve"> </w:t>
      </w:r>
      <w:hyperlink r:id="rId48">
        <w:r>
          <w:rPr>
            <w:rStyle w:val="Hyperlink"/>
          </w:rPr>
          <w:t xml:space="preserve">https://doi.org/10.48550/arXiv.2212.08073</w:t>
        </w:r>
      </w:hyperlink>
      <w:r>
        <w:t xml:space="preserve">.</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hyperlink" Id="rId48" Target="https://doi.org/10.48550/arXiv.2212.08073" TargetMode="External" /><Relationship Type="http://schemas.openxmlformats.org/officeDocument/2006/relationships/hyperlink" Id="rId45" Target="https://pandoc.org/MANUAL.html#citations" TargetMode="External" /><Relationship Type="http://schemas.openxmlformats.org/officeDocument/2006/relationships/hyperlink" Id="rId21" Target="https://quarto.org" TargetMode="External" /><Relationship Type="http://schemas.openxmlformats.org/officeDocument/2006/relationships/hyperlink" Id="rId41" Target="https://quarto.org/docs/authoring/cross-references.html" TargetMode="External" /><Relationship Type="http://schemas.openxmlformats.org/officeDocument/2006/relationships/hyperlink" Id="rId44" Target="https://quarto.org/docs/authoring/footnotes-and-citations.html" TargetMode="External" /><Relationship Type="http://schemas.openxmlformats.org/officeDocument/2006/relationships/hyperlink" Id="rId28" Target="https://quarto.org/docs/authoring/markdown-basics.html"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48550/arXiv.2212.08073" TargetMode="External" /><Relationship Type="http://schemas.openxmlformats.org/officeDocument/2006/relationships/hyperlink" Id="rId45" Target="https://pandoc.org/MANUAL.html#citations" TargetMode="External" /><Relationship Type="http://schemas.openxmlformats.org/officeDocument/2006/relationships/hyperlink" Id="rId21" Target="https://quarto.org" TargetMode="External" /><Relationship Type="http://schemas.openxmlformats.org/officeDocument/2006/relationships/hyperlink" Id="rId41" Target="https://quarto.org/docs/authoring/cross-references.html" TargetMode="External" /><Relationship Type="http://schemas.openxmlformats.org/officeDocument/2006/relationships/hyperlink" Id="rId44" Target="https://quarto.org/docs/authoring/footnotes-and-citations.html" TargetMode="External" /><Relationship Type="http://schemas.openxmlformats.org/officeDocument/2006/relationships/hyperlink" Id="rId28" Target="https://quarto.org/docs/authoring/markdown-basic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arXiv template</dc:title>
  <dc:creator>Steven Bickley; Son Tran</dc:creator>
  <cp:keywords>template, demo</cp:keywords>
  <dcterms:created xsi:type="dcterms:W3CDTF">2023-06-10T09:14:46Z</dcterms:created>
  <dcterms:modified xsi:type="dcterms:W3CDTF">2023-06-10T09:14:46Z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only a demo explaining how to use the template.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