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SurveyLM:</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Augmented</w:t>
      </w:r>
      <w:r>
        <w:t xml:space="preserve"> </w:t>
      </w:r>
      <w:r>
        <w:t xml:space="preserve">Language</w:t>
      </w:r>
      <w:r>
        <w:t xml:space="preserve"> </w:t>
      </w:r>
      <w:r>
        <w:t xml:space="preserve">Models’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29.07.2023</w:t>
      </w:r>
    </w:p>
    <w:p>
      <w:pPr>
        <w:pStyle w:val="AbstractTitle"/>
      </w:pPr>
      <w:r>
        <w:t xml:space="preserve">Abstract</w:t>
      </w:r>
    </w:p>
    <w:p>
      <w:pPr>
        <w:pStyle w:val="Abstract"/>
      </w:pPr>
      <w:r>
        <w:t xml:space="preserve">This</w:t>
      </w:r>
      <w:r>
        <w:t xml:space="preserve"> </w:t>
      </w:r>
      <w:r>
        <w:t xml:space="preserve">white</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SurveyLM,</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SurveyLM with 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or where an answer is heavily dependent on contextual factors (specific information in real-world situations).</w:t>
      </w:r>
    </w:p>
    <w:p>
      <w:pPr>
        <w:numPr>
          <w:ilvl w:val="0"/>
          <w:numId w:val="1001"/>
        </w:numPr>
      </w:pPr>
      <w:r>
        <w:t xml:space="preserve">The application of survey and experimental methodologies, which are extensively utilized to study social behaviors, can greatly enhance the effectiveness of language model evaluation frameworks. These approaches can provide valuable insights into the behavior and alignment of the models, particularly when implemented in a</w:t>
      </w:r>
      <w:r>
        <w:t xml:space="preserve"> </w:t>
      </w:r>
      <w:r>
        <w:rPr>
          <w:iCs/>
          <w:i/>
        </w:rPr>
        <w:t xml:space="preserve">systematic</w:t>
      </w:r>
      <w:r>
        <w:t xml:space="preserve"> </w:t>
      </w:r>
      <w:r>
        <w:t xml:space="preserve">manner.</w:t>
      </w:r>
    </w:p>
    <w:p>
      <w:pPr>
        <w:numPr>
          <w:ilvl w:val="0"/>
          <w:numId w:val="1001"/>
        </w:numPr>
      </w:pPr>
      <w:r>
        <w:t xml:space="preserve">Augmented language models (ALMs) are AI systems that currently have the most advanced general reasoning capability and are increasingly functioning within diverse and intricate social scenarios, exhibiting emergent behaviors that were previously unexpected. Therefore, it is desirable to apply survey and experimental methodologies to not only unravel the factors influencing these emergent behaviors, but also to ensure these ALMs are adapting and aligning with human intentions and expectations, thus contributing to the responsible development and deployment of advanced AI systems.</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designs is a great and underexplored application of ALMs, thus helping researchers to construct high quality survey frameworks at a fraction of the resources and time that would be otherwise required (past approach where humans have been doing everything).</w:t>
      </w:r>
    </w:p>
    <w:p>
      <w:pPr>
        <w:numPr>
          <w:ilvl w:val="0"/>
          <w:numId w:val="1001"/>
        </w:numPr>
      </w:pPr>
      <w:r>
        <w:t xml:space="preserve">SurveyLM aims to be the first platform to deliver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SurveyLM</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(social) dilemmas that help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in various contexts. We opted for a survey-based approach as it has been proven to be an effective method for probing and value elicitation of ALMs</w:t>
      </w:r>
      <w:r>
        <w:t xml:space="preserve"> </w:t>
      </w:r>
      <w:r>
        <w:t xml:space="preserve">(Arora et al., 2023; Binz &amp; Schulz, 2023)</w:t>
      </w:r>
      <w:r>
        <w:t xml:space="preserve">. Human value elicitation has always been an important research avenue</w:t>
      </w:r>
      <w:r>
        <w:t xml:space="preserve"> </w:t>
      </w:r>
      <w:r>
        <w:t xml:space="preserve">(Haerpfer et al., 2021; Hofstede, 2005)</w:t>
      </w:r>
      <w:r>
        <w:t xml:space="preserve">, as an individual’s identity and values often manifest in the choices and decisions they make. Given the increasing role of ALMs as agents interacting with humans who act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and characteristics (e.g., age, gender, ethnicity,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2021)</w:t>
      </w:r>
      <w:r>
        <w:t xml:space="preserve">.</w:t>
      </w:r>
    </w:p>
    <w:p>
      <w:pPr>
        <w:pStyle w:val="BodyText"/>
      </w:pPr>
      <w:r>
        <w:t xml:space="preserve">Defining measures of values is another crucial aspect of our platform, SurveyLM. We recognize that values are multifaceted and subjective, making their quantification challenging. Human values, as well as AI alignment to these values, evolve over time and iterations, necessitating a continuously adaptive approach. Through rigorous research and analysis, we aim to develop and translate robust methodologies to define and measure values in the context of ALMs, and to discern trends and shifts in ALMs value systems and alignment. This will provide a solid foundation for studying and understanding their behavior patterns in complex social settings.</w:t>
      </w:r>
    </w:p>
    <w:p>
      <w:pPr>
        <w:pStyle w:val="BodyText"/>
      </w:pPr>
      <w:r>
        <w:t xml:space="preserve">To effectively explore emerging value perspectives in ALMs’ behaviors, we employ state-of-the-art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management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Overall, our framework proposed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We hope that this platform holds the potential to revolutionize how researchers engage with GPT models, offering a unique blend of flexibility, efficiency, and reliability.</w:t>
      </w:r>
    </w:p>
    <w:p>
      <w:pPr>
        <w:pStyle w:val="BodyText"/>
      </w:pPr>
      <w:r>
        <w:t xml:space="preserve">In conclusion, our platform SurveyLM offers a unique opportunity to explore and understand the emerging value perspectives from ALMs’ behaviors. By addressing the questions of why values matter, defining measures of values, and simulating ALMs in complex social settings, we can generate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reducing the complexity of the underlying operations. From parameter configuration to document and data processing, we aim to create an environment that empowers the user to focus solely on their research questions and outcomes. To achieve this, complex prompt engineering and API request handling will be handled internally by the platform, abstracting the process and reducing the technical knowledge necessary to operate the tool effectively.</w:t>
      </w:r>
    </w:p>
    <w:p>
      <w:pPr>
        <w:pStyle w:val="BodyText"/>
      </w:pPr>
      <w:r>
        <w:rPr>
          <w:bCs/>
          <w:b/>
        </w:rPr>
        <w:t xml:space="preserve">Respect Research Logic:</w:t>
      </w:r>
      <w:r>
        <w:t xml:space="preserve"> </w:t>
      </w:r>
      <w:r>
        <w:t xml:space="preserve">We design the platform in such a way that, despite layers of operational complexity, keeps the research logic intact by translating parameter configurations into prompt structures that ensure LLMs’ responses would be shaped by only those configurations. This is achieved by giving researchers freedom in defining transparently what comes into and what comes out of a simulation process. Whereas, the platform focuses on building optimal prompt structure and request handling by using researchers’ inputs with minimal additional content needed to interface consistently with LLMs.</w:t>
      </w:r>
    </w:p>
    <w:p>
      <w:pPr>
        <w:pStyle w:val="BodyText"/>
      </w:pPr>
      <w:r>
        <w:rPr>
          <w:bCs/>
          <w:b/>
        </w:rPr>
        <w:t xml:space="preserve">Be Systematic Yet Flexible:</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Embrace Consistency and Dynamism:</w:t>
      </w:r>
      <w:r>
        <w:t xml:space="preserve"> </w:t>
      </w:r>
      <w:r>
        <w:t xml:space="preserve">Consistency is paramount for any research work. As such, the platform will ensure that the GPT models produce consistent responses to survey questions in terms of answer formats and compliance with other instructions. At the same time, we recognize the evolving nature of AI, incorporating the dynamic aspect of learning and growth in AI models to our consistency ethos. Balancing these elements enhances not just the reproducibility, but also the adaptive validity and reliability of our research findings.</w:t>
      </w:r>
    </w:p>
    <w:p>
      <w:pPr>
        <w:pStyle w:val="BodyText"/>
      </w:pPr>
      <w:r>
        <w:rPr>
          <w:bCs/>
          <w:b/>
        </w:rPr>
        <w:t xml:space="preserve">Respect Privacy and Data Control:</w:t>
      </w:r>
      <w:r>
        <w:t xml:space="preserve"> </w:t>
      </w:r>
      <w:r>
        <w:t xml:space="preserve">With the rise of data breaches, privacy protection is a critical concern for users. On our platform, we uphold the principle of data control, retaining user data exclusively until such time as the user decides to delete it. Upon deletion,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Additionally, any uncompleted operations will also be recorded and sent to the user for further decision making. This principle allows for seamless recovery, ensuring users’ work is never lost and fostering trust in the platform’s reliability.</w:t>
      </w:r>
    </w:p>
    <w:p>
      <w:pPr>
        <w:pStyle w:val="BodyText"/>
      </w:pPr>
      <w:r>
        <w:t xml:space="preserve">Based on these principles, SurveyLM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285344"/>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285344"/>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Backend interface:</w:t>
      </w:r>
      <w:r>
        <w:t xml:space="preserve"> </w:t>
      </w:r>
      <w:r>
        <w:t xml:space="preserve">This is where a request is started and ended. The backend interface is responsible for authenticating users, processing simulation input data and sending survey data to the frontend listener. It executes these tasks through appropriate interface calls to the user credential database and the simulation component.</w:t>
      </w:r>
    </w:p>
    <w:p>
      <w:pPr>
        <w:pStyle w:val="BodyText"/>
      </w:pPr>
      <w:r>
        <w:rPr>
          <w:bCs/>
          <w:b/>
        </w:rPr>
        <w:t xml:space="preserve">Simulation:</w:t>
      </w:r>
      <w:r>
        <w:t xml:space="preserve"> </w:t>
      </w:r>
      <w:r>
        <w:t xml:space="preserve">This is where a survey process starts and ends. The simulation component is responsible for processing uploaded documents, constructing, creating request data, initialize the concurrent request handler, and update metrics data for the frontend metrics listener. Each agent possesses a profile constructed from parameter configurations and a set of interfaces for interaction with the metrics monitor, databases, and GPT models. The simulation component serves as a conduit, ensuring efficient and error-free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Request data:</w:t>
      </w:r>
      <w:r>
        <w:t xml:space="preserve"> </w:t>
      </w:r>
      <w:r>
        <w:t xml:space="preserve">This component stores agent data and request data in an optimal format created by the simulation component. It also serves as a streaming data source to avoid unnecessary, and costly, memory consumption that would take place while concurrent api calls are made for each agent’s request.</w:t>
      </w:r>
    </w:p>
    <w:p>
      <w:pPr>
        <w:pStyle w:val="BodyText"/>
      </w:pPr>
      <w:r>
        <w:rPr>
          <w:bCs/>
          <w:b/>
        </w:rPr>
        <w:t xml:space="preserve">Request Handler:</w:t>
      </w:r>
      <w:r>
        <w:t xml:space="preserve"> </w:t>
      </w:r>
      <w:r>
        <w:t xml:space="preserve">This component manages the complexity of prompt engineering and concurrent API calls. It allows the simulation process to communicate with the GPT models seamlessly and ensures all prompts are correctly structured and successfully sent. It also manages API calls to reduce the chance of hitting rate limits frequently while ensuring that a simulation on large scale (e.g. one with 1000 agents) can run as fast as it could.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2023)</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recognized the potential of LLMs as valuable tools to study and probe the human mind and society</w:t>
      </w:r>
      <w:r>
        <w:t xml:space="preserve"> </w:t>
      </w:r>
      <w:r>
        <w:t xml:space="preserve">(Arora et al., 2023; Binz &amp; Schulz, 2023; Korinek, 2023; Miotto et al., 2022)</w:t>
      </w:r>
      <w:r>
        <w:t xml:space="preserve">, given their training on vast amounts of human data and their ability to generate human-like text. Scholars have also discussed their potential in simulating human subjects</w:t>
      </w:r>
      <w:r>
        <w:t xml:space="preserve"> </w:t>
      </w:r>
      <w:r>
        <w:t xml:space="preserve">(Aher et al., 2023; Horton, 2023; Park et al., 2022)</w:t>
      </w:r>
      <w:r>
        <w:t xml:space="preserve">. Consequently, researchers from various disciplines such as behavioral economics, cognitive psychology, social psychology, linguistics have now started to investigate LLMs’ behavior and decision-making processes and its use as a scientific tool.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to implement such research robustly at scale,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by benchmarking through survey and experimental methods. This knowledge is crucial for ensuring the development of responsible and aligned social AI systems that reflect human values for the benefit of all humankind.</w:t>
      </w:r>
    </w:p>
    <w:p>
      <w:pPr>
        <w:pStyle w:val="BodyText"/>
      </w:pPr>
      <w:r>
        <w:t xml:space="preserve">SurveyLM facilitates this exploration in an easy and intuitive manner. It empowers researchers to investigate the behaviors and decision-making of LLMs and ALMs in a robust and systematic way, using an easy-to-use, click-and-play online interface.</w:t>
      </w:r>
    </w:p>
    <w:p>
      <w:pPr>
        <w:pStyle w:val="BodyText"/>
      </w:pPr>
      <w:r>
        <w:t xml:space="preserve">The SurveyLM platform is highly versatile and adaptable to a multitude of decision-making scenarios and experimental settings. Here are just some potential applications:</w:t>
      </w:r>
    </w:p>
    <w:p>
      <w:pPr>
        <w:numPr>
          <w:ilvl w:val="0"/>
          <w:numId w:val="1002"/>
        </w:numPr>
      </w:pPr>
      <w:r>
        <w:rPr>
          <w:bCs/>
          <w:b/>
        </w:rPr>
        <w:t xml:space="preserve">Survey Data Generation</w:t>
      </w:r>
      <w:r>
        <w:t xml:space="preserve">: Simulate agents to answer an array of survey questions, creating a rich dataset that can mimic diverse, human-like responses to these questions. This can be particularly useful in preliminary research phases, hypothesis testing, or for enhancing existing datasets.</w:t>
      </w:r>
    </w:p>
    <w:p>
      <w:pPr>
        <w:numPr>
          <w:ilvl w:val="0"/>
          <w:numId w:val="1002"/>
        </w:numPr>
      </w:pPr>
      <w:r>
        <w:rPr>
          <w:bCs/>
          <w:b/>
        </w:rPr>
        <w:t xml:space="preserve">Allocation Games</w:t>
      </w:r>
      <w:r>
        <w:t xml:space="preserve">: Simulate scenarios where agents need to make decisions about resource allocation. This could involve public goods games, bargaining games, prisoner’s dilemma scenarios, or other economic games that explore cooperation, competition, and negotiation.</w:t>
      </w:r>
    </w:p>
    <w:p>
      <w:pPr>
        <w:numPr>
          <w:ilvl w:val="0"/>
          <w:numId w:val="1002"/>
        </w:numPr>
      </w:pPr>
      <w:r>
        <w:rPr>
          <w:bCs/>
          <w:b/>
        </w:rPr>
        <w:t xml:space="preserve">Cognitive Psychology Experiments and (Multi-Stage) Scenarios</w:t>
      </w:r>
      <w:r>
        <w:t xml:space="preserve">: Simulate cognitive tasks and adaptation processes to understand decision-making processes, memory, attention, perception, and problem-solving strategies.</w:t>
      </w:r>
    </w:p>
    <w:p>
      <w:pPr>
        <w:numPr>
          <w:ilvl w:val="0"/>
          <w:numId w:val="1002"/>
        </w:numPr>
      </w:pPr>
      <w:r>
        <w:rPr>
          <w:bCs/>
          <w:b/>
        </w:rPr>
        <w:t xml:space="preserve">Social Interaction Simulations</w:t>
      </w:r>
      <w:r>
        <w:t xml:space="preserve">: Model and simulate complex social interactions within groups, examining phenomena like group dynamics, communication patterns, social influence, and conformity.</w:t>
      </w:r>
    </w:p>
    <w:p>
      <w:pPr>
        <w:numPr>
          <w:ilvl w:val="0"/>
          <w:numId w:val="1002"/>
        </w:numPr>
      </w:pPr>
      <w:r>
        <w:rPr>
          <w:bCs/>
          <w:b/>
        </w:rPr>
        <w:t xml:space="preserve">Consumer Behaviour Analysis</w:t>
      </w:r>
      <w:r>
        <w:t xml:space="preserve">: Simulate buying decisions of agents to understand patterns in consumer behaviour, product preferences, and purchase rationales.</w:t>
      </w:r>
    </w:p>
    <w:p>
      <w:pPr>
        <w:numPr>
          <w:ilvl w:val="0"/>
          <w:numId w:val="1002"/>
        </w:numPr>
      </w:pPr>
      <w:r>
        <w:rPr>
          <w:bCs/>
          <w:b/>
        </w:rPr>
        <w:t xml:space="preserve">Policy Impact Analysis</w:t>
      </w:r>
      <w:r>
        <w:t xml:space="preserve">: Simulate reactions to new policies or regulations to gauge potential public response and impact (i.e., to understand emergent macro behaviours).</w:t>
      </w:r>
    </w:p>
    <w:p>
      <w:pPr>
        <w:numPr>
          <w:ilvl w:val="0"/>
          <w:numId w:val="1002"/>
        </w:numPr>
      </w:pPr>
      <w:r>
        <w:rPr>
          <w:bCs/>
          <w:b/>
        </w:rPr>
        <w:t xml:space="preserve">Risk-taking (Multi-Stage) Scenarios</w:t>
      </w:r>
      <w:r>
        <w:t xml:space="preserve">: Study decision-making under uncertainty or risk, such as in gambling or investment scenarios.</w:t>
      </w:r>
    </w:p>
    <w:p>
      <w:pPr>
        <w:numPr>
          <w:ilvl w:val="0"/>
          <w:numId w:val="1002"/>
        </w:numPr>
      </w:pPr>
      <w:r>
        <w:rPr>
          <w:bCs/>
          <w:b/>
        </w:rPr>
        <w:t xml:space="preserve">Health-related Decision-making</w:t>
      </w:r>
      <w:r>
        <w:t xml:space="preserve">: Explore choices related to health behaviours, preventative measures, treatment options, etc.</w:t>
      </w:r>
    </w:p>
    <w:p>
      <w:pPr>
        <w:numPr>
          <w:ilvl w:val="0"/>
          <w:numId w:val="1002"/>
        </w:numPr>
      </w:pPr>
      <w:r>
        <w:rPr>
          <w:bCs/>
          <w:b/>
        </w:rPr>
        <w:t xml:space="preserve">Educational Settings</w:t>
      </w:r>
      <w:r>
        <w:t xml:space="preserve">: Understand learning behaviour, knowledge acquisition, and responses to different teaching methods.</w:t>
      </w:r>
    </w:p>
    <w:p>
      <w:pPr>
        <w:numPr>
          <w:ilvl w:val="0"/>
          <w:numId w:val="1002"/>
        </w:numPr>
      </w:pPr>
      <w:r>
        <w:rPr>
          <w:bCs/>
          <w:b/>
        </w:rPr>
        <w:t xml:space="preserve">Environmental Decision-making</w:t>
      </w:r>
      <w:r>
        <w:t xml:space="preserve">: Simulate agent decisions about resource usage, conservation behaviours, and responses to environmental policies.</w:t>
      </w:r>
    </w:p>
    <w:p>
      <w:pPr>
        <w:pStyle w:val="FirstParagraph"/>
      </w:pPr>
      <w:r>
        <w:t xml:space="preserve">By simulating decision-making across a large spectrum of randomized agent demographic attributes (e.g., age, gender, education level, personality, etc.), SurveyLM provides a unique platform to investigate even the most sensitive, challenging, or otherwise taboo subjects/topics that are typically difficult to broach with human research participants, such as sexuality, drug use or life-event shocks. By probing these areas in a simulated environment, we leverage the potential of ALMs to explore sensitive topics (e.g., health, social, economic, ethical, etc) in a safe and ethical environment.</w:t>
      </w:r>
    </w:p>
    <w:p>
      <w:pPr>
        <w:pStyle w:val="BodyText"/>
      </w:pPr>
      <w:r>
        <w:t xml:space="preserve">SurveyLM’s potential is vast when it comes to exploring, e.g., sensitive, heated, challenging or taboo topics. Here are a few examples:</w:t>
      </w:r>
    </w:p>
    <w:p>
      <w:pPr>
        <w:numPr>
          <w:ilvl w:val="0"/>
          <w:numId w:val="1003"/>
        </w:numPr>
      </w:pPr>
      <w:r>
        <w:rPr>
          <w:bCs/>
          <w:b/>
        </w:rPr>
        <w:t xml:space="preserve">Mental Health</w:t>
      </w:r>
      <w:r>
        <w:t xml:space="preserve">: Explore attitudes and behaviours around mental health issues, which are often stigmatized or misunderstood.</w:t>
      </w:r>
    </w:p>
    <w:p>
      <w:pPr>
        <w:numPr>
          <w:ilvl w:val="0"/>
          <w:numId w:val="1003"/>
        </w:numPr>
      </w:pPr>
      <w:r>
        <w:rPr>
          <w:bCs/>
          <w:b/>
        </w:rPr>
        <w:t xml:space="preserve">Addiction</w:t>
      </w:r>
      <w:r>
        <w:t xml:space="preserve">: Understand the complex dynamics of substance use and addiction, and the social attitudes towards these subjects.</w:t>
      </w:r>
    </w:p>
    <w:p>
      <w:pPr>
        <w:numPr>
          <w:ilvl w:val="0"/>
          <w:numId w:val="1003"/>
        </w:numPr>
      </w:pPr>
      <w:r>
        <w:rPr>
          <w:bCs/>
          <w:b/>
        </w:rPr>
        <w:t xml:space="preserve">Sexuality</w:t>
      </w:r>
      <w:r>
        <w:t xml:space="preserve">: Explore attitudes towards various sexual orientations, gender identities, or sexual behaviours.</w:t>
      </w:r>
    </w:p>
    <w:p>
      <w:pPr>
        <w:numPr>
          <w:ilvl w:val="0"/>
          <w:numId w:val="1003"/>
        </w:numPr>
      </w:pPr>
      <w:r>
        <w:rPr>
          <w:bCs/>
          <w:b/>
        </w:rPr>
        <w:t xml:space="preserve">Religion and Faith</w:t>
      </w:r>
      <w:r>
        <w:t xml:space="preserve">: Assess how individuals interact with religious beliefs and practices, including perceptions of other religions.</w:t>
      </w:r>
    </w:p>
    <w:p>
      <w:pPr>
        <w:numPr>
          <w:ilvl w:val="0"/>
          <w:numId w:val="1003"/>
        </w:numPr>
      </w:pPr>
      <w:r>
        <w:rPr>
          <w:bCs/>
          <w:b/>
        </w:rPr>
        <w:t xml:space="preserve">Political Extremism</w:t>
      </w:r>
      <w:r>
        <w:t xml:space="preserve">: Investigate the drivers of extreme political views, intolerance, or radicalisation.</w:t>
      </w:r>
    </w:p>
    <w:p>
      <w:pPr>
        <w:numPr>
          <w:ilvl w:val="0"/>
          <w:numId w:val="1003"/>
        </w:numPr>
      </w:pPr>
      <w:r>
        <w:rPr>
          <w:bCs/>
          <w:b/>
        </w:rPr>
        <w:t xml:space="preserve">Race and Ethnicity</w:t>
      </w:r>
      <w:r>
        <w:t xml:space="preserve">: Examine attitudes towards different races and ethnicities, including instances of bias, discrimination, and prejudice.</w:t>
      </w:r>
    </w:p>
    <w:p>
      <w:pPr>
        <w:numPr>
          <w:ilvl w:val="0"/>
          <w:numId w:val="1003"/>
        </w:numPr>
      </w:pPr>
      <w:r>
        <w:rPr>
          <w:bCs/>
          <w:b/>
        </w:rPr>
        <w:t xml:space="preserve">Immigration</w:t>
      </w:r>
      <w:r>
        <w:t xml:space="preserve">: Assess perceptions and misconceptions about immigration and immigrants.</w:t>
      </w:r>
    </w:p>
    <w:p>
      <w:pPr>
        <w:numPr>
          <w:ilvl w:val="0"/>
          <w:numId w:val="1003"/>
        </w:numPr>
      </w:pPr>
      <w:r>
        <w:rPr>
          <w:bCs/>
          <w:b/>
        </w:rPr>
        <w:t xml:space="preserve">Body Image</w:t>
      </w:r>
      <w:r>
        <w:t xml:space="preserve">: Explore attitudes and pressures around body image and physical appearance.</w:t>
      </w:r>
    </w:p>
    <w:p>
      <w:pPr>
        <w:numPr>
          <w:ilvl w:val="0"/>
          <w:numId w:val="1003"/>
        </w:numPr>
      </w:pPr>
      <w:r>
        <w:rPr>
          <w:bCs/>
          <w:b/>
        </w:rPr>
        <w:t xml:space="preserve">(Economic) Inequality</w:t>
      </w:r>
      <w:r>
        <w:t xml:space="preserve">: Understand perspectives on wealth distribution, poverty, and economic disparity or inequalities in general.</w:t>
      </w:r>
    </w:p>
    <w:p>
      <w:pPr>
        <w:numPr>
          <w:ilvl w:val="0"/>
          <w:numId w:val="1003"/>
        </w:numPr>
      </w:pPr>
      <w:r>
        <w:rPr>
          <w:bCs/>
          <w:b/>
        </w:rPr>
        <w:t xml:space="preserve">Climate Change and Natural Disasters</w:t>
      </w:r>
      <w:r>
        <w:t xml:space="preserve">: Investigate attitudes and beliefs about climate change and natural disasters, environmental responsibility, and sustainability.</w:t>
      </w:r>
    </w:p>
    <w:p>
      <w:pPr>
        <w:pStyle w:val="FirstParagraph"/>
      </w:pPr>
      <w:r>
        <w:t xml:space="preserve">These topics are typically difficult to discuss openly, but SurveyLM provides a secure and confidential platform for exploring them in depth.</w:t>
      </w:r>
    </w:p>
    <w:p>
      <w:pPr>
        <w:pStyle w:val="BodyText"/>
      </w:pPr>
      <w:r>
        <w:t xml:space="preserve">We are confident that as SurveyLM evolves and adapts over time, it will uncover numerous other promising areas of application. The examples provided here represent just a fraction of the platform’s potential, highlighting only the possibilities we, and others in the field, have identified to date. With the rapidly advancing landscape of social science research, there is no doubt that the scope of SurveyLM’s application will continue to expand, revealing even more groundbreaking possibilities in the future.</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2023)</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A good solution requires two things. First, users must be able to obtain API keys that have the desirable rate limits. Second, the platform’s batching and request mechanisms must be robust. We are currently enhancing our concurrent request handler to optimize request scheduling and execution, thus maximizing throughput within rate limits for a given API keys. Additionally, we are in discussions with OpenAI to explore ways to improve throughput and latency.</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 is important to note that this randomness can sometimes yield unique case studies that might not have been otherwise considered, offering unexpected insights and interesting research avenues.</w:t>
      </w:r>
    </w:p>
    <w:p>
      <w:pPr>
        <w:pStyle w:val="BodyText"/>
      </w:pPr>
      <w:r>
        <w:rPr>
          <w:bCs/>
          <w:b/>
        </w:rPr>
        <w:t xml:space="preserve">Multi-Agent Games and Interaction:</w:t>
      </w:r>
      <w:r>
        <w:t xml:space="preserve"> </w:t>
      </w:r>
      <w:r>
        <w:t xml:space="preserve">Currently, SurveyLM allows for the simulation of an agent’s participation in games with other players only when the other players and interaction rules are hard-coded into the uploaded questions and answer instruction. However, we are yet to develop the capacity for interactions between different agents within the same simulated population. To achieve this, a series of sophisticated enhancements would be necessary. Key among these improvements is the ability to form and manage groups of agents. These groups function as independent social entities, engaging in intricate social interactions within their own set boundaries. In this envisioned application, users could define group sizes, roles within these groups (e.g., the proposer and responder roles in the ultimatum game), and any variations thereof. Furthermore, we would offer the ability to set randomisation parameters for both roles and variations, adding yet another layer of complexity and realism to the simulations. Another captivating idea under this future avenue is the introduction of a chat function between different agents. This feature would allow the observation of direct communication patterns and language use within and across agent groups, offering researchers another dimension to their social agent studies.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This means that we are open for feedback and suggestions. As we progress on this journey, we look forward to unlocking further potential in facilitating complex research through advanced ALM models.</w:t>
      </w:r>
    </w:p>
    <w:p>
      <w:pPr>
        <w:pStyle w:val="BodyText"/>
      </w:pPr>
      <w:r>
        <w:t xml:space="preserve">For beta access and further details about the SurveyLM platform, please contact the corresponding author of this paper.</w:t>
      </w:r>
    </w:p>
    <w:p>
      <w:r>
        <w:br w:type="page"/>
      </w:r>
    </w:p>
    <w:bookmarkEnd w:id="28"/>
    <w:bookmarkStart w:id="52" w:name="references"/>
    <w:p>
      <w:pPr>
        <w:pStyle w:val="Heading1"/>
      </w:pPr>
      <w:r>
        <w:rPr>
          <w:bCs/>
          <w:b/>
        </w:rPr>
        <w:t xml:space="preserve">References</w:t>
      </w:r>
    </w:p>
    <w:bookmarkStart w:id="51" w:name="refs"/>
    <w:bookmarkStart w:id="30" w:name="ref-aher_using_2023"/>
    <w:p>
      <w:pPr>
        <w:pStyle w:val="Bibliography"/>
      </w:pPr>
      <w:r>
        <w:t xml:space="preserve">Aher, G., Arriaga, R. I., &amp; Kalai, A. T. (2023).</w:t>
      </w:r>
      <w:r>
        <w:t xml:space="preserve"> </w:t>
      </w:r>
      <w:r>
        <w:rPr>
          <w:iCs/>
          <w:i/>
        </w:rPr>
        <w:t xml:space="preserve">Using large language models to simulate multiple humans and replicate human subject studies</w:t>
      </w:r>
      <w:r>
        <w:t xml:space="preserve"> </w:t>
      </w:r>
      <w:r>
        <w:t xml:space="preserve">(</w:t>
      </w:r>
      <w:r>
        <w:t xml:space="preserve">arXiv</w:t>
      </w:r>
      <w:r>
        <w:t xml:space="preserve">:2208.10264).</w:t>
      </w:r>
      <w:r>
        <w:t xml:space="preserve"> </w:t>
      </w:r>
      <w:r>
        <w:t xml:space="preserve">arXiv</w:t>
      </w:r>
      <w:r>
        <w:t xml:space="preserve">.</w:t>
      </w:r>
      <w:r>
        <w:t xml:space="preserve"> </w:t>
      </w:r>
      <w:hyperlink r:id="rId29">
        <w:r>
          <w:rPr>
            <w:rStyle w:val="Hyperlink"/>
          </w:rPr>
          <w:t xml:space="preserve">http://arxiv.org/abs/2208.10264</w:t>
        </w:r>
      </w:hyperlink>
    </w:p>
    <w:bookmarkEnd w:id="30"/>
    <w:bookmarkStart w:id="32" w:name="ref-argyle_ai_2023"/>
    <w:p>
      <w:pPr>
        <w:pStyle w:val="Bibliography"/>
      </w:pPr>
      <w:r>
        <w:t xml:space="preserve">Argyle, L. P., Busby, E., Gubler, J., Bail, C., Howe, T., Rytting, C., &amp; Wingate, D. (2023).</w:t>
      </w:r>
      <w:r>
        <w:t xml:space="preserve"> </w:t>
      </w:r>
      <w:r>
        <w:rPr>
          <w:iCs/>
          <w:i/>
        </w:rPr>
        <w:t xml:space="preserve">AI</w:t>
      </w:r>
      <w:r>
        <w:rPr>
          <w:iCs/>
          <w:i/>
        </w:rPr>
        <w:t xml:space="preserve"> </w:t>
      </w:r>
      <w:r>
        <w:rPr>
          <w:iCs/>
          <w:i/>
        </w:rPr>
        <w:t xml:space="preserve">chat assistants can improve conversations about divisive topics</w:t>
      </w:r>
      <w:r>
        <w:t xml:space="preserve"> </w:t>
      </w:r>
      <w:r>
        <w:t xml:space="preserve">(</w:t>
      </w:r>
      <w:r>
        <w:t xml:space="preserve">arXiv</w:t>
      </w:r>
      <w:r>
        <w:t xml:space="preserve">:2302.07268).</w:t>
      </w:r>
      <w:r>
        <w:t xml:space="preserve"> </w:t>
      </w:r>
      <w:r>
        <w:t xml:space="preserve">arXiv</w:t>
      </w:r>
      <w:r>
        <w:t xml:space="preserve">.</w:t>
      </w:r>
      <w:r>
        <w:t xml:space="preserve"> </w:t>
      </w:r>
      <w:hyperlink r:id="rId31">
        <w:r>
          <w:rPr>
            <w:rStyle w:val="Hyperlink"/>
          </w:rPr>
          <w:t xml:space="preserve">http://arxiv.org/abs/2302.07268</w:t>
        </w:r>
      </w:hyperlink>
    </w:p>
    <w:bookmarkEnd w:id="32"/>
    <w:bookmarkStart w:id="34" w:name="ref-arora_probing_2023"/>
    <w:p>
      <w:pPr>
        <w:pStyle w:val="Bibliography"/>
      </w:pPr>
      <w:r>
        <w:t xml:space="preserve">Arora, A., Kaffee, L.-A., &amp; Augenstein, I. (2023).</w:t>
      </w:r>
      <w:r>
        <w:t xml:space="preserve"> </w:t>
      </w:r>
      <w:r>
        <w:rPr>
          <w:iCs/>
          <w:i/>
        </w:rPr>
        <w:t xml:space="preserve">Probing pre-trained language models for cross-cultural differences in values</w:t>
      </w:r>
      <w:r>
        <w:t xml:space="preserve"> </w:t>
      </w:r>
      <w:r>
        <w:t xml:space="preserve">(</w:t>
      </w:r>
      <w:r>
        <w:t xml:space="preserve">arXiv</w:t>
      </w:r>
      <w:r>
        <w:t xml:space="preserve">:2203.13722).</w:t>
      </w:r>
      <w:r>
        <w:t xml:space="preserve"> </w:t>
      </w:r>
      <w:r>
        <w:t xml:space="preserve">arXiv</w:t>
      </w:r>
      <w:r>
        <w:t xml:space="preserve">.</w:t>
      </w:r>
      <w:r>
        <w:t xml:space="preserve"> </w:t>
      </w:r>
      <w:hyperlink r:id="rId33">
        <w:r>
          <w:rPr>
            <w:rStyle w:val="Hyperlink"/>
          </w:rPr>
          <w:t xml:space="preserve">http://arxiv.org/abs/2203.13722</w:t>
        </w:r>
      </w:hyperlink>
    </w:p>
    <w:bookmarkEnd w:id="34"/>
    <w:bookmarkStart w:id="36" w:name="ref-binz_using_2023"/>
    <w:p>
      <w:pPr>
        <w:pStyle w:val="Bibliography"/>
      </w:pPr>
      <w:r>
        <w:t xml:space="preserve">Binz, M., &amp; Schulz, E. (2023). Using cognitive psychology to understand</w:t>
      </w:r>
      <w:r>
        <w:t xml:space="preserve"> </w:t>
      </w:r>
      <w:r>
        <w:t xml:space="preserve">GPT</w:t>
      </w:r>
      <w:r>
        <w:t xml:space="preserve">-3.</w:t>
      </w:r>
      <w:r>
        <w:t xml:space="preserve"> </w:t>
      </w:r>
      <w:r>
        <w:rPr>
          <w:iCs/>
          <w:i/>
        </w:rPr>
        <w:t xml:space="preserve">Proceedings of the National Academy of Sciences</w:t>
      </w:r>
      <w:r>
        <w:t xml:space="preserve">,</w:t>
      </w:r>
      <w:r>
        <w:t xml:space="preserve"> </w:t>
      </w:r>
      <w:r>
        <w:rPr>
          <w:iCs/>
          <w:i/>
        </w:rPr>
        <w:t xml:space="preserve">120</w:t>
      </w:r>
      <w:r>
        <w:t xml:space="preserve">(6), e2218523120.</w:t>
      </w:r>
      <w:r>
        <w:t xml:space="preserve"> </w:t>
      </w:r>
      <w:hyperlink r:id="rId35">
        <w:r>
          <w:rPr>
            <w:rStyle w:val="Hyperlink"/>
          </w:rPr>
          <w:t xml:space="preserve">https://doi.org/10.1073/pnas.2218523120</w:t>
        </w:r>
      </w:hyperlink>
    </w:p>
    <w:bookmarkEnd w:id="36"/>
    <w:bookmarkStart w:id="37" w:name="ref-haerpfer_world_2021"/>
    <w:p>
      <w:pPr>
        <w:pStyle w:val="Bibliography"/>
      </w:pPr>
      <w:r>
        <w:t xml:space="preserve">Haerpfer, C., Inglehart, R., Moreno, A., Welzel, C., Kizilova, K., Diez-Medrano, J., &amp; Puranen. (2021).</w:t>
      </w:r>
      <w:r>
        <w:t xml:space="preserve"> </w:t>
      </w:r>
      <w:r>
        <w:rPr>
          <w:iCs/>
          <w:i/>
        </w:rPr>
        <w:t xml:space="preserve">World values survey: Round seven–country-pooled datafile.</w:t>
      </w:r>
      <w:r>
        <w:t xml:space="preserve"> </w:t>
      </w:r>
      <w:r>
        <w:t xml:space="preserve">JD</w:t>
      </w:r>
      <w:r>
        <w:t xml:space="preserve"> </w:t>
      </w:r>
      <w:r>
        <w:t xml:space="preserve">Systems Institute &amp;</w:t>
      </w:r>
      <w:r>
        <w:t xml:space="preserve"> </w:t>
      </w:r>
      <w:r>
        <w:t xml:space="preserve">WVSA</w:t>
      </w:r>
      <w:r>
        <w:t xml:space="preserve"> </w:t>
      </w:r>
      <w:r>
        <w:t xml:space="preserve">Secretariat, 7, 2021.</w:t>
      </w:r>
    </w:p>
    <w:bookmarkEnd w:id="37"/>
    <w:bookmarkStart w:id="38" w:name="ref-hofstede_cultures_2005"/>
    <w:p>
      <w:pPr>
        <w:pStyle w:val="Bibliography"/>
      </w:pPr>
      <w:r>
        <w:t xml:space="preserve">Hofstede, G. (2005). Culture’s recent consequences.</w:t>
      </w:r>
      <w:r>
        <w:t xml:space="preserve"> </w:t>
      </w:r>
      <w:r>
        <w:rPr>
          <w:iCs/>
          <w:i/>
        </w:rPr>
        <w:t xml:space="preserve">Proceedings of the Seventh International Workshop on Internationalisation of Products and Systems</w:t>
      </w:r>
      <w:r>
        <w:t xml:space="preserve">, 3–4.</w:t>
      </w:r>
    </w:p>
    <w:bookmarkEnd w:id="38"/>
    <w:bookmarkStart w:id="40" w:name="ref-horton_large_2023"/>
    <w:p>
      <w:pPr>
        <w:pStyle w:val="Bibliography"/>
      </w:pPr>
      <w:r>
        <w:t xml:space="preserve">Horton, J. J. (2023).</w:t>
      </w:r>
      <w:r>
        <w:t xml:space="preserve"> </w:t>
      </w:r>
      <w:r>
        <w:rPr>
          <w:iCs/>
          <w:i/>
        </w:rPr>
        <w:t xml:space="preserve">Large language models as simulated economic agents: What can we learn from homo silicus?</w:t>
      </w:r>
      <w:r>
        <w:t xml:space="preserve"> </w:t>
      </w:r>
      <w:r>
        <w:t xml:space="preserve">(</w:t>
      </w:r>
      <w:r>
        <w:t xml:space="preserve">arXiv</w:t>
      </w:r>
      <w:r>
        <w:t xml:space="preserve">:2301.07543).</w:t>
      </w:r>
      <w:r>
        <w:t xml:space="preserve"> </w:t>
      </w:r>
      <w:r>
        <w:t xml:space="preserve">arXiv</w:t>
      </w:r>
      <w:r>
        <w:t xml:space="preserve">.</w:t>
      </w:r>
      <w:r>
        <w:t xml:space="preserve"> </w:t>
      </w:r>
      <w:hyperlink r:id="rId39">
        <w:r>
          <w:rPr>
            <w:rStyle w:val="Hyperlink"/>
          </w:rPr>
          <w:t xml:space="preserve">http://arxiv.org/abs/2301.07543</w:t>
        </w:r>
      </w:hyperlink>
    </w:p>
    <w:bookmarkEnd w:id="40"/>
    <w:bookmarkStart w:id="42" w:name="ref-korinek_language_2023-1"/>
    <w:p>
      <w:pPr>
        <w:pStyle w:val="Bibliography"/>
      </w:pPr>
      <w:r>
        <w:t xml:space="preserve">Korinek, A. (2023).</w:t>
      </w:r>
      <w:r>
        <w:t xml:space="preserve"> </w:t>
      </w:r>
      <w:r>
        <w:rPr>
          <w:iCs/>
          <w:i/>
        </w:rPr>
        <w:t xml:space="preserve">Language models and cognitive automation for economic research</w:t>
      </w:r>
      <w:r>
        <w:t xml:space="preserve"> </w:t>
      </w:r>
      <w:r>
        <w:t xml:space="preserve">(30957). National Bureau of Economic Research.</w:t>
      </w:r>
      <w:r>
        <w:t xml:space="preserve"> </w:t>
      </w:r>
      <w:hyperlink r:id="rId41">
        <w:r>
          <w:rPr>
            <w:rStyle w:val="Hyperlink"/>
          </w:rPr>
          <w:t xml:space="preserve">https://doi.org/10.3386/w30957</w:t>
        </w:r>
      </w:hyperlink>
    </w:p>
    <w:bookmarkEnd w:id="42"/>
    <w:bookmarkStart w:id="44" w:name="ref-mialon_augmented_2023"/>
    <w:p>
      <w:pPr>
        <w:pStyle w:val="Bibliography"/>
      </w:pPr>
      <w:r>
        <w:t xml:space="preserve">Mialon, G., Dessì, R., Lomeli, M., Nalmpantis, C., Pasunuru, R., Raileanu, R., Rozière, B., Schick, T., Dwivedi-Yu, J., Celikyilmaz, A., Grave, E., LeCun, Y., &amp; Scialom, T. (2023).</w:t>
      </w:r>
      <w:r>
        <w:t xml:space="preserve"> </w:t>
      </w:r>
      <w:r>
        <w:rPr>
          <w:iCs/>
          <w:i/>
        </w:rPr>
        <w:t xml:space="preserve">Augmented language models: A survey</w:t>
      </w:r>
      <w:r>
        <w:t xml:space="preserve"> </w:t>
      </w:r>
      <w:r>
        <w:t xml:space="preserve">(</w:t>
      </w:r>
      <w:r>
        <w:t xml:space="preserve">arXiv</w:t>
      </w:r>
      <w:r>
        <w:t xml:space="preserve">:2302.07842).</w:t>
      </w:r>
      <w:r>
        <w:t xml:space="preserve"> </w:t>
      </w:r>
      <w:r>
        <w:t xml:space="preserve">arXiv</w:t>
      </w:r>
      <w:r>
        <w:t xml:space="preserve">.</w:t>
      </w:r>
      <w:r>
        <w:t xml:space="preserve"> </w:t>
      </w:r>
      <w:hyperlink r:id="rId43">
        <w:r>
          <w:rPr>
            <w:rStyle w:val="Hyperlink"/>
          </w:rPr>
          <w:t xml:space="preserve">https://doi.org/10.48550/arXiv.2302.07842</w:t>
        </w:r>
      </w:hyperlink>
    </w:p>
    <w:bookmarkEnd w:id="44"/>
    <w:bookmarkStart w:id="46" w:name="ref-miotto_who_2022"/>
    <w:p>
      <w:pPr>
        <w:pStyle w:val="Bibliography"/>
      </w:pPr>
      <w:r>
        <w:t xml:space="preserve">Miotto, M., Rossberg, N., &amp; Kleinberg, B. (2022).</w:t>
      </w:r>
      <w:r>
        <w:t xml:space="preserve"> </w:t>
      </w:r>
      <w:r>
        <w:rPr>
          <w:iCs/>
          <w:i/>
        </w:rPr>
        <w:t xml:space="preserve">Who is</w:t>
      </w:r>
      <w:r>
        <w:rPr>
          <w:iCs/>
          <w:i/>
        </w:rPr>
        <w:t xml:space="preserve"> </w:t>
      </w:r>
      <w:r>
        <w:rPr>
          <w:iCs/>
          <w:i/>
        </w:rPr>
        <w:t xml:space="preserve">GPT</w:t>
      </w:r>
      <w:r>
        <w:rPr>
          <w:iCs/>
          <w:i/>
        </w:rPr>
        <w:t xml:space="preserve">-3? An exploration of personality, values and demographics</w:t>
      </w:r>
      <w:r>
        <w:t xml:space="preserve"> </w:t>
      </w:r>
      <w:r>
        <w:t xml:space="preserve">(</w:t>
      </w:r>
      <w:r>
        <w:t xml:space="preserve">arXiv</w:t>
      </w:r>
      <w:r>
        <w:t xml:space="preserve">:2209.14338).</w:t>
      </w:r>
      <w:r>
        <w:t xml:space="preserve"> </w:t>
      </w:r>
      <w:r>
        <w:t xml:space="preserve">arXiv</w:t>
      </w:r>
      <w:r>
        <w:t xml:space="preserve">.</w:t>
      </w:r>
      <w:r>
        <w:t xml:space="preserve"> </w:t>
      </w:r>
      <w:hyperlink r:id="rId45">
        <w:r>
          <w:rPr>
            <w:rStyle w:val="Hyperlink"/>
          </w:rPr>
          <w:t xml:space="preserve">http://arxiv.org/abs/2209.14338</w:t>
        </w:r>
      </w:hyperlink>
    </w:p>
    <w:bookmarkEnd w:id="46"/>
    <w:bookmarkStart w:id="48" w:name="ref-park_social_2022"/>
    <w:p>
      <w:pPr>
        <w:pStyle w:val="Bibliography"/>
      </w:pPr>
      <w:r>
        <w:t xml:space="preserve">Park, J. S., Popowski, L., Cai, C. J., Morris, M. R., Liang, P., &amp; Bernstein, M. S. (2022).</w:t>
      </w:r>
      <w:r>
        <w:t xml:space="preserve"> </w:t>
      </w:r>
      <w:r>
        <w:rPr>
          <w:iCs/>
          <w:i/>
        </w:rPr>
        <w:t xml:space="preserve">Social simulacra: Creating populated prototypes for social computing systems</w:t>
      </w:r>
      <w:r>
        <w:t xml:space="preserve"> </w:t>
      </w:r>
      <w:r>
        <w:t xml:space="preserve">(</w:t>
      </w:r>
      <w:r>
        <w:t xml:space="preserve">arXiv</w:t>
      </w:r>
      <w:r>
        <w:t xml:space="preserve">:2208.04024).</w:t>
      </w:r>
      <w:r>
        <w:t xml:space="preserve"> </w:t>
      </w:r>
      <w:r>
        <w:t xml:space="preserve">arXiv</w:t>
      </w:r>
      <w:r>
        <w:t xml:space="preserve">.</w:t>
      </w:r>
      <w:r>
        <w:t xml:space="preserve"> </w:t>
      </w:r>
      <w:hyperlink r:id="rId47">
        <w:r>
          <w:rPr>
            <w:rStyle w:val="Hyperlink"/>
          </w:rPr>
          <w:t xml:space="preserve">http://arxiv.org/abs/2208.04024</w:t>
        </w:r>
      </w:hyperlink>
    </w:p>
    <w:bookmarkEnd w:id="48"/>
    <w:bookmarkStart w:id="50" w:name="ref-tamkin_understanding_2021"/>
    <w:p>
      <w:pPr>
        <w:pStyle w:val="Bibliography"/>
      </w:pPr>
      <w:r>
        <w:t xml:space="preserve">Tamkin, A., Brundage, M., Clark, J., &amp; Ganguli, D. (2021).</w:t>
      </w:r>
      <w:r>
        <w:t xml:space="preserve"> </w:t>
      </w:r>
      <w:r>
        <w:rPr>
          <w:iCs/>
          <w:i/>
        </w:rPr>
        <w:t xml:space="preserve">Understanding the capabilities, limitations, and societal impact of large language models</w:t>
      </w:r>
      <w:r>
        <w:t xml:space="preserve"> </w:t>
      </w:r>
      <w:r>
        <w:t xml:space="preserve">(</w:t>
      </w:r>
      <w:r>
        <w:t xml:space="preserve">arXiv</w:t>
      </w:r>
      <w:r>
        <w:t xml:space="preserve">:2102.02503).</w:t>
      </w:r>
      <w:r>
        <w:t xml:space="preserve"> </w:t>
      </w:r>
      <w:r>
        <w:t xml:space="preserve">arXiv</w:t>
      </w:r>
      <w:r>
        <w:t xml:space="preserve">.</w:t>
      </w:r>
      <w:r>
        <w:t xml:space="preserve"> </w:t>
      </w:r>
      <w:hyperlink r:id="rId49">
        <w:r>
          <w:rPr>
            <w:rStyle w:val="Hyperlink"/>
          </w:rPr>
          <w:t xml:space="preserve">https://doi.org/10.48550/arXiv.2102.02503</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_rels/footnotes.xml.rels><?xml version="1.0" encoding="UTF-8"?><Relationships xmlns="http://schemas.openxmlformats.org/package/2006/relationships"><Relationship Type="http://schemas.openxmlformats.org/officeDocument/2006/relationships/hyperlink" Id="rId33" Target="http://arxiv.org/abs/2203.13722" TargetMode="External" /><Relationship Type="http://schemas.openxmlformats.org/officeDocument/2006/relationships/hyperlink" Id="rId47" Target="http://arxiv.org/abs/2208.04024" TargetMode="External" /><Relationship Type="http://schemas.openxmlformats.org/officeDocument/2006/relationships/hyperlink" Id="rId29" Target="http://arxiv.org/abs/2208.10264" TargetMode="External" /><Relationship Type="http://schemas.openxmlformats.org/officeDocument/2006/relationships/hyperlink" Id="rId45" Target="http://arxiv.org/abs/2209.14338" TargetMode="External" /><Relationship Type="http://schemas.openxmlformats.org/officeDocument/2006/relationships/hyperlink" Id="rId39" Target="http://arxiv.org/abs/2301.07543" TargetMode="External" /><Relationship Type="http://schemas.openxmlformats.org/officeDocument/2006/relationships/hyperlink" Id="rId31" Target="http://arxiv.org/abs/2302.07268" TargetMode="External" /><Relationship Type="http://schemas.openxmlformats.org/officeDocument/2006/relationships/hyperlink" Id="rId35" Target="https://doi.org/10.1073/pnas.2218523120" TargetMode="External" /><Relationship Type="http://schemas.openxmlformats.org/officeDocument/2006/relationships/hyperlink" Id="rId41" Target="https://doi.org/10.3386/w30957" TargetMode="External" /><Relationship Type="http://schemas.openxmlformats.org/officeDocument/2006/relationships/hyperlink" Id="rId49" Target="https://doi.org/10.48550/arXiv.2102.02503" TargetMode="External" /><Relationship Type="http://schemas.openxmlformats.org/officeDocument/2006/relationships/hyperlink" Id="rId43" Target="https://doi.org/10.48550/arXiv.2302.07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SurveyLM: a platform to explore emerging value perspectives in Augmented Language Models’ behaviors</dc:title>
  <dc:creator>Steve J. Bickley, Ho Fai Chan, Bang Dao, Benno Torgler, Son Tran</dc:creator>
  <dc:description>Panalogy Lab Technical Report 23-001</dc:description>
  <cp:keywords>Social Science, Social AI, Large Language Models, Augmented Language Models, Alignment Research, Survey Method, Experimental Method</cp:keywords>
  <dcterms:created xsi:type="dcterms:W3CDTF">2023-07-29T05:33:09Z</dcterms:created>
  <dcterms:modified xsi:type="dcterms:W3CDTF">2023-07-29T05:33:09Z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 paper presents our work on SurveyLM,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29.07.2023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