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bookmarkStart w:id="20" w:name="sec-intro"/>
    <w:p>
      <w:pPr>
        <w:pStyle w:val="Heading1"/>
      </w:pPr>
      <w:r>
        <w:t xml:space="preserve">Motivations</w:t>
      </w:r>
    </w:p>
    <w:p>
      <w:pPr>
        <w:pStyle w:val="FirstParagraph"/>
      </w:pPr>
      <w:r>
        <w:t xml:space="preserve">We built SurveyLM with 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or where an answer is heavily dependent on contextual factors (specific information in real-world situations).</w:t>
      </w:r>
    </w:p>
    <w:p>
      <w:pPr>
        <w:numPr>
          <w:ilvl w:val="0"/>
          <w:numId w:val="1001"/>
        </w:numPr>
      </w:pPr>
      <w:r>
        <w:t xml:space="preserve">Surveys and experiments, despite some shortcomings, are a</w:t>
      </w:r>
      <w:r>
        <w:t xml:space="preserve"> </w:t>
      </w:r>
      <w:r>
        <w:rPr>
          <w:iCs/>
          <w:i/>
        </w:rPr>
        <w:t xml:space="preserve">widely</w:t>
      </w:r>
      <w:r>
        <w:t xml:space="preserve"> </w:t>
      </w:r>
      <w:r>
        <w:t xml:space="preserve">adopted methods to study social behaviors, including alignment</w:t>
      </w:r>
      <w:r>
        <w:t xml:space="preserve"> </w:t>
      </w:r>
      <w:r>
        <w:t xml:space="preserve">(Bhattacherjee, 2012)</w:t>
      </w:r>
      <w:r>
        <w:t xml:space="preserve">. Language model evaluation frameworks are essentially survey/experiment models</w:t>
      </w:r>
      <w:r>
        <w:t xml:space="preserve"> </w:t>
      </w:r>
      <w:r>
        <w:t xml:space="preserve">(OpenAI, 2023; Srivastava et al., 2022)</w:t>
      </w:r>
      <w:r>
        <w:t xml:space="preserve">, and therefore, also powerful for conducting research and gaining insights.</w:t>
      </w:r>
    </w:p>
    <w:p>
      <w:pPr>
        <w:numPr>
          <w:ilvl w:val="0"/>
          <w:numId w:val="1001"/>
        </w:numPr>
      </w:pPr>
      <w:r>
        <w:t xml:space="preserve">Augmented language models (ALMs)</w:t>
      </w:r>
      <w:r>
        <w:t xml:space="preserve"> </w:t>
      </w:r>
      <w:r>
        <w:t xml:space="preserve">(Mialon et al., 2023)</w:t>
      </w:r>
      <w:r>
        <w:t xml:space="preserve"> </w:t>
      </w:r>
      <w:r>
        <w:t xml:space="preserve">are AI systems that have the most advanced general reasoning capability for a diverse range of complex social contexts.</w:t>
      </w:r>
    </w:p>
    <w:p>
      <w:pPr>
        <w:numPr>
          <w:ilvl w:val="0"/>
          <w:numId w:val="1001"/>
        </w:numPr>
      </w:pPr>
      <w:r>
        <w:t xml:space="preserve">Applying the survey approach to</w:t>
      </w:r>
      <w:r>
        <w:t xml:space="preserve"> </w:t>
      </w:r>
      <w:r>
        <w:rPr>
          <w:iCs/>
          <w:i/>
        </w:rPr>
        <w:t xml:space="preserve">systematically</w:t>
      </w:r>
      <w:r>
        <w:t xml:space="preserve"> </w:t>
      </w:r>
      <w:r>
        <w:t xml:space="preserve">analyzing ALMs’ alignment behaviors is therefore valuable and desirable. ALMs are the most advanced AI systems with general reasoning capability, and they have been increasingly operating in complex social context with emergent behaviors (not expected before).</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designs is a great and underexplored application of ALMs, thus helping researchers to construct high quality survey frameworks at a fraction of the resources and time that would be otherwise required (past approach where humans have been doing everything).</w:t>
      </w:r>
    </w:p>
    <w:p>
      <w:pPr>
        <w:numPr>
          <w:ilvl w:val="0"/>
          <w:numId w:val="1001"/>
        </w:numPr>
      </w:pPr>
      <w:r>
        <w:t xml:space="preserve">SurveyLM is to our knowledge the first platform delivering robust results for the above value propositions.</w:t>
      </w:r>
    </w:p>
    <w:bookmarkEnd w:id="20"/>
    <w:bookmarkStart w:id="21" w:name="introduction"/>
    <w:p>
      <w:pPr>
        <w:pStyle w:val="Heading1"/>
      </w:pPr>
      <w:r>
        <w:t xml:space="preserve">Introduction</w:t>
      </w:r>
    </w:p>
    <w:p>
      <w:pPr>
        <w:pStyle w:val="FirstParagraph"/>
      </w:pPr>
      <w:r>
        <w:t xml:space="preserve">Our new platform,</w:t>
      </w:r>
      <w:r>
        <w:t xml:space="preserve"> </w:t>
      </w:r>
      <w:r>
        <w:rPr>
          <w:bCs/>
          <w:b/>
        </w:rPr>
        <w:t xml:space="preserve">SurveyLM</w:t>
      </w:r>
      <w:r>
        <w:t xml:space="preserve">,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settings because these environments present a wide array of situations and (social) dilemmas that help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in various contexts. We opted for a survey-based approach as it has been proven to be an effective method for probing and value elicitation of ALMs</w:t>
      </w:r>
      <w:r>
        <w:t xml:space="preserve"> </w:t>
      </w:r>
      <w:r>
        <w:t xml:space="preserve">(Arora et al., 2023; Binz &amp; Schulz, 2023)</w:t>
      </w:r>
      <w:r>
        <w:t xml:space="preserve">. Human value elicitation has always been an important research avenue</w:t>
      </w:r>
      <w:r>
        <w:t xml:space="preserve"> </w:t>
      </w:r>
      <w:r>
        <w:t xml:space="preserve">(Haerpfer et al., 2021; Hofstede, 2005)</w:t>
      </w:r>
      <w:r>
        <w:t xml:space="preserve">, as an individual’s identity and values often manifest in the choices and decisions they make. Given the increasing role of ALMs as agents interacting with humans who act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and characteristics (e.g., age, gender, ethnicity,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2021)</w:t>
      </w:r>
      <w:r>
        <w:t xml:space="preserve">.</w:t>
      </w:r>
    </w:p>
    <w:p>
      <w:pPr>
        <w:pStyle w:val="BodyText"/>
      </w:pPr>
      <w:r>
        <w:t xml:space="preserve">Defining measures of values is another crucial element of our platform, SurveyLM. We recognize that values are multifaceted and subjective, making their quantification challenging. Through rigorous research and analysis, we aim to develop and translate robust methodologies to define and measure values in the context of ALMs. This will provide a solid foundation for studying and understanding their behavior patterns in complex social settings.</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management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Overall, our framework proposed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We hope that this platform holds the potential to revolutionize how researchers engage with GPT models, offering a unique blend of flexibility, efficiency, and reliability.</w:t>
      </w:r>
    </w:p>
    <w:p>
      <w:pPr>
        <w:pStyle w:val="BodyText"/>
      </w:pPr>
      <w:r>
        <w:t xml:space="preserve">In conclusion, our platform SurveyLM offers a unique opportunity to explore and understand the emerging value perspectives in ALMs’ behaviors. By addressing the questions of why values matter, defining measures of values, and simulating ALMs in complex social settings, we can unlock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pla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reducing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Be Consistent:</w:t>
      </w:r>
      <w:r>
        <w:t xml:space="preserve"> </w:t>
      </w:r>
      <w:r>
        <w:t xml:space="preserve">Consistency is paramount for any research work. As such, the platform will ensure that the GPT models produce consistent responses to survey questions in terms of answer formats and compliance with other instructions. This consistency will foster reproducibility and the reliability of research findings.</w:t>
      </w:r>
    </w:p>
    <w:p>
      <w:pPr>
        <w:pStyle w:val="BodyText"/>
      </w:pPr>
      <w:r>
        <w:rPr>
          <w:bCs/>
          <w:b/>
        </w:rPr>
        <w:t xml:space="preserve">Respect Privacy:</w:t>
      </w:r>
      <w:r>
        <w:t xml:space="preserve"> </w:t>
      </w:r>
      <w:r>
        <w:t xml:space="preserve">With the rise of data breaches, privacy protection is a critical concern for users. On our platform, user data will be retained only during active sessions. Upon session termination,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761232"/>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61232"/>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 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Metrics:</w:t>
      </w:r>
      <w:r>
        <w:t xml:space="preserve"> </w:t>
      </w:r>
      <w:r>
        <w:t xml:space="preserve">This component offers real-time monitoring for concurrent API calls. It helps users keep track of their usage, understand any system restrictions, and plan their work accordingly.</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Agents:</w:t>
      </w:r>
      <w:r>
        <w:t xml:space="preserve"> </w:t>
      </w:r>
      <w:r>
        <w:t xml:space="preserve">These are the core operational units of the platform. Each agent possesses a profile constructed from parameter configurations and a set of interfaces for interaction with the metrics monitor, databases, and GPT models. The agent serves as a conduit, ensuring efficient and error-free data flow within the platform. The agents constitute an interface that hides the complexity of prompt engineering and related operations needed to ensure that the LLMs behave consistently in term of the structure of their response.</w:t>
      </w:r>
    </w:p>
    <w:p>
      <w:pPr>
        <w:pStyle w:val="BodyText"/>
      </w:pPr>
      <w:r>
        <w:rPr>
          <w:bCs/>
          <w:b/>
        </w:rPr>
        <w:t xml:space="preserve">Document processing:</w:t>
      </w:r>
      <w:r>
        <w:t xml:space="preserve"> </w:t>
      </w:r>
      <w:r>
        <w:t xml:space="preserve">This component processes survey document uploaded by the user, check for their consistency, and prepare them in format that’s convenient for user to inspect through the data viewer on the frontend interface. This component also process completed simulation data and transform them into formats for the frontend data viewer and download.</w:t>
      </w:r>
    </w:p>
    <w:p>
      <w:pPr>
        <w:pStyle w:val="BodyText"/>
      </w:pPr>
      <w:r>
        <w:rPr>
          <w:bCs/>
          <w:b/>
        </w:rPr>
        <w:t xml:space="preserve">Request handler:</w:t>
      </w:r>
      <w:r>
        <w:t xml:space="preserve"> </w:t>
      </w:r>
      <w:r>
        <w:t xml:space="preserve">This component manages the complexity of prompt engineering and concurrent API calls. It allows the user to communicate with the GPT models seamlessly and ensures all prompts are correctly formatted and successfully sent. It also manages API call volume to prevent rate limit violations.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bookmarkEnd w:id="26"/>
    <w:bookmarkStart w:id="27" w:name="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2"/>
        </w:numPr>
      </w:pPr>
      <w:r>
        <w:rPr>
          <w:bCs/>
          <w:b/>
        </w:rPr>
        <w:t xml:space="preserve">Survey Data Generation</w:t>
      </w:r>
      <w:r>
        <w:t xml:space="preserve">: Simulate agents to answer an array of survey questions, creating a rich dataset that can mimic human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2"/>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w:t>
      </w:r>
    </w:p>
    <w:p>
      <w:pPr>
        <w:numPr>
          <w:ilvl w:val="0"/>
          <w:numId w:val="1002"/>
        </w:numPr>
      </w:pPr>
      <w:r>
        <w:rPr>
          <w:bCs/>
          <w:b/>
        </w:rPr>
        <w:t xml:space="preserve">Risk-taking (Multi-Stage)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 or inequalities in general.</w:t>
      </w:r>
    </w:p>
    <w:p>
      <w:pPr>
        <w:numPr>
          <w:ilvl w:val="0"/>
          <w:numId w:val="1003"/>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57" w:name="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A good solution requires two things. First, users must be able to obtain API keys that have the desirable rate limits. Second,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 thus expanding its versatility and research applicability.</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r>
        <w:br w:type="page"/>
      </w:r>
    </w:p>
    <w:bookmarkStart w:id="56" w:name="references"/>
    <w:p>
      <w:pPr>
        <w:pStyle w:val="Heading3"/>
      </w:pPr>
      <w:r>
        <w:t xml:space="preserve">References</w:t>
      </w:r>
    </w:p>
    <w:bookmarkStart w:id="55" w:name="refs"/>
    <w:bookmarkStart w:id="29"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8">
        <w:r>
          <w:rPr>
            <w:rStyle w:val="Hyperlink"/>
          </w:rPr>
          <w:t xml:space="preserve">http://arxiv.org/abs/2208.10264</w:t>
        </w:r>
      </w:hyperlink>
    </w:p>
    <w:bookmarkEnd w:id="29"/>
    <w:bookmarkStart w:id="31"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0">
        <w:r>
          <w:rPr>
            <w:rStyle w:val="Hyperlink"/>
          </w:rPr>
          <w:t xml:space="preserve">http://arxiv.org/abs/2302.07268</w:t>
        </w:r>
      </w:hyperlink>
    </w:p>
    <w:bookmarkEnd w:id="31"/>
    <w:bookmarkStart w:id="33"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2">
        <w:r>
          <w:rPr>
            <w:rStyle w:val="Hyperlink"/>
          </w:rPr>
          <w:t xml:space="preserve">http://arxiv.org/abs/2203.13722</w:t>
        </w:r>
      </w:hyperlink>
    </w:p>
    <w:bookmarkEnd w:id="33"/>
    <w:bookmarkStart w:id="34" w:name="ref-bhattacherjee_social_2012"/>
    <w:p>
      <w:pPr>
        <w:pStyle w:val="Bibliography"/>
      </w:pPr>
      <w:r>
        <w:t xml:space="preserve">Bhattacherjee, A. (2012).</w:t>
      </w:r>
      <w:r>
        <w:t xml:space="preserve"> </w:t>
      </w:r>
      <w:r>
        <w:rPr>
          <w:iCs/>
          <w:i/>
        </w:rPr>
        <w:t xml:space="preserve">Social science research: Principles, methods, and practices</w:t>
      </w:r>
      <w:r>
        <w:t xml:space="preserve">. Global Text Project.</w:t>
      </w:r>
    </w:p>
    <w:bookmarkEnd w:id="34"/>
    <w:bookmarkStart w:id="36"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5">
        <w:r>
          <w:rPr>
            <w:rStyle w:val="Hyperlink"/>
          </w:rPr>
          <w:t xml:space="preserve">https://doi.org/10.1073/pnas.2218523120</w:t>
        </w:r>
      </w:hyperlink>
    </w:p>
    <w:bookmarkEnd w:id="36"/>
    <w:bookmarkStart w:id="37" w:name="ref-haerpfer_world_2021"/>
    <w:p>
      <w:pPr>
        <w:pStyle w:val="Bibliography"/>
      </w:pPr>
      <w:r>
        <w:t xml:space="preserve">Haerpfer, C., Inglehart, R., Moreno, A., Welzel, C., Kizilova, K., Diez-Medrano, J., &amp; Puranen. (2021).</w:t>
      </w:r>
      <w:r>
        <w:t xml:space="preserve"> </w:t>
      </w:r>
      <w:r>
        <w:rPr>
          <w:iCs/>
          <w:i/>
        </w:rPr>
        <w:t xml:space="preserve">World values survey: Round seven–country-pooled datafile.</w:t>
      </w:r>
      <w:r>
        <w:t xml:space="preserve"> </w:t>
      </w:r>
      <w:r>
        <w:t xml:space="preserve">JD</w:t>
      </w:r>
      <w:r>
        <w:t xml:space="preserve"> </w:t>
      </w:r>
      <w:r>
        <w:t xml:space="preserve">Systems Institute &amp;</w:t>
      </w:r>
      <w:r>
        <w:t xml:space="preserve"> </w:t>
      </w:r>
      <w:r>
        <w:t xml:space="preserve">WVSA</w:t>
      </w:r>
      <w:r>
        <w:t xml:space="preserve"> </w:t>
      </w:r>
      <w:r>
        <w:t xml:space="preserve">Secretariat, 7, 2021.</w:t>
      </w:r>
    </w:p>
    <w:bookmarkEnd w:id="37"/>
    <w:bookmarkStart w:id="38" w:name="ref-hofstede_cultures_2005"/>
    <w:p>
      <w:pPr>
        <w:pStyle w:val="Bibliography"/>
      </w:pPr>
      <w:r>
        <w:t xml:space="preserve">Hofstede, G. (2005). Culture’s recent consequences.</w:t>
      </w:r>
      <w:r>
        <w:t xml:space="preserve"> </w:t>
      </w:r>
      <w:r>
        <w:rPr>
          <w:iCs/>
          <w:i/>
        </w:rPr>
        <w:t xml:space="preserve">Proceedings of the Seventh International Workshop on Internationalisation of Products and Systems</w:t>
      </w:r>
      <w:r>
        <w:t xml:space="preserve">, 3–4.</w:t>
      </w:r>
    </w:p>
    <w:bookmarkEnd w:id="38"/>
    <w:bookmarkStart w:id="40"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39">
        <w:r>
          <w:rPr>
            <w:rStyle w:val="Hyperlink"/>
          </w:rPr>
          <w:t xml:space="preserve">http://arxiv.org/abs/2301.07543</w:t>
        </w:r>
      </w:hyperlink>
    </w:p>
    <w:bookmarkEnd w:id="40"/>
    <w:bookmarkStart w:id="42"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1">
        <w:r>
          <w:rPr>
            <w:rStyle w:val="Hyperlink"/>
          </w:rPr>
          <w:t xml:space="preserve">https://doi.org/10.3386/w30957</w:t>
        </w:r>
      </w:hyperlink>
    </w:p>
    <w:bookmarkEnd w:id="42"/>
    <w:bookmarkStart w:id="44"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3">
        <w:r>
          <w:rPr>
            <w:rStyle w:val="Hyperlink"/>
          </w:rPr>
          <w:t xml:space="preserve">https://doi.org/10.48550/arXiv.2302.07842</w:t>
        </w:r>
      </w:hyperlink>
    </w:p>
    <w:bookmarkEnd w:id="44"/>
    <w:bookmarkStart w:id="46"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5">
        <w:r>
          <w:rPr>
            <w:rStyle w:val="Hyperlink"/>
          </w:rPr>
          <w:t xml:space="preserve">http://arxiv.org/abs/2209.14338</w:t>
        </w:r>
      </w:hyperlink>
    </w:p>
    <w:bookmarkEnd w:id="46"/>
    <w:bookmarkStart w:id="48" w:name="ref-openai_openaievals_2023"/>
    <w:p>
      <w:pPr>
        <w:pStyle w:val="Bibliography"/>
      </w:pPr>
      <w:r>
        <w:t xml:space="preserve">OpenAI. (2023).</w:t>
      </w:r>
      <w:r>
        <w:t xml:space="preserve"> </w:t>
      </w:r>
      <w:r>
        <w:rPr>
          <w:iCs/>
          <w:i/>
        </w:rPr>
        <w:t xml:space="preserve">Openai/evals: Evals is a framework for evaluating</w:t>
      </w:r>
      <w:r>
        <w:rPr>
          <w:iCs/>
          <w:i/>
        </w:rPr>
        <w:t xml:space="preserve"> </w:t>
      </w:r>
      <w:r>
        <w:rPr>
          <w:iCs/>
          <w:i/>
        </w:rPr>
        <w:t xml:space="preserve">LLMs</w:t>
      </w:r>
      <w:r>
        <w:rPr>
          <w:iCs/>
          <w:i/>
        </w:rPr>
        <w:t xml:space="preserve"> </w:t>
      </w:r>
      <w:r>
        <w:rPr>
          <w:iCs/>
          <w:i/>
        </w:rPr>
        <w:t xml:space="preserve">and</w:t>
      </w:r>
      <w:r>
        <w:rPr>
          <w:iCs/>
          <w:i/>
        </w:rPr>
        <w:t xml:space="preserve"> </w:t>
      </w:r>
      <w:r>
        <w:rPr>
          <w:iCs/>
          <w:i/>
        </w:rPr>
        <w:t xml:space="preserve">LLM</w:t>
      </w:r>
      <w:r>
        <w:rPr>
          <w:iCs/>
          <w:i/>
        </w:rPr>
        <w:t xml:space="preserve"> </w:t>
      </w:r>
      <w:r>
        <w:rPr>
          <w:iCs/>
          <w:i/>
        </w:rPr>
        <w:t xml:space="preserve">systems, and an open-source registry of benchmarks.</w:t>
      </w:r>
      <w:r>
        <w:t xml:space="preserve"> </w:t>
      </w:r>
      <w:hyperlink r:id="rId47">
        <w:r>
          <w:rPr>
            <w:rStyle w:val="Hyperlink"/>
          </w:rPr>
          <w:t xml:space="preserve">https://github.com/openai/evals</w:t>
        </w:r>
      </w:hyperlink>
    </w:p>
    <w:bookmarkEnd w:id="48"/>
    <w:bookmarkStart w:id="50"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9">
        <w:r>
          <w:rPr>
            <w:rStyle w:val="Hyperlink"/>
          </w:rPr>
          <w:t xml:space="preserve">http://arxiv.org/abs/2208.04024</w:t>
        </w:r>
      </w:hyperlink>
    </w:p>
    <w:bookmarkEnd w:id="50"/>
    <w:bookmarkStart w:id="52" w:name="ref-srivastava_beyond_2022"/>
    <w:p>
      <w:pPr>
        <w:pStyle w:val="Bibliography"/>
      </w:pPr>
      <w:r>
        <w:t xml:space="preserve">Srivastava, A., Rastogi, A., Rao, A., Shoeb, A. A. M., Abid, A., Fisch, A., Brown, A. R., Santoro, A., Gupta, A., Garriga-Alonso, A., Kluska, A., Lewkowycz, A., Agarwal, A., Power, A., Ray, A., Warstadt, A., Kocurek, A. W., Safaya, A., Tazarv, A., … Wu, Z. (2022).</w:t>
      </w:r>
      <w:r>
        <w:t xml:space="preserve"> </w:t>
      </w:r>
      <w:r>
        <w:rPr>
          <w:iCs/>
          <w:i/>
        </w:rPr>
        <w:t xml:space="preserve">Beyond the imitation game: Quantifying and extrapolating the capabilities of language models</w:t>
      </w:r>
      <w:r>
        <w:t xml:space="preserve"> </w:t>
      </w:r>
      <w:r>
        <w:t xml:space="preserve">(</w:t>
      </w:r>
      <w:r>
        <w:t xml:space="preserve">arXiv</w:t>
      </w:r>
      <w:r>
        <w:t xml:space="preserve">:2206.04615).</w:t>
      </w:r>
      <w:r>
        <w:t xml:space="preserve"> </w:t>
      </w:r>
      <w:r>
        <w:t xml:space="preserve">arXiv</w:t>
      </w:r>
      <w:r>
        <w:t xml:space="preserve">.</w:t>
      </w:r>
      <w:r>
        <w:t xml:space="preserve"> </w:t>
      </w:r>
      <w:hyperlink r:id="rId51">
        <w:r>
          <w:rPr>
            <w:rStyle w:val="Hyperlink"/>
          </w:rPr>
          <w:t xml:space="preserve">https://doi.org/10.48550/arXiv.2206.04615</w:t>
        </w:r>
      </w:hyperlink>
    </w:p>
    <w:bookmarkEnd w:id="52"/>
    <w:bookmarkStart w:id="54" w:name="ref-tamkin_understanding_2021"/>
    <w:p>
      <w:pPr>
        <w:pStyle w:val="Bibliography"/>
      </w:pPr>
      <w:r>
        <w:t xml:space="preserve">Tamkin, A., Brundage, M., Clark, J., &amp; Ganguli, D. (2021).</w:t>
      </w:r>
      <w:r>
        <w:t xml:space="preserve"> </w:t>
      </w:r>
      <w:r>
        <w:rPr>
          <w:iCs/>
          <w:i/>
        </w:rPr>
        <w:t xml:space="preserve">Understanding the capabilities, limitations, and societal impact of large language models</w:t>
      </w:r>
      <w:r>
        <w:t xml:space="preserve"> </w:t>
      </w:r>
      <w:r>
        <w:t xml:space="preserve">(</w:t>
      </w:r>
      <w:r>
        <w:t xml:space="preserve">arXiv</w:t>
      </w:r>
      <w:r>
        <w:t xml:space="preserve">:2102.02503).</w:t>
      </w:r>
      <w:r>
        <w:t xml:space="preserve"> </w:t>
      </w:r>
      <w:r>
        <w:t xml:space="preserve">arXiv</w:t>
      </w:r>
      <w:r>
        <w:t xml:space="preserve">.</w:t>
      </w:r>
      <w:r>
        <w:t xml:space="preserve"> </w:t>
      </w:r>
      <w:hyperlink r:id="rId53">
        <w:r>
          <w:rPr>
            <w:rStyle w:val="Hyperlink"/>
          </w:rPr>
          <w:t xml:space="preserve">https://doi.org/10.48550/arXiv.2102.02503</w:t>
        </w:r>
      </w:hyperlink>
    </w:p>
    <w:bookmarkEnd w:id="54"/>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2"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8"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0" Target="http://arxiv.org/abs/2302.07268" TargetMode="External" /><Relationship Type="http://schemas.openxmlformats.org/officeDocument/2006/relationships/hyperlink" Id="rId35"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53" Target="https://doi.org/10.48550/arXiv.2102.02503" TargetMode="External" /><Relationship Type="http://schemas.openxmlformats.org/officeDocument/2006/relationships/hyperlink" Id="rId51" Target="https://doi.org/10.48550/arXiv.2206.04615" TargetMode="External" /><Relationship Type="http://schemas.openxmlformats.org/officeDocument/2006/relationships/hyperlink" Id="rId43" Target="https://doi.org/10.48550/arXiv.2302.07842" TargetMode="External" /><Relationship Type="http://schemas.openxmlformats.org/officeDocument/2006/relationships/hyperlink" Id="rId47" Target="https://github.com/openai/evals" TargetMode="External" /></Relationships>
</file>

<file path=word/_rels/footnotes.xml.rels><?xml version="1.0" encoding="UTF-8"?><Relationships xmlns="http://schemas.openxmlformats.org/package/2006/relationships"><Relationship Type="http://schemas.openxmlformats.org/officeDocument/2006/relationships/hyperlink" Id="rId32" Target="http://arxiv.org/abs/2203.13722" TargetMode="External" /><Relationship Type="http://schemas.openxmlformats.org/officeDocument/2006/relationships/hyperlink" Id="rId49" Target="http://arxiv.org/abs/2208.04024" TargetMode="External" /><Relationship Type="http://schemas.openxmlformats.org/officeDocument/2006/relationships/hyperlink" Id="rId28"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0" Target="http://arxiv.org/abs/2302.07268" TargetMode="External" /><Relationship Type="http://schemas.openxmlformats.org/officeDocument/2006/relationships/hyperlink" Id="rId35"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53" Target="https://doi.org/10.48550/arXiv.2102.02503" TargetMode="External" /><Relationship Type="http://schemas.openxmlformats.org/officeDocument/2006/relationships/hyperlink" Id="rId51" Target="https://doi.org/10.48550/arXiv.2206.04615" TargetMode="External" /><Relationship Type="http://schemas.openxmlformats.org/officeDocument/2006/relationships/hyperlink" Id="rId43" Target="https://doi.org/10.48550/arXiv.2302.07842" TargetMode="External" /><Relationship Type="http://schemas.openxmlformats.org/officeDocument/2006/relationships/hyperlink" Id="rId47" Target="https://github.com/openai/ev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cp:keywords>Social Science, Social AI, Large Language Models, Augmented Language Models, Alignment Research, Survey Method, Experimental Method</cp:keywords>
  <dcterms:created xsi:type="dcterms:W3CDTF">2023-07-21T05:57:18Z</dcterms:created>
  <dcterms:modified xsi:type="dcterms:W3CDTF">2023-07-21T05:57:18Z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presents our work on SurveyLM,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Table of contents</vt:lpwstr>
  </property>
</Properties>
</file>