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29.07.2023</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SurveyLM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(specific information in real-world situations).</w:t>
      </w:r>
    </w:p>
    <w:p>
      <w:pPr>
        <w:numPr>
          <w:ilvl w:val="0"/>
          <w:numId w:val="1001"/>
        </w:numPr>
      </w:pPr>
      <w:r>
        <w:t xml:space="preserve">The application of survey and experimental methodologies, which are extensively utilized to study social behaviors, can greatly enhance the effectiveness of language model evaluation frameworks. These approaches can provide valuable insights into the behavior and alignment of the models, particularly when implemented in a</w:t>
      </w:r>
      <w:r>
        <w:t xml:space="preserve"> </w:t>
      </w:r>
      <w:r>
        <w:rPr>
          <w:iCs/>
          <w:i/>
        </w:rPr>
        <w:t xml:space="preserve">systematic</w:t>
      </w:r>
      <w:r>
        <w:t xml:space="preserve"> </w:t>
      </w:r>
      <w:r>
        <w:t xml:space="preserve">manner.</w:t>
      </w:r>
    </w:p>
    <w:p>
      <w:pPr>
        <w:numPr>
          <w:ilvl w:val="0"/>
          <w:numId w:val="1001"/>
        </w:numPr>
      </w:pPr>
      <w:r>
        <w:t xml:space="preserve">Augmented language models (ALMs) are AI systems that currently have the most advanced general reasoning capability and are increasingly functioning within diverse and intricate social scenarios, exhibiting emergent behaviors that were previously unexpected. Therefore, it is desirable to apply survey and experimental methodologies to not only unravel the factors influencing these emergent behaviors, but also to ensure these ALMs are adapting and aligning with human intentions and expectations, thus contributing to the responsible development and deployment of advanced AI systems.</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aims to be the first platform to deliver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SurveyLM</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in various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aspect of our platform, SurveyLM. We recognize that values are multifaceted and subjective, making their quantification challenging. Human values, as well as AI alignment to these values, evolve over time and iterations, necessitating a continuously adaptive approach. Through rigorous research and analysis, we aim to develop and translate robust methodologies to define and measure values in the context of ALMs, and to discern trends and shifts in ALMs value systems and alignment. This will provide a solid foundation for studying and understanding their behavior patterns in complex social settings.</w:t>
      </w:r>
    </w:p>
    <w:p>
      <w:pPr>
        <w:pStyle w:val="BodyText"/>
      </w:pPr>
      <w:r>
        <w:t xml:space="preserve">To effectively explore emerging value perspectives in ALMs’ behaviors, we employ state-of-the-art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from ALMs’ behaviors. By addressing the questions of why values matter, defining measures of values, and simulating ALMs in complex social settings, we can generate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 Yet Flexible:</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Embrace Consistency and Dynamism:</w:t>
      </w:r>
      <w:r>
        <w:t xml:space="preserve"> </w:t>
      </w:r>
      <w:r>
        <w:t xml:space="preserve">Consistency is paramount for any research work. As such, the platform will ensure that the GPT models produce consistent responses to survey questions in terms of answer formats and compliance with other instructions. At the same time, we recognize the evolving nature of AI, incorporating the dynamic aspect of learning and growth in AI models to our consistency ethos. Balancing these elements enhances not just the reproducibility, but also the adaptive validity and reliability of our research findings.</w:t>
      </w:r>
    </w:p>
    <w:p>
      <w:pPr>
        <w:pStyle w:val="BodyText"/>
      </w:pPr>
      <w:r>
        <w:rPr>
          <w:bCs/>
          <w:b/>
        </w:rPr>
        <w:t xml:space="preserve">Respect Privacy and Data Control:</w:t>
      </w:r>
      <w:r>
        <w:t xml:space="preserve"> </w:t>
      </w:r>
      <w:r>
        <w:t xml:space="preserve">With the rise of data breaches, privacy protection is a critical concern for users. On our platform, we uphold the principle of data control, retaining user data exclusively until such time as the user decides to delete it. Upon deletion,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285344"/>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285344"/>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Metrics:</w:t>
      </w:r>
      <w:r>
        <w:t xml:space="preserve"> </w:t>
      </w:r>
      <w:r>
        <w:t xml:space="preserve">This component offers real-time monitoring for concurrent API calls. It helps users keep track of their usage, understand any system restrictions, and plan their work accordingly.</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Agents:</w:t>
      </w:r>
      <w:r>
        <w:t xml:space="preserve"> </w:t>
      </w:r>
      <w:r>
        <w:t xml:space="preserve">These are the core operational units of the platform. Each agent possesses a profile constructed from parameter configurations and a set of interfaces for interaction with the metrics monitor, databases, and GPT models. The agent serves as a conduit, ensuring efficient and error-free data flow within the platform. The agents constitute an interface that internalizes the complexity of prompt engineering and related operations needed to ensure that the LLMs behave consistently in term of the structure of their response.</w:t>
      </w:r>
    </w:p>
    <w:p>
      <w:pPr>
        <w:pStyle w:val="BodyText"/>
      </w:pPr>
      <w:r>
        <w:rPr>
          <w:bCs/>
          <w:b/>
        </w:rPr>
        <w:t xml:space="preserve">Document and Data Processing:</w:t>
      </w:r>
      <w:r>
        <w:t xml:space="preserve"> </w:t>
      </w:r>
      <w:r>
        <w:t xml:space="preserve">This component processes survey document uploaded by the user, check for their consistency, and prepare them in format that’s convenient for user to inspect through the data viewer on the frontend interface. This component also process completed simulation data and transform them into formats for the frontend data viewer and download.</w:t>
      </w:r>
    </w:p>
    <w:p>
      <w:pPr>
        <w:pStyle w:val="BodyText"/>
      </w:pPr>
      <w:r>
        <w:rPr>
          <w:bCs/>
          <w:b/>
        </w:rPr>
        <w:t xml:space="preserve">Request Handler:</w:t>
      </w:r>
      <w:r>
        <w:t xml:space="preserve"> </w:t>
      </w:r>
      <w:r>
        <w:t xml:space="preserve">This component manages the complexity of prompt engineering and concurrent API calls. It allows the user to communicate with the GPT models seamlessly and ensures all prompts are correctly formatted and successfully sent. It also manages API call volume to prevent rate limit violations.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A good solution requires two things. First, users must be able to obtain API keys that have the desirable rate limits. Second,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52" w:name="references"/>
    <w:p>
      <w:pPr>
        <w:pStyle w:val="Heading1"/>
      </w:pPr>
      <w:r>
        <w:rPr>
          <w:bCs/>
          <w:b/>
        </w:rPr>
        <w:t xml:space="preserve">References</w:t>
      </w:r>
    </w:p>
    <w:bookmarkStart w:id="51"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5">
        <w:r>
          <w:rPr>
            <w:rStyle w:val="Hyperlink"/>
          </w:rPr>
          <w:t xml:space="preserve">https://doi.org/10.1073/pnas.2218523120</w:t>
        </w:r>
      </w:hyperlink>
    </w:p>
    <w:bookmarkEnd w:id="36"/>
    <w:bookmarkStart w:id="37"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7"/>
    <w:bookmarkStart w:id="38"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38"/>
    <w:bookmarkStart w:id="40"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39">
        <w:r>
          <w:rPr>
            <w:rStyle w:val="Hyperlink"/>
          </w:rPr>
          <w:t xml:space="preserve">http://arxiv.org/abs/2301.07543</w:t>
        </w:r>
      </w:hyperlink>
    </w:p>
    <w:bookmarkEnd w:id="40"/>
    <w:bookmarkStart w:id="42"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1">
        <w:r>
          <w:rPr>
            <w:rStyle w:val="Hyperlink"/>
          </w:rPr>
          <w:t xml:space="preserve">https://doi.org/10.3386/w30957</w:t>
        </w:r>
      </w:hyperlink>
    </w:p>
    <w:bookmarkEnd w:id="42"/>
    <w:bookmarkStart w:id="44"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3">
        <w:r>
          <w:rPr>
            <w:rStyle w:val="Hyperlink"/>
          </w:rPr>
          <w:t xml:space="preserve">https://doi.org/10.48550/arXiv.2302.07842</w:t>
        </w:r>
      </w:hyperlink>
    </w:p>
    <w:bookmarkEnd w:id="44"/>
    <w:bookmarkStart w:id="46"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5">
        <w:r>
          <w:rPr>
            <w:rStyle w:val="Hyperlink"/>
          </w:rPr>
          <w:t xml:space="preserve">http://arxiv.org/abs/2209.14338</w:t>
        </w:r>
      </w:hyperlink>
    </w:p>
    <w:bookmarkEnd w:id="46"/>
    <w:bookmarkStart w:id="48"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7">
        <w:r>
          <w:rPr>
            <w:rStyle w:val="Hyperlink"/>
          </w:rPr>
          <w:t xml:space="preserve">http://arxiv.org/abs/2208.04024</w:t>
        </w:r>
      </w:hyperlink>
    </w:p>
    <w:bookmarkEnd w:id="48"/>
    <w:bookmarkStart w:id="50"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49">
        <w:r>
          <w:rPr>
            <w:rStyle w:val="Hyperlink"/>
          </w:rPr>
          <w:t xml:space="preserve">https://doi.org/10.48550/arXiv.2102.02503</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49" Target="https://doi.org/10.48550/arXiv.2102.02503" TargetMode="External" /><Relationship Type="http://schemas.openxmlformats.org/officeDocument/2006/relationships/hyperlink" Id="rId43" Target="https://doi.org/10.48550/arXiv.2302.07842"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49" Target="https://doi.org/10.48550/arXiv.2102.02503" TargetMode="External" /><Relationship Type="http://schemas.openxmlformats.org/officeDocument/2006/relationships/hyperlink" Id="rId43" Target="https://doi.org/10.48550/arXiv.2302.078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dc:description>Panalogy Lab Technical Report 23-001</dc:description>
  <cp:keywords>Social Science, Social AI, Large Language Models, Augmented Language Models, Alignment Research, Survey Method, Experimental Method</cp:keywords>
  <dcterms:created xsi:type="dcterms:W3CDTF">2023-07-29T03:49:55Z</dcterms:created>
  <dcterms:modified xsi:type="dcterms:W3CDTF">2023-07-29T03:49:55Z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presents our work on SurveyLM,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29.07.2023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