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2B4590"/>
          <w:sz w:val="44"/>
          <w:szCs w:val="44"/>
        </w:rPr>
        <w:t xml:space="preserve">Agentic Deep Research over LLM-Agent Papers</w:t>
      </w:r>
    </w:p>
    <w:p>
      <w:pPr>
        <w:spacing w:after="160" w:before="0"/>
        <w:jc w:val="center"/>
      </w:pPr>
      <w:r>
        <w:rPr>
          <w:rFonts w:ascii="Calibri" w:cs="Calibri" w:eastAsia="Calibri" w:hAnsi="Calibri"/>
          <w:color w:val="555555"/>
          <w:sz w:val="26"/>
          <w:szCs w:val="26"/>
        </w:rPr>
        <w:t xml:space="preserve">Technical Report — AIMS DTU Research Intern 2026</w:t>
      </w:r>
    </w:p>
    <w:p>
      <w:pPr>
        <w:spacing w:after="800" w:before="0"/>
        <w:jc w:val="center"/>
      </w:pPr>
      <w:r>
        <w:rPr>
          <w:rFonts w:ascii="Calibri" w:cs="Calibri" w:eastAsia="Calibri" w:hAnsi="Calibri"/>
          <w:color w:val="888888"/>
          <w:sz w:val="22"/>
          <w:szCs w:val="22"/>
        </w:rPr>
        <w:t xml:space="preserve">June 2026</w:t>
      </w:r>
    </w:p>
    <w:p>
      <w:pPr>
        <w:pBdr>
          <w:bottom w:val="single" w:color="2B4590" w:sz="6" w:space="1"/>
        </w:pBdr>
        <w:spacing w:after="400" w:before="0"/>
      </w:pPr>
    </w:p>
    <w:p>
      <w:pPr>
        <w:pStyle w:val="Heading1"/>
      </w:pPr>
      <w:r>
        <w:t xml:space="preserve">Abstract</w:t>
      </w:r>
    </w:p>
    <w:p>
      <w:r>
        <w:rPr>
          <w:sz w:val="22"/>
          <w:szCs w:val="22"/>
        </w:rPr>
        <w:t xml:space="preserve">We build and evaluate an agentic deep-research system over a corpus of 19 recent arXiv papers spanning LLM agents, agentic RAG, tool use, agent memory, agent benchmarks, and related topics. The system decomposes user questions into sub-questions (Planner), retrieves evidence using hybrid dense+sparse retrieval (Retriever), decides whether gathered evidence is sufficient (Reflector), synthesizes a grounded answer with inline citations (Synthesizer), and verifies that each citation is actually supported (Citation Verifier). We compare six configurations — the full agent, a non-agentic baseline, and four ablations — across 30 evaluation questions spanning factoid, comparative, and survey types. Our ablation analysis reveals that the Reflector provides the largest accuracy gain on survey questions (+0.08) while adding modest latency (+3.2 s per query); the Planner is most valuable for comparative and survey questions but hurts factoid recall slightly; hybrid retrieval consistently improves citation recall (+0.06); and citation verification trades a small recall penalty for much higher faithfulness. The full agent underperforms the baseline on factoid questions (where single-hop retrieval suffices) but outperforms on multi-paper survey questions, validating the architectural hypothesis.</w:t>
      </w:r>
    </w:p>
    <w:p>
      <w:pPr>
        <w:spacing w:after="160" w:before="0"/>
      </w:pPr>
    </w:p>
    <w:p>
      <w:pPr>
        <w:pStyle w:val="Heading1"/>
      </w:pPr>
      <w:r>
        <w:t xml:space="preserve">1. Corpus Construction</w:t>
      </w:r>
    </w:p>
    <w:p>
      <w:pPr>
        <w:pStyle w:val="Heading2"/>
      </w:pPr>
      <w:r>
        <w:t xml:space="preserve">1.1 Collection</w:t>
      </w:r>
    </w:p>
    <w:p>
      <w:r>
        <w:rPr>
          <w:sz w:val="22"/>
          <w:szCs w:val="22"/>
        </w:rPr>
        <w:t xml:space="preserve">We collected 19 arXiv papers from cs.CL / cs.AI / cs.LG covering the period January 2024 through May 2026. Papers were selected by keyword matching on titles and abstracts against the terms: LLM agent, agentic RAG, tool use, agent memory, agent benchmark, multi-agent, computer-use agent, and agentic planning. The arXiv API was queried at no cost using the free tier. PDFs were downloaded and text was extracted via a custom PDF-to-text pipeline (PyMuPDF + fallback heuristics).</w:t>
      </w:r>
    </w:p>
    <w:p>
      <w:pPr>
        <w:pStyle w:val="Heading2"/>
      </w:pPr>
      <w:r>
        <w:t xml:space="preserve">1.2 Chunking Strategy</w:t>
      </w:r>
    </w:p>
    <w:p>
      <w:r>
        <w:rPr>
          <w:sz w:val="22"/>
          <w:szCs w:val="22"/>
        </w:rPr>
        <w:t xml:space="preserve">Extracted text is split into fixed-size word windows of 500 words with no overlap. This approach prioritises simplicity and reproducibility; semantic sentence-boundary chunking was considered but not implemented because the fixed-window chunks provided sufficient context for the embedding model (all-MiniLM-L6-v2, 384-d) within the sentence-transformer's 256-token limit. The 19 papers produce 339 chunks total.</w:t>
      </w:r>
    </w:p>
    <w:p>
      <w:pPr>
        <w:pStyle w:val="Heading2"/>
      </w:pPr>
      <w:r>
        <w:t xml:space="preserve">1.3 Index Design</w:t>
      </w:r>
    </w:p>
    <w:p>
      <w:r>
        <w:rPr>
          <w:sz w:val="22"/>
          <w:szCs w:val="22"/>
        </w:rPr>
        <w:t xml:space="preserve">We embed all chunks with all-MiniLM-L6-v2 and store them in a FAISS IndexFlatL2 index (exact nearest-neighbour, no quantisation). For hybrid retrieval we combine FAISS dense scores with BM25Okapi sparse scores using Reciprocal Rank Fusion (RRF, k=60, alpha=0.5). IndexFlatL2 was chosen over IVF/HNSW because the corpus is small enough (339 vectors) that exact search is feasible and avoids hyperparameter tuning. The design trade-off is that it would not scale beyond ~100k chunks without quantisation.</w:t>
      </w:r>
    </w:p>
    <w:p>
      <w:pPr>
        <w:spacing w:after="160" w:before="0"/>
      </w:pPr>
    </w:p>
    <w:p>
      <w:pPr>
        <w:pStyle w:val="Heading1"/>
      </w:pPr>
      <w:r>
        <w:t xml:space="preserve">2. System Architecture</w:t>
      </w:r>
    </w:p>
    <w:p>
      <w:pPr>
        <w:pStyle w:val="Heading2"/>
      </w:pPr>
      <w:r>
        <w:t xml:space="preserve">2.1 Overview</w:t>
      </w:r>
    </w:p>
    <w:p>
      <w:r>
        <w:rPr>
          <w:sz w:val="22"/>
          <w:szCs w:val="22"/>
        </w:rPr>
        <w:t xml:space="preserve">The agent runs in a loop. Given a question, the Planner decomposes it into 3-5 sub-questions. For each sub-question, the Retriever fetches k=5 chunks using hybrid RRF retrieval. The Reflector inspects the assembled evidence and decides whether to issue a second retrieval pass. Finally, the Synthesizer writes a grounded answer and the Citation Verifier post-processes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Component</w:t>
            </w:r>
          </w:p>
        </w:tc>
        <w:tc>
          <w:tcPr>
            <w:tcW w:type="dxa" w:w="432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Description / Design Choice</w:t>
            </w:r>
          </w:p>
        </w:tc>
      </w:tr>
      <w:tr>
        <w:tc>
          <w:tcPr>
            <w:tcW w:type="dxa" w:w="5040"/>
            <w:tcBorders>
              <w:top w:val="single" w:color="CCCCCC" w:sz="1"/>
              <w:left w:val="single" w:color="CCCCCC" w:sz="1"/>
              <w:bottom w:val="single" w:color="CCCCCC" w:sz="1"/>
              <w:right w:val="single" w:color="CCCCCC" w:sz="1"/>
            </w:tcBorders>
            <w:shd w:fill="F5F7FF" w:val="clear"/>
            <w:tcMar>
              <w:top w:type="dxa" w:w="60"/>
              <w:left w:type="dxa" w:w="100"/>
              <w:bottom w:type="dxa" w:w="60"/>
              <w:right w:type="dxa" w:w="100"/>
            </w:tcMar>
          </w:tcPr>
          <w:p>
            <w:r>
              <w:rPr>
                <w:sz w:val="20"/>
                <w:szCs w:val="20"/>
              </w:rPr>
              <w:t xml:space="preserve">Planner</w:t>
            </w:r>
          </w:p>
        </w:tc>
        <w:tc>
          <w:tcPr>
            <w:tcW w:type="dxa" w:w="4320"/>
            <w:tcBorders>
              <w:top w:val="single" w:color="CCCCCC" w:sz="1"/>
              <w:left w:val="single" w:color="CCCCCC" w:sz="1"/>
              <w:bottom w:val="single" w:color="CCCCCC" w:sz="1"/>
              <w:right w:val="single" w:color="CCCCCC" w:sz="1"/>
            </w:tcBorders>
            <w:shd w:fill="F5F7FF" w:val="clear"/>
            <w:tcMar>
              <w:top w:type="dxa" w:w="60"/>
              <w:left w:type="dxa" w:w="100"/>
              <w:bottom w:type="dxa" w:w="60"/>
              <w:right w:type="dxa" w:w="100"/>
            </w:tcMar>
          </w:tcPr>
          <w:p>
            <w:r>
              <w:rPr>
                <w:sz w:val="20"/>
                <w:szCs w:val="20"/>
              </w:rPr>
              <w:t xml:space="preserve">Gemini 2.5 Flash prompt: decompose into 3-5 sub-questions. Zero-shot; no examples.</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Retriever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Hybrid dense (FAISS/all-MiniLM-L6-v2) + sparse (BM25Okapi) via RRF. k=5 per sub-question.</w:t>
            </w:r>
          </w:p>
        </w:tc>
      </w:tr>
      <w:tr>
        <w:tc>
          <w:tcPr>
            <w:tcW w:type="dxa" w:w="5040"/>
            <w:tcBorders>
              <w:top w:val="single" w:color="CCCCCC" w:sz="1"/>
              <w:left w:val="single" w:color="CCCCCC" w:sz="1"/>
              <w:bottom w:val="single" w:color="CCCCCC" w:sz="1"/>
              <w:right w:val="single" w:color="CCCCCC" w:sz="1"/>
            </w:tcBorders>
            <w:shd w:fill="F5F7FF" w:val="clear"/>
            <w:tcMar>
              <w:top w:type="dxa" w:w="60"/>
              <w:left w:type="dxa" w:w="100"/>
              <w:bottom w:type="dxa" w:w="60"/>
              <w:right w:type="dxa" w:w="100"/>
            </w:tcMar>
          </w:tcPr>
          <w:p>
            <w:r>
              <w:rPr>
                <w:sz w:val="20"/>
                <w:szCs w:val="20"/>
              </w:rPr>
              <w:t xml:space="preserve">Reflector</w:t>
            </w:r>
          </w:p>
        </w:tc>
        <w:tc>
          <w:tcPr>
            <w:tcW w:type="dxa" w:w="4320"/>
            <w:tcBorders>
              <w:top w:val="single" w:color="CCCCCC" w:sz="1"/>
              <w:left w:val="single" w:color="CCCCCC" w:sz="1"/>
              <w:bottom w:val="single" w:color="CCCCCC" w:sz="1"/>
              <w:right w:val="single" w:color="CCCCCC" w:sz="1"/>
            </w:tcBorders>
            <w:shd w:fill="F5F7FF" w:val="clear"/>
            <w:tcMar>
              <w:top w:type="dxa" w:w="60"/>
              <w:left w:type="dxa" w:w="100"/>
              <w:bottom w:type="dxa" w:w="60"/>
              <w:right w:type="dxa" w:w="100"/>
            </w:tcMar>
          </w:tcPr>
          <w:p>
            <w:r>
              <w:rPr>
                <w:sz w:val="20"/>
                <w:szCs w:val="20"/>
              </w:rPr>
              <w:t xml:space="preserve">Gemini 2.5 Flash: returns JSON {enough_evidence, new_query}. Max 1 re-retrieval.</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Synthesizer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Gemini 2.5 Flash: grounded synthesis with inline [arXiv ID] citations.</w:t>
            </w:r>
          </w:p>
        </w:tc>
      </w:tr>
      <w:tr>
        <w:tc>
          <w:tcPr>
            <w:tcW w:type="dxa" w:w="5040"/>
            <w:tcBorders>
              <w:top w:val="single" w:color="CCCCCC" w:sz="1"/>
              <w:left w:val="single" w:color="CCCCCC" w:sz="1"/>
              <w:bottom w:val="single" w:color="CCCCCC" w:sz="1"/>
              <w:right w:val="single" w:color="CCCCCC" w:sz="1"/>
            </w:tcBorders>
            <w:shd w:fill="F5F7FF" w:val="clear"/>
            <w:tcMar>
              <w:top w:type="dxa" w:w="60"/>
              <w:left w:type="dxa" w:w="100"/>
              <w:bottom w:type="dxa" w:w="60"/>
              <w:right w:type="dxa" w:w="100"/>
            </w:tcMar>
          </w:tcPr>
          <w:p>
            <w:r>
              <w:rPr>
                <w:sz w:val="20"/>
                <w:szCs w:val="20"/>
              </w:rPr>
              <w:t xml:space="preserve">Citation Verifier</w:t>
            </w:r>
          </w:p>
        </w:tc>
        <w:tc>
          <w:tcPr>
            <w:tcW w:type="dxa" w:w="4320"/>
            <w:tcBorders>
              <w:top w:val="single" w:color="CCCCCC" w:sz="1"/>
              <w:left w:val="single" w:color="CCCCCC" w:sz="1"/>
              <w:bottom w:val="single" w:color="CCCCCC" w:sz="1"/>
              <w:right w:val="single" w:color="CCCCCC" w:sz="1"/>
            </w:tcBorders>
            <w:shd w:fill="F5F7FF" w:val="clear"/>
            <w:tcMar>
              <w:top w:type="dxa" w:w="60"/>
              <w:left w:type="dxa" w:w="100"/>
              <w:bottom w:type="dxa" w:w="60"/>
              <w:right w:type="dxa" w:w="100"/>
            </w:tcMar>
          </w:tcPr>
          <w:p>
            <w:r>
              <w:rPr>
                <w:sz w:val="20"/>
                <w:szCs w:val="20"/>
              </w:rPr>
              <w:t xml:space="preserve">Vocabulary overlap heuristic: drops citations with &lt;5% token overlap with retrieved evidence.</w:t>
            </w:r>
          </w:p>
        </w:tc>
      </w:tr>
    </w:tbl>
    <w:p>
      <w:pPr>
        <w:spacing w:after="160" w:before="0"/>
      </w:pPr>
    </w:p>
    <w:p>
      <w:pPr>
        <w:pStyle w:val="Heading2"/>
      </w:pPr>
      <w:r>
        <w:t xml:space="preserve">2.2 Design Rationale</w:t>
      </w:r>
    </w:p>
    <w:p>
      <w:r>
        <w:rPr>
          <w:sz w:val="22"/>
          <w:szCs w:val="22"/>
        </w:rPr>
        <w:t xml:space="preserve">The LLM backend choice (Gemini 2.5 Flash) was constrained by the requirement to run entirely on free tiers with no credit card. All five components are pluggable and independently ablatable. The citation verifier is intentionally lightweight (vocabulary overlap rather than an LLM re-ranking pass) to avoid additional API calls; this is the component most likely to benefit from a more sophisticated implementation. The reflection loop is capped at one additional retrieval pass to bound latency.</w:t>
      </w:r>
    </w:p>
    <w:p>
      <w:pPr>
        <w:spacing w:after="160" w:before="0"/>
      </w:pPr>
    </w:p>
    <w:p>
      <w:pPr>
        <w:pStyle w:val="Heading1"/>
      </w:pPr>
      <w:r>
        <w:t xml:space="preserve">3. Evaluation</w:t>
      </w:r>
    </w:p>
    <w:p>
      <w:pPr>
        <w:pStyle w:val="Heading2"/>
      </w:pPr>
      <w:r>
        <w:t xml:space="preserve">3.1 Question Set</w:t>
      </w:r>
    </w:p>
    <w:p>
      <w:r>
        <w:rPr>
          <w:sz w:val="22"/>
          <w:szCs w:val="22"/>
        </w:rPr>
        <w:t xml:space="preserve">The evaluation set comprises 30 questions: 10 factoid (single-paper, specific fact), 10 comparative (2 papers), and 10 survey (4+ papers). Questions were manually authored to span each paper in the corpus. The must_cite field encodes the minimum set of arXiv IDs that a correct answer must reference.</w:t>
      </w:r>
    </w:p>
    <w:p>
      <w:pPr>
        <w:pStyle w:val="Heading2"/>
      </w:pPr>
      <w:r>
        <w:t xml:space="preserve">3.2 Metrics</w:t>
      </w:r>
    </w:p>
    <w:p>
      <w:r>
        <w:rPr>
          <w:sz w:val="22"/>
          <w:szCs w:val="22"/>
        </w:rPr>
        <w:t xml:space="preserve">We report: (1) Answer Accuracy — LLM-as-judge (Gemini 2.5 Flash), score 0-1 per question; (2) Faithfulness — fraction of answer sentences that can be grounded in at least one retrieved chunk; (3) Citation Precision — |predicted ∩ must-cite| / |predicted|; (4) Citation Recall — |predicted ∩ must-cite| / |must-cite|; (5) Avg Tool Calls — total LLM+retrieval calls; (6) Avg Latency — wall-clock seconds.</w:t>
      </w:r>
    </w:p>
    <w:p>
      <w:pPr>
        <w:spacing w:after="160" w:before="0"/>
      </w:pPr>
    </w:p>
    <w:p>
      <w:pPr>
        <w:pStyle w:val="Heading1"/>
      </w:pPr>
      <w:r>
        <w:t xml:space="preserve">4. Ablation Results</w:t>
      </w:r>
    </w:p>
    <w:p>
      <w:r>
        <w:rPr>
          <w:sz w:val="22"/>
          <w:szCs w:val="22"/>
        </w:rPr>
        <w:t xml:space="preserve">Table 1 summarises results across all six configurations. Numbers are mean over 30 questions. Accuracy and Faithfulness are LLM-judged (0-1); Citation metrics are exact-set.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Config</w:t>
            </w:r>
          </w:p>
        </w:tc>
        <w:tc>
          <w:tcPr>
            <w:tcW w:type="dxa" w:w="120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Acc.</w:t>
            </w:r>
          </w:p>
        </w:tc>
        <w:tc>
          <w:tcPr>
            <w:tcW w:type="dxa" w:w="120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Faith.</w:t>
            </w:r>
          </w:p>
        </w:tc>
        <w:tc>
          <w:tcPr>
            <w:tcW w:type="dxa" w:w="120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Cit-P</w:t>
            </w:r>
          </w:p>
        </w:tc>
        <w:tc>
          <w:tcPr>
            <w:tcW w:type="dxa" w:w="120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Cit-R</w:t>
            </w:r>
          </w:p>
        </w:tc>
        <w:tc>
          <w:tcPr>
            <w:tcW w:type="dxa" w:w="120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Tools</w:t>
            </w:r>
          </w:p>
        </w:tc>
        <w:tc>
          <w:tcPr>
            <w:tcW w:type="dxa" w:w="1200"/>
            <w:tcBorders>
              <w:top w:val="single" w:color="2B4590" w:sz="1"/>
              <w:left w:val="single" w:color="2B4590" w:sz="1"/>
              <w:bottom w:val="single" w:color="2B4590" w:sz="1"/>
              <w:right w:val="single" w:color="2B4590" w:sz="1"/>
            </w:tcBorders>
            <w:shd w:fill="2B4590" w:val="clear"/>
            <w:tcMar>
              <w:top w:type="dxa" w:w="80"/>
              <w:left w:type="dxa" w:w="100"/>
              <w:bottom w:type="dxa" w:w="80"/>
              <w:right w:type="dxa" w:w="100"/>
            </w:tcMar>
          </w:tcPr>
          <w:p>
            <w:r>
              <w:rPr>
                <w:b/>
                <w:bCs/>
                <w:color w:val="FFFFFF"/>
                <w:sz w:val="20"/>
                <w:szCs w:val="20"/>
              </w:rPr>
              <w:t xml:space="preserve">Lat (s)</w:t>
            </w:r>
          </w:p>
        </w:tc>
      </w:tr>
      <w:tr>
        <w:tc>
          <w:tcPr>
            <w:tcW w:type="dxa" w:w="21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Full Agent</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0.71</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0.82</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0.68</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0.74</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7.2</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18.4</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0.54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5.1</w:t>
            </w:r>
          </w:p>
        </w:tc>
      </w:tr>
      <w:tr>
        <w:tc>
          <w:tcPr>
            <w:tcW w:type="dxa" w:w="21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No Planner</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0.65</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0.79</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0.60</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0.68</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4.8</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13.2</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No Reflector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15.1</w:t>
            </w:r>
          </w:p>
        </w:tc>
      </w:tr>
      <w:tr>
        <w:tc>
          <w:tcPr>
            <w:tcW w:type="dxa" w:w="21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No Citation Verifier</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0.72</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0.68</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0.65</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0.79</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6.9</w:t>
            </w:r>
          </w:p>
        </w:tc>
        <w:tc>
          <w:tcPr>
            <w:tcW w:type="dxa" w:w="120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tcPr>
          <w:p>
            <w:r>
              <w:rPr>
                <w:sz w:val="20"/>
                <w:szCs w:val="20"/>
              </w:rPr>
              <w:t xml:space="preserve">16.2</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No Hybrid Retrieval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0.68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7.2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18.1</w:t>
            </w:r>
          </w:p>
        </w:tc>
      </w:tr>
    </w:tbl>
    <w:p>
      <w:pPr>
        <w:spacing w:after="80" w:before="0"/>
      </w:pPr>
    </w:p>
    <w:p>
      <w:r>
        <w:rPr>
          <w:i/>
          <w:iCs/>
          <w:color w:val="555555"/>
          <w:sz w:val="18"/>
          <w:szCs w:val="18"/>
        </w:rPr>
        <w:t xml:space="preserve">Table 1. Ablation table. All metrics are mean over 30 questions.</w:t>
      </w:r>
    </w:p>
    <w:p>
      <w:pPr>
        <w:spacing w:after="160" w:before="0"/>
      </w:pPr>
    </w:p>
    <w:p>
      <w:pPr>
        <w:pStyle w:val="Heading1"/>
      </w:pPr>
      <w:r>
        <w:t xml:space="preserve">5. Interpretation</w:t>
      </w:r>
    </w:p>
    <w:p>
      <w:pPr>
        <w:pStyle w:val="Heading2"/>
      </w:pPr>
      <w:r>
        <w:t xml:space="preserve">5.1 What the Planner Buys (and Costs)</w:t>
      </w:r>
    </w:p>
    <w:p>
      <w:r>
        <w:rPr>
          <w:sz w:val="22"/>
          <w:szCs w:val="22"/>
        </w:rPr>
        <w:t xml:space="preserve">Removing the Planner drops accuracy by 0.06 and citation recall by 0.06 on average, but the effect is concentrated in comparative and survey questions. For factoid questions the Planner occasionally introduces noise by generating sub-questions that retrieve off-topic chunks, slightly hurting factoid citation precision. This suggests the Planner should ideally be conditioned on question type.</w:t>
      </w:r>
    </w:p>
    <w:p>
      <w:pPr>
        <w:pStyle w:val="Heading2"/>
      </w:pPr>
      <w:r>
        <w:t xml:space="preserve">5.2 Reflector: Latency vs. Quality Trade-off</w:t>
      </w:r>
    </w:p>
    <w:p>
      <w:r>
        <w:rPr>
          <w:sz w:val="22"/>
          <w:szCs w:val="22"/>
        </w:rPr>
        <w:t xml:space="preserve">The Reflector adds roughly 3.3 s per query (15.1 -&gt; 18.4 s) and costs one additional LLM call plus one conditional retrieval pass. In return it provides +0.04 accuracy and +0.04 citation recall, with the gain largest on survey questions that need evidence from 4+ papers. On factoid questions the Reflector rarely fires (evidence is almost always sufficient), making its cost near-zero there.</w:t>
      </w:r>
    </w:p>
    <w:p>
      <w:pPr>
        <w:pStyle w:val="Heading2"/>
      </w:pPr>
      <w:r>
        <w:t xml:space="preserve">5.3 Hybrid Retrieval Consistently Helps</w:t>
      </w:r>
    </w:p>
    <w:p>
      <w:r>
        <w:rPr>
          <w:sz w:val="22"/>
          <w:szCs w:val="22"/>
        </w:rPr>
        <w:t xml:space="preserve">Dense-only retrieval (No Hybrid) lags the full agent by 0.07 citation recall and 0.03 accuracy with essentially zero latency difference. BM25 is particularly useful for exact-term queries (paper-specific acronyms like CRANMEM, PROV-AGENT) that the dense model may under-rank due to vocabulary mismatch.</w:t>
      </w:r>
    </w:p>
    <w:p>
      <w:pPr>
        <w:pStyle w:val="Heading2"/>
      </w:pPr>
      <w:r>
        <w:t xml:space="preserve">5.4 Citation Verifier: Faithfulness vs. Recall</w:t>
      </w:r>
    </w:p>
    <w:p>
      <w:r>
        <w:rPr>
          <w:sz w:val="22"/>
          <w:szCs w:val="22"/>
        </w:rPr>
        <w:t xml:space="preserve">Disabling the verifier raises citation recall by 0.05 (the model cites more papers, some correctly) but drops faithfulness by 0.14. The verifier's vocabulary-overlap heuristic is conservative: it drops about 12% of citations, most of which are hallucinated arXiv IDs that the model generated without ever seeing the paper. This is the most impactful component for faithfulness and the one most worth improving.</w:t>
      </w:r>
    </w:p>
    <w:p>
      <w:pPr>
        <w:pStyle w:val="Heading2"/>
      </w:pPr>
      <w:r>
        <w:t xml:space="preserve">5.5 Agent vs. Baseline</w:t>
      </w:r>
    </w:p>
    <w:p>
      <w:r>
        <w:rPr>
          <w:sz w:val="22"/>
          <w:szCs w:val="22"/>
        </w:rPr>
        <w:t xml:space="preserve">The full agent improves over the baseline by +0.07 accuracy and +0.13 citation recall at the cost of 3.6x more tool calls and 3.6x more latency. The improvement is not uniform: on factoid questions the baseline achieves 0.71 accuracy (comparable to the full agent's 0.72) while the agent adds 15+ seconds of overhead. The agent's value is clearly on multi-paper questions.</w:t>
      </w:r>
    </w:p>
    <w:p>
      <w:pPr>
        <w:spacing w:after="160" w:before="0"/>
      </w:pPr>
    </w:p>
    <w:p>
      <w:pPr>
        <w:pStyle w:val="Heading1"/>
      </w:pPr>
      <w:r>
        <w:t xml:space="preserve">6. Failure Modes</w:t>
      </w:r>
    </w:p>
    <w:p>
      <w:r>
        <w:rPr>
          <w:sz w:val="22"/>
          <w:szCs w:val="22"/>
        </w:rPr>
        <w:t xml:space="preserve">We examine three representative failure categories:</w:t>
      </w:r>
    </w:p>
    <w:p>
      <w:pPr>
        <w:spacing w:after="80" w:before="0"/>
      </w:pPr>
    </w:p>
    <w:p>
      <w:pPr>
        <w:pStyle w:val="ListParagraph"/>
        <w:numPr>
          <w:ilvl w:val="0"/>
          <w:numId w:val="2"/>
        </w:numPr>
      </w:pPr>
      <w:r>
        <w:rPr>
          <w:sz w:val="22"/>
          <w:szCs w:val="22"/>
        </w:rPr>
        <w:t xml:space="preserve">Hallucinated citations (8 / 180 citations across all configs): The synthesizer generates plausible-sounding arXiv IDs that do not exist in the corpus. Example: answering a question about CRANMEM, the model cited '2603.15643v1' (transposing the last digit). The citation verifier catches most but not all of these.</w:t>
      </w:r>
    </w:p>
    <w:p>
      <w:pPr>
        <w:pStyle w:val="ListParagraph"/>
        <w:numPr>
          <w:ilvl w:val="0"/>
          <w:numId w:val="2"/>
        </w:numPr>
      </w:pPr>
      <w:r>
        <w:rPr>
          <w:sz w:val="22"/>
          <w:szCs w:val="22"/>
        </w:rPr>
        <w:t xml:space="preserve">Wrong-paper attribution (14%): The model correctly identifies a concept but cites the wrong paper. Example: attributing BM25 hybrid retrieval to the Fintech RAG paper (2510.25518) rather than the retrieval literature. This suggests the synthesizer conflates papers that discuss similar concepts.</w:t>
      </w:r>
    </w:p>
    <w:p>
      <w:pPr>
        <w:pStyle w:val="ListParagraph"/>
        <w:numPr>
          <w:ilvl w:val="0"/>
          <w:numId w:val="2"/>
        </w:numPr>
      </w:pPr>
      <w:r>
        <w:rPr>
          <w:sz w:val="22"/>
          <w:szCs w:val="22"/>
        </w:rPr>
        <w:t xml:space="preserve">Planner over-decomposition (5 / 30 questions): On narrow factoid questions, the Planner generates sub-questions that are orthogonal to the original, filling the context with off-topic chunks. Q03 ('How does PROV-AGENT track provenance?') was split into 5 sub-questions, four of which retrieved chunks from unrelated papers.</w:t>
      </w:r>
    </w:p>
    <w:p>
      <w:pPr>
        <w:spacing w:after="160" w:before="0"/>
      </w:pPr>
    </w:p>
    <w:p>
      <w:pPr>
        <w:pStyle w:val="Heading1"/>
      </w:pPr>
      <w:r>
        <w:t xml:space="preserve">7. Future Work</w:t>
      </w:r>
    </w:p>
    <w:p>
      <w:r>
        <w:rPr>
          <w:sz w:val="22"/>
          <w:szCs w:val="22"/>
        </w:rPr>
        <w:t xml:space="preserve">The most productive directions for improvement are: (1) Replace the vocabulary-overlap citation verifier with an NLI-based entailment check (DeBERTa-large-mnli), which would catch semantic mismatches the overlap heuristic misses. (2) Implement a question-type classifier to conditionally invoke the Planner only for comparative/survey questions. (3) Expand the corpus to the full 400-700 paper target using the arXiv bulk API, which would make the retrieval problem harder and likely widen the gap between agentic and non-agentic configurations. (4) Use reranking (BGE-Reranker or Cohere Rerank) between retrieval and synthesis to reduce noise in the context window. (5) Evaluate with human judges in addition to LLM-as-judge to characterise judge calibration.</w:t>
      </w:r>
    </w:p>
    <w:p>
      <w:pPr>
        <w:spacing w:after="160" w:before="0"/>
      </w:pPr>
    </w:p>
    <w:p>
      <w:r>
        <w:br w:type="page"/>
      </w:r>
    </w:p>
    <w:p>
      <w:pPr>
        <w:pStyle w:val="Heading1"/>
      </w:pPr>
      <w:r>
        <w:t xml:space="preserve">References</w:t>
      </w:r>
    </w:p>
    <w:p>
      <w:r>
        <w:rPr>
          <w:sz w:val="22"/>
          <w:szCs w:val="22"/>
        </w:rPr>
        <w:t xml:space="preserve">[1] 1807.02648v1 — Kiourt et al. (2017). How game complexity affects synthetic agents. EUMAS.</w:t>
      </w:r>
    </w:p>
    <w:p>
      <w:r>
        <w:rPr>
          <w:sz w:val="22"/>
          <w:szCs w:val="22"/>
        </w:rPr>
        <w:t xml:space="preserve">[2] 2203.08975v2 — Zhu et al. (2022). A Survey of Multi-Agent Deep RL with Communication.</w:t>
      </w:r>
    </w:p>
    <w:p>
      <w:r>
        <w:rPr>
          <w:sz w:val="22"/>
          <w:szCs w:val="22"/>
        </w:rPr>
        <w:t xml:space="preserve">[3] 2401.07324v3 — Shen et al. (2024). Small LLMs Are Weak Tool Learners: A Multi-LLM Agent.</w:t>
      </w:r>
    </w:p>
    <w:p>
      <w:r>
        <w:rPr>
          <w:sz w:val="22"/>
          <w:szCs w:val="22"/>
        </w:rPr>
        <w:t xml:space="preserve">[4] 2401.16216v1 — (2024). A Mechanism for Discovering Semantic Relationships among Agent Protocols.</w:t>
      </w:r>
    </w:p>
    <w:p>
      <w:r>
        <w:rPr>
          <w:sz w:val="22"/>
          <w:szCs w:val="22"/>
        </w:rPr>
        <w:t xml:space="preserve">[5] 2402.11163v1 — Jiang et al. (2024). KG-Agent: Autonomous Agent Framework for KG Reasoning.</w:t>
      </w:r>
    </w:p>
    <w:p>
      <w:r>
        <w:rPr>
          <w:sz w:val="22"/>
          <w:szCs w:val="22"/>
        </w:rPr>
        <w:t xml:space="preserve">[6] 2409.01907v1 — Zhang et al. (2024). Focus Agent: LLM-Powered Virtual Focus Group.</w:t>
      </w:r>
    </w:p>
    <w:p>
      <w:r>
        <w:rPr>
          <w:sz w:val="22"/>
          <w:szCs w:val="22"/>
        </w:rPr>
        <w:t xml:space="preserve">[7] 2502.09809v1 — Chen et al. (2025). AGENTGUARD: Safety Evaluation of Tool Orchestration.</w:t>
      </w:r>
    </w:p>
    <w:p>
      <w:r>
        <w:rPr>
          <w:sz w:val="22"/>
          <w:szCs w:val="22"/>
        </w:rPr>
        <w:t xml:space="preserve">[8] 2508.02866v3 — Souza et al. (2025). PROV-AGENT: Unified Provenance for AI Agent Workflows.</w:t>
      </w:r>
    </w:p>
    <w:p>
      <w:r>
        <w:rPr>
          <w:sz w:val="22"/>
          <w:szCs w:val="22"/>
        </w:rPr>
        <w:t xml:space="preserve">[9] 2510.13343v1 — Takayama &amp; Fujita (2025). AOAD-MAT: Multi-Agent DRL with Action Order Decisions.</w:t>
      </w:r>
    </w:p>
    <w:p>
      <w:r>
        <w:rPr>
          <w:sz w:val="22"/>
          <w:szCs w:val="22"/>
        </w:rPr>
        <w:t xml:space="preserve">[10] 2510.25518v1 — Cook et al. (2025). RAG for Fintech: Agentic Design and Evaluation.</w:t>
      </w:r>
    </w:p>
    <w:p>
      <w:r>
        <w:rPr>
          <w:sz w:val="22"/>
          <w:szCs w:val="22"/>
        </w:rPr>
        <w:t xml:space="preserve">[11] 2512.15790v1 — Sharma &amp; Arafat (2025). Bilevel Optimization for Covert Memory Tampering (XAMT).</w:t>
      </w:r>
    </w:p>
    <w:p>
      <w:r>
        <w:rPr>
          <w:sz w:val="22"/>
          <w:szCs w:val="22"/>
        </w:rPr>
        <w:t xml:space="preserve">[12] 2512.21309v2 — Li et al. (2025). A Plan Reuse Mechanism for LLM-Driven Agents.</w:t>
      </w:r>
    </w:p>
    <w:p>
      <w:r>
        <w:rPr>
          <w:sz w:val="22"/>
          <w:szCs w:val="22"/>
        </w:rPr>
        <w:t xml:space="preserve">[13] 2512.24957v2 — AMAP AI Agent LLM Team (2026). AMAP Agentic Planning Technical Report.</w:t>
      </w:r>
    </w:p>
    <w:p>
      <w:r>
        <w:rPr>
          <w:sz w:val="22"/>
          <w:szCs w:val="22"/>
        </w:rPr>
        <w:t xml:space="preserve">[14] 2601.05960v2 — Gallego (2026). Distilling Feedback into Memory-as-a-Tool. MemAgents@ICLR.</w:t>
      </w:r>
    </w:p>
    <w:p>
      <w:r>
        <w:rPr>
          <w:sz w:val="22"/>
          <w:szCs w:val="22"/>
        </w:rPr>
        <w:t xml:space="preserve">[15] 2602.09084v2 — Ye et al. (2026). Agent Banana: High-Fidelity Image Editing with Agentic Thinking.</w:t>
      </w:r>
    </w:p>
    <w:p>
      <w:r>
        <w:rPr>
          <w:sz w:val="22"/>
          <w:szCs w:val="22"/>
        </w:rPr>
        <w:t xml:space="preserve">[16] 2602.15654v2 — Yang et al. (2026). Zombie Agents: Persistent Control via Self-Reinforcing Injections.</w:t>
      </w:r>
    </w:p>
    <w:p>
      <w:r>
        <w:rPr>
          <w:sz w:val="22"/>
          <w:szCs w:val="22"/>
        </w:rPr>
        <w:t xml:space="preserve">[17] 2603.04428v1 — Shkolnikov (2026). Agent Memory Below the Prompt: Persistent Q4 KV Cache.</w:t>
      </w:r>
    </w:p>
    <w:p>
      <w:r>
        <w:rPr>
          <w:sz w:val="22"/>
          <w:szCs w:val="22"/>
        </w:rPr>
        <w:t xml:space="preserve">[18] 2603.15642v1 — (2026). CRANMEM: Cranial Inspired Gated Memory. ICLR 2026.</w:t>
      </w:r>
    </w:p>
    <w:p>
      <w:r>
        <w:rPr>
          <w:sz w:val="22"/>
          <w:szCs w:val="22"/>
        </w:rPr>
        <w:t xml:space="preserve">[19] 2605.27825v1 — Chen et al. (2026). MRMIA: Membership Inference Attacks on Memory in Chat Agents.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B459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4590"/>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2026-06-03T07:52:01.537Z</dcterms:created>
  <dcterms:modified xsi:type="dcterms:W3CDTF">2026-06-03T07:52:01.556Z</dcterms:modified>
</cp:coreProperties>
</file>

<file path=docProps/custom.xml><?xml version="1.0" encoding="utf-8"?>
<Properties xmlns="http://schemas.openxmlformats.org/officeDocument/2006/custom-properties" xmlns:vt="http://schemas.openxmlformats.org/officeDocument/2006/docPropsVTypes"/>
</file>