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sidRPr="006F121A">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sidRPr="006F121A">
        <w:rPr>
          <w:rFonts w:ascii="Calibri" w:eastAsia="Calibri" w:hAnsi="Calibri" w:cs="Calibri"/>
          <w:color w:val="45577A"/>
          <w:sz w:val="24"/>
          <w:szCs w:val="24"/>
          <w:lang w:val="el-GR"/>
        </w:rPr>
        <w:t>Ανάδειξη ταλέντων και επαγγελματικός προσανατολισμός παιδιού</w:t>
      </w:r>
    </w:p>
    <w:p w14:paraId="61717B3B"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sidRPr="006F121A">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sidRPr="006F121A">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sidRPr="006F121A">
        <w:rPr>
          <w:lang w:val="el-GR"/>
        </w:rPr>
        <w:t>6Α. Συμφωνία και αντίφαση πραγματικών παρατηρήσεων</w:t>
      </w:r>
    </w:p>
    <w:p w14:paraId="49207824" w14:textId="77777777" w:rsidR="00273979" w:rsidRPr="006F121A" w:rsidRDefault="00000000">
      <w:pPr>
        <w:rPr>
          <w:lang w:val="el-GR"/>
        </w:rPr>
      </w:pPr>
      <w:r w:rsidRPr="006F121A">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sidRPr="006F121A">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sidRPr="006F121A">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sidRPr="006F121A">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παρουσιάζεις ως βασικό ή κυρίαρχο ταλέντο χωρίς τουλάχιστον έναν ανεξάρτητο λειτουργικό δείκτη ικανότητας από πλανήτη, θέση πλανήτη ή κατάλληλη πλανητική όψη που υποστηρίζει το ίδιο συγκεκριμένο νόημα. Αν δεν υπάρχει τέτοιος ανεξάρτητος δείκτης, παρουσίασέ το χωριστά ως «κατεύθυνση ανάπτυξης / πεδίο προς διερεύνηση» και όχι ως αποδεδειγμένο ταλέντο — σε ξεχωριστή ενότητα «Συμβολική Κατεύθυνση Εξέλιξης», αμέσως μετά τις κάρτες ταλέντων, πριν τον τρόπο μάθησης, χωρίς να υπολογίζεται στα 5–7 ταλέντα. Μην μετατρέπεις ένα εξελικτικό θέμα σε λειτουργική ικανότητα μόνο αλλάζοντας την ονομασία του σε πιο συγκεκριμένη ή δοκιμάσιμη συμπεριφορά. Η όψη αυτή εξακολουθεί να «χρησιμοποιείται» για τους σκοπούς του ελέγχου κάλυψης των στενότερων όψεων (Κανόνας 4), απλώς σε όποια από τις δύο ενότητες τελικά καταλήγει.</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sidRPr="006F121A">
        <w:rPr>
          <w:lang w:val="el-GR"/>
        </w:rPr>
        <w:t>8Α. Διαχείριση πυκνά διασυνδεδεμένων χαρτών</w:t>
      </w:r>
    </w:p>
    <w:p w14:paraId="1CE9593D" w14:textId="77777777" w:rsidR="00273979" w:rsidRPr="006F121A" w:rsidRDefault="00000000">
      <w:pPr>
        <w:rPr>
          <w:lang w:val="el-GR"/>
        </w:rPr>
      </w:pPr>
      <w:r w:rsidRPr="006F121A">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rsidRPr="006F121A">
        <w:rPr>
          <w:lang w:val="el-GR"/>
        </w:rPr>
        <w:t>Όταν προκύπτουν πέντε ή περισσότερα κυρίαρχα ταλέντα στο ίδιο κείμενο, πρόσθεσε αμέσως πριν από την παρουσίαση των ταλέντων μία σύντομη, οπτικά διακριτή σημείωση που να εξηγεί:</w:t>
      </w:r>
    </w:p>
    <w:p w14:paraId="107CFFCE" w14:textId="77777777" w:rsidR="00273979" w:rsidRPr="006F121A" w:rsidRDefault="00000000">
      <w:pPr>
        <w:pStyle w:val="ListParagraph"/>
        <w:rPr>
          <w:lang w:val="el-GR"/>
        </w:rPr>
      </w:pPr>
      <w:r w:rsidRPr="006F121A">
        <w:rPr>
          <w:lang w:val="el-GR"/>
        </w:rPr>
        <w:t>ότι ο συγκεκριμένος χάρτης έχει ασυνήθιστα πυκνή διασύνδεση, γι' αυτό προκύπτουν περισσότερα κυρίαρχα ταλέντα από το σύνηθες,</w:t>
      </w:r>
    </w:p>
    <w:p w14:paraId="266E3803" w14:textId="77777777" w:rsidR="00273979" w:rsidRPr="006F121A" w:rsidRDefault="00000000">
      <w:pPr>
        <w:pStyle w:val="ListParagraph"/>
        <w:rPr>
          <w:lang w:val="el-GR"/>
        </w:rPr>
      </w:pPr>
      <w:r w:rsidRPr="006F121A">
        <w:rPr>
          <w:lang w:val="el-GR"/>
        </w:rPr>
        <w:t>ότι ο χαρακτηρισμός «κυρίαρχο» εκφράζει τη σχετική ισχύ και σαφήνεια της αστρολογικής τεκμηρίωσης — όχι βεβαιότητα πρόβλεψης, ούτε μεγαλύτερη πιθανότητα το παιδί να διαθέτει πράγματι αυτό το χάρισμα σε σχέση με ένα βασικό ή αναδυόμενο ταλέντο.</w:t>
      </w:r>
    </w:p>
    <w:p w14:paraId="6D678B13" w14:textId="77777777" w:rsidR="00273979" w:rsidRPr="006F121A" w:rsidRDefault="00000000">
      <w:pPr>
        <w:rPr>
          <w:lang w:val="el-GR"/>
        </w:rPr>
      </w:pPr>
      <w:r w:rsidRPr="006F121A">
        <w:rPr>
          <w:lang w:val="el-GR"/>
        </w:rPr>
        <w:t>Ο λόγος αυτού του κανόνα: όταν πολλές κάρτες ταλέντων εμφανίζονται διαδοχικά με την ίδια ετικέτα «κυρίαρχο», ο αναγνώστης —ιδιαίτερα γονέας σε άγχος— τείνει να διαβάσει την επανάληψη ως συσσωρευτική βεβαιότητα («ο χάρτης το λέει ξανά και ξανά, άρα είναι σίγουρο»), ακόμη κι όταν κάθε μεμονωμένη κάρτα, διαβασμένη μόνη της, είναι σωστά διατυπωμένη με επιφύλαξη. Το πρόβλημα δεν βρίσκεται στη γλώσσα κάθε πρότασης, αλλά στη συνολική, οπτική εντύπωση της επανάληψης — και γι' αυτό χρειάζεται ρητή, ξεχωριστή διόρθωση σε επίπεδο δομής, όχι μόνο σε επίπεδο διατύπωσης.</w:t>
      </w:r>
    </w:p>
    <w:p w14:paraId="384F5CC0" w14:textId="77777777" w:rsidR="00273979" w:rsidRPr="006F121A" w:rsidRDefault="00000000">
      <w:pPr>
        <w:rPr>
          <w:lang w:val="el-GR"/>
        </w:rPr>
      </w:pPr>
      <w:r w:rsidRPr="006F121A">
        <w:rPr>
          <w:lang w:val="el-GR"/>
        </w:rPr>
        <w:t>Παράδειγμα αποδεκτής διατύπωσης της σημείωσης:</w:t>
      </w:r>
    </w:p>
    <w:p w14:paraId="57A60D89" w14:textId="77777777" w:rsidR="00273979" w:rsidRPr="006F121A" w:rsidRDefault="00000000">
      <w:pPr>
        <w:rPr>
          <w:lang w:val="el-GR"/>
        </w:rPr>
      </w:pPr>
      <w:r w:rsidRPr="006F121A">
        <w:rPr>
          <w:i/>
          <w:lang w:val="el-GR"/>
        </w:rPr>
        <w:t>«Σημείωση πριν διαβάσεις τις κάρτες: Αυτός ο χάρτης έχει ασυνήθιστα πυκνή διασύνδεση — πολλοί πλανήτες συγκεντρωμένοι στους ίδιους Οίκους, με αρκετές πολύ στενές όψεις. Αυτό κάνει πολλά ξεχωριστά ταλέντα να φτάνουν το κατώφλι τεκμηρίωσης του «κυρίαρχου». Αυτό δεν σημαίνει μεγαλύτερη βεβαιότητα για το καθένα ξεχωριστά — σημαίνει ότι ο χάρτης δίνει πολλά σημεία εκκίνησης προς δοκιμή. Η ετικέτα «κυρίαρχο» εδώ περιγράφει πόσο σαφής είναι η τεκμηρίωση, όχι πόσο σίγουρη είναι η πρόβλεψη.»</w:t>
      </w:r>
    </w:p>
    <w:p w14:paraId="18622E2B" w14:textId="77777777" w:rsidR="00273979" w:rsidRPr="006F121A" w:rsidRDefault="00000000">
      <w:pPr>
        <w:rPr>
          <w:lang w:val="el-GR"/>
        </w:rPr>
      </w:pPr>
      <w:r w:rsidRPr="006F121A">
        <w:rPr>
          <w:lang w:val="el-GR"/>
        </w:rPr>
        <w:t>Αν προκύπτουν τρία ή λιγότερα κυρίαρχα ταλέντα, η σημείωση δεν είναι απαραίτητη — ο κανόνας ενεργοποιείται μόνο όταν η επανάληψη της ετικέτας γίνεται αρκετά συχνή ώστε να κινδυνεύει να διαβαστεί ως μοτίβο βεβαιότητας.</w:t>
      </w:r>
    </w:p>
    <w:p w14:paraId="0991E29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sidRPr="006F121A">
        <w:rPr>
          <w:lang w:val="el-GR"/>
        </w:rPr>
        <w:t>10Α. Πλαίσιο εκπαιδευτικού συστήματος</w:t>
      </w:r>
    </w:p>
    <w:p w14:paraId="4DBD6AE1" w14:textId="77777777" w:rsidR="00273979" w:rsidRPr="006F121A" w:rsidRDefault="00000000">
      <w:pPr>
        <w:rPr>
          <w:lang w:val="el-GR"/>
        </w:rPr>
      </w:pPr>
      <w:r w:rsidRPr="006F121A">
        <w:rPr>
          <w:lang w:val="el-GR"/>
        </w:rPr>
        <w:t>Ενεργοποίησε αυτόν τον κανόνα μόνο όταν έχουν δοθεί ρητά η χώρα ή το εκπαιδευτικό σύστημα του παιδιού ΚΑΙ η ηλικία είναι τουλάχιστον 14 ετών. Σε μικρότερες ηλικίες, ή όταν δεν έχει δοθεί το σύστημα, παρέλειψε εντελώς αυτή την ενότητα — μην υποθέτεις σύστημα από τη χώρα γέννησης ή άλλα έμμεσα στοιχεία.</w:t>
      </w:r>
    </w:p>
    <w:p w14:paraId="76BA142C" w14:textId="77777777" w:rsidR="00273979" w:rsidRPr="006F121A" w:rsidRDefault="00000000">
      <w:pPr>
        <w:rPr>
          <w:lang w:val="el-GR"/>
        </w:rPr>
      </w:pPr>
      <w:r w:rsidRPr="006F121A">
        <w:rPr>
          <w:lang w:val="el-GR"/>
        </w:rPr>
        <w:t>Αν το σύστημα είναι το κυπριακό Λύκειο, χρησιμοποίησε αποκλειστικά επαληθευμένα, τρέχοντα στοιχεία του Υπουργείου Παιδείας, Αθλητισμού και Νεολαίας (Ομάδες Μαθημάτων Προσανατολισμού, Κατευθύνσεις, Πλαίσια Πρόσβασης) — ποτέ απομνημονευμένα, υποθετικά ή μη επαληθευμένα στοιχεία. Αν δεν είσαι βέβαιος/η για την ισχύ ή την επικαιρότητα μιας πληροφορίας, δήλωσέ το ρητά αντί να την παρουσιάσεις ως δεδομένη.</w:t>
      </w:r>
    </w:p>
    <w:p w14:paraId="5BA4E567" w14:textId="77777777" w:rsidR="00273979" w:rsidRPr="006F121A" w:rsidRDefault="00000000">
      <w:pPr>
        <w:rPr>
          <w:lang w:val="el-GR"/>
        </w:rPr>
      </w:pPr>
      <w:r w:rsidRPr="006F121A">
        <w:rPr>
          <w:lang w:val="el-GR"/>
        </w:rPr>
        <w:t xml:space="preserve">Για κάθε άλλο εκπαιδευτικό σύστημα (Ελλάδα, </w:t>
      </w:r>
      <w:r>
        <w:t>IB</w:t>
      </w:r>
      <w:r w:rsidRPr="006F121A">
        <w:rPr>
          <w:lang w:val="el-GR"/>
        </w:rPr>
        <w:t xml:space="preserve">, </w:t>
      </w:r>
      <w:r>
        <w:t>A</w:t>
      </w:r>
      <w:r w:rsidRPr="006F121A">
        <w:rPr>
          <w:lang w:val="el-GR"/>
        </w:rPr>
        <w:t>-</w:t>
      </w:r>
      <w:r>
        <w:t>levels</w:t>
      </w:r>
      <w:r w:rsidRPr="006F121A">
        <w:rPr>
          <w:lang w:val="el-GR"/>
        </w:rPr>
        <w:t>, ή άλλο), μην αυτοσχεδιάσεις αντιστοιχίσεις μαθημάτων ή κατευθύνσεων. Είτε ζήτησε επαλήθευση από πρόσφατη, επίσημη πηγή πριν συμπεριλάβεις συγκεκριμένα στοιχεία, είτε δήλωσε ρητά στο κείμενο ότι αυτή η ενότητα δεν μπορεί να συμπληρωθεί με ασφάλεια χωρίς περαιτέρω έρευνα.</w:t>
      </w:r>
    </w:p>
    <w:p>
      <w:pPr/>
      <w:r>
        <w:t>Ειδικός κανόνας για επιλογή ΟΜΠ / εκπαιδευτικής κατεύθυνσης: μην αντιστοιχίζεις αυτόματα ένα γενικό ταλέντο ή γενική γνωστική ικανότητα (π.χ. αναλυτική σκέψη, επικοινωνία, οργάνωση, δημιουργικότητα, μετάδοση γνώσης) με συγκεκριμένο σχολικό μάθημα ή κατεύθυνση — τέτοιες ικανότητες μπορούν να εκφραστούν σε περισσότερα από ένα γνωστικά και επαγγελματικά πεδία και δεν αποτελούν από μόνες τους επαρκή βάση για κατάταξη ΟΜΠ.</w:t>
      </w:r>
    </w:p>
    <w:p>
      <w:pPr/>
      <w:r>
        <w:t>Μια συγκεκριμένη ΟΜΠ μπορεί να παρουσιαστεί ως ισχυρότερη επιλογή μόνο όταν υποστηρίζεται από συνδυασμό: (α) ήδη τεκμηριωμένων ταλέντων με σαφή, ειδική συνάφεια προς τα βασικά μαθήματα της συγκεκριμένης ΟΜΠ, και (β) πραγματικών δεδομένων του παιδιού (ενδιαφέρον, σχολική επίδοση, προτίμηση μαθημάτων, αυθόρμητη ενασχόληση). Αν λείπει έστω ένα από τα δύο, μην κατατάσσεις ΟΜΠ ως «ισχυρότερη» — παρουσίασε τις ΟΜΠ που αξίζει να διερευνηθούν και εξήγησε ρητά ποια πραγματικά στοιχεία θα χρειάζονταν για να γίνει διάκριση μεταξύ τους.</w:t>
      </w:r>
    </w:p>
    <w:p>
      <w:pPr/>
      <w:r>
        <w:t>Αν πραγματικές παρατηρήσεις αντιφάσκουν με την αρχική συμβολική συνάφεια, οι πραγματικές παρατηρήσεις υπερισχύουν και η κατάταξη πρέπει να αναθεωρείται (ίδια λογική με τον Κανόνα 6Α). Μην χρησιμοποιείς ποτέ την αστρολογική ανάλυση για να αποκλείσεις ΟΜΠ ή εκπαιδευτική κατεύθυνση (Κανόνας 17Α).</w:t>
      </w:r>
    </w:p>
    <w:p w14:paraId="60017F5A" w14:textId="77777777" w:rsidR="00273979" w:rsidRPr="006F121A" w:rsidRDefault="00000000">
      <w:pPr>
        <w:rPr>
          <w:lang w:val="el-GR"/>
        </w:rPr>
      </w:pPr>
      <w:r w:rsidRPr="006F121A">
        <w:rPr>
          <w:lang w:val="el-GR"/>
        </w:rPr>
        <w:t>Η σύσταση κλάδου ή ΟΜΠ διατυπώνεται πάντα ως εξαρτημένη πρόταση, ποτέ ως απόφαση: «με βάση τα ήδη αναδειγμένα ταλέντα [Χ] και [Υ], η [Ζ] ΟΜΠ έχει σήμερα τη μεγαλύτερη συμβολική συνάφεια» — ποτέ «πρέπει να επιλέξει [Ζ]» ή «είναι η σωστή επιλογή». Η πρόταση πρέπει ρητά να συνδέεται με συγκεκριμένα ταλέντα της ενότητας 2 — να μην παρουσιάζεται ως ανεξάρτητο συμπέρασμα που εμφανίζεται από το πουθενά. Αν τα αναδειγμένα ταλέντα δεν δείχνουν καθαρά προς μία ΟΜΠ, δήλωσέ το ρητά αντί να επιλέξεις αυθαίρετα μία.</w:t>
      </w:r>
    </w:p>
    <w:p w14:paraId="1A326543" w14:textId="77777777" w:rsidR="00273979" w:rsidRPr="006F121A" w:rsidRDefault="00000000">
      <w:pPr>
        <w:rPr>
          <w:lang w:val="el-GR"/>
        </w:rPr>
      </w:pPr>
      <w:r w:rsidRPr="006F121A">
        <w:rPr>
          <w:lang w:val="el-GR"/>
        </w:rPr>
        <w:t>Μην αναμειγνύεις οπτικά ή γλωσσικά τα επαληθευμένα στοιχεία του εκπαιδευτικού συστήματος με τις συμβολικές αστρολογικές υποθέσεις. Χρησιμοποίησε ξεχωριστή ενότητα ή οπτικά διακριτό πλαίσιο για το «τι ισχύει σήμερα στο σύστημα» έναντι του «τι δείχνουν συμβολικά τα ταλέντα», ώστε ο αναγνώστης να μην αποδίδει το ίδιο επίπεδο βεβαιότητας και στα δύο.</w:t>
      </w:r>
    </w:p>
    <w:p w14:paraId="1A637CAE"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11. Δημιούργησε επαγγελματικές οικογένειες</w:t>
      </w:r>
    </w:p>
    <w:p w14:paraId="75B2E1A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προτείνεις από την αρχή ένα μοναδικό επάγγελμα. Δημιούργησε τέσσερις έως έξι ευρείες επαγγελματικές οικογένειες, επιλέγοντας μόνο όσες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Για κάθε οικογένεια εξήγησε γιατί μπορεί να ταιριάζει, ποια ταλέντα αξιοποιεί, ποια χαρακτηριστικά χρειάζονται πραγματική επιβεβαίωση και με ποιες δραστηριότητες μπορεί να τη δοκιμάσει το παιδί.</w:t>
      </w:r>
    </w:p>
    <w:p w14:paraId="1A52F9B9"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12. Πρότεινε συγκεκριμένα επαγγέλματα</w:t>
      </w:r>
    </w:p>
    <w:p w14:paraId="7C42E11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Δώσε ηλικιακά κατάλληλα παραδείγματα επαγγελμάτων στις ακόλουθες κατηγορίες:</w:t>
      </w:r>
    </w:p>
    <w:p w14:paraId="2CC1C94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Κατευθύνσεις με ισχυρότερη συμβολική υποστήριξη,</w:t>
      </w:r>
    </w:p>
    <w:p w14:paraId="2153A34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Κατευθύνσεις που αξίζει επίσης να διερευνηθούν,</w:t>
      </w:r>
    </w:p>
    <w:p w14:paraId="20AC9A24" w14:textId="77777777" w:rsidR="00FF6110" w:rsidRDefault="00000000">
      <w:pPr>
        <w:pStyle w:val="ListParagraph"/>
        <w:numPr>
          <w:ilvl w:val="0"/>
          <w:numId w:val="1"/>
        </w:numPr>
        <w:spacing w:after="130"/>
      </w:pPr>
      <w:r>
        <w:rPr>
          <w:rFonts w:ascii="Calibri" w:eastAsia="Calibri" w:hAnsi="Calibri" w:cs="Calibri"/>
          <w:sz w:val="22"/>
          <w:szCs w:val="22"/>
        </w:rPr>
        <w:t>Αναδυόμενες ή υβριδικές δυνατότητες.</w:t>
      </w:r>
    </w:p>
    <w:p w14:paraId="18A2106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Η κατάταξη εκφράζει μόνο τη σχετική ισχύ των διαθέσιμων ενδείξεων και όχι πιθανότητα επαγγελματικής επιτυχίας. Μην κατατάσσεις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w:t>
      </w:r>
    </w:p>
    <w:p w14:paraId="0E3FEFD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μπορεί στο μέλλον να αποδίδει καλύτερα σε περιβάλλον:</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γράψεις ότι κάποιο περιβάλλον «απαγορεύεται».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διαφορετικές μικρές δραστηριότητες, ανάλογες με την ηλικία, όπως:</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Μετά από κάθε δραστηριότητα, μιλήστε μαζί με το παιδί για το πώς το βίωσε — π.χ. αν του άρεσε πραγματικά, αν ήθελε να συνεχίσει χωρίς να το πιέζουν, αν ένιωσε περιέργεια να μάθει περισσότερα, ποιο μέρος του φάνηκε εύκολο ή το κούρασε, αν προτίμησε να δουλέψει μόνο/η ή με άλλους, και αν θα το ξαναδοκίμαζε.</w:t>
      </w:r>
    </w:p>
    <w:p w14:paraId="21455C1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Σύντομο και ενθαρρυντικό προφίλ του παιδιού</w:t>
      </w:r>
    </w:p>
    <w:p w14:paraId="037CB86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Τα 5--7 ισχυρότερα ταλέντα --- ή λιγότερα, αν δεν τεκμηριώνονται επαρκώς (χωρίς εμφανή ετικέτα «κυρίαρχο»/«αναδυόμενο» στο ίδιο το κείμενο -- βλ. Κανόνα 8)</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rPr>
          <w:rFonts w:ascii="Calibri" w:eastAsia="Calibri" w:hAnsi="Calibri" w:cs="Calibri"/>
          <w:sz w:val="22"/>
          <w:szCs w:val="22"/>
        </w:rPr>
        <w:t>Επαγγελματικές οικογένειες με αιτιολόγηση</w:t>
      </w:r>
    </w:p>
    <w:p w14:paraId="7E8DD81E"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Συγκεκριμένα ενδεικτικά επαγγέλματα, προσαρμοσμένα στην ηλικία</w:t>
      </w:r>
    </w:p>
    <w:p w14:paraId="22A8F1DC" w14:textId="77777777" w:rsidR="00273979" w:rsidRPr="006F121A" w:rsidRDefault="00000000">
      <w:pPr>
        <w:pStyle w:val="ListParagraph"/>
        <w:numPr>
          <w:ilvl w:val="0"/>
          <w:numId w:val="4"/>
        </w:numPr>
        <w:rPr>
          <w:lang w:val="el-GR"/>
        </w:rPr>
      </w:pPr>
      <w:r w:rsidRPr="006F121A">
        <w:rPr>
          <w:lang w:val="el-GR"/>
        </w:rPr>
        <w:t>Πλαίσιο εκπαιδευτικού συστήματος (Κανόνας 10Α), όταν ενεργοποιείται από δηλωμένη χώρα/σύστημα και ηλικία 14 ετών και άνω</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w:t>
      </w:r>
    </w:p>
    <w:p w14:paraId="7B42ED4C"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lastRenderedPageBreak/>
        <w:t>Ερωτήσεις για συζήτηση με το παιδί</w:t>
      </w:r>
    </w:p>
    <w:p w14:paraId="51967312" w14:textId="77777777" w:rsidR="00FF6110" w:rsidRDefault="00000000">
      <w:pPr>
        <w:pStyle w:val="ListParagraph"/>
        <w:numPr>
          <w:ilvl w:val="0"/>
          <w:numId w:val="4"/>
        </w:numPr>
        <w:spacing w:after="130"/>
      </w:pPr>
      <w:r>
        <w:rPr>
          <w:rFonts w:ascii="Calibri" w:eastAsia="Calibri" w:hAnsi="Calibri" w:cs="Calibri"/>
          <w:sz w:val="22"/>
          <w:szCs w:val="22"/>
        </w:rPr>
        <w:t>Οδηγίες προς γονείς και εκπαιδευτικούς</w:t>
      </w:r>
    </w:p>
    <w:p w14:paraId="13C95A20"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Τελική σύνθεση με έως τρεις ισχυρότερες κατευθύνσεις και σαφή βαθμό επιφύλαξης. Ο βαθμός επιφύλαξης πρέπει να επανεκτιμάται αφού ληφθούν υπόψη όλες οι διαθέσιμες πραγματικές παρατηρήσεις. Μην χρησιμοποιείς τυποποιημένη διατύπωση ότι «δεν υπάρχουν πραγματικές παρατηρήσεις» όταν έχουν δοθεί απαντήσεις γονέα, παιδιού ή εκπαιδευτικού.</w:t>
      </w:r>
    </w:p>
    <w:p w14:paraId="2E933646"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Παράρτημα ελέγχου τεκμηρίωσης: δήλωσε ρητά ότι κάθε βασικό ταλέντο στηρίχθηκε σε τουλάχιστον δύο διακριτούς δείκτες, ότι τηρήθηκε η ιεράρχηση βαρύτητας όψεων, και --- ρητά --- πώς αντιμετωπίστηκε η καθεμία από τις 3 έως 5 στενότερες όψεις του χάρτη (χρησιμοποιήθηκε σε ποιο ταλέντο, ή γιατί αποκλείστηκε). Αυτό το βήμα είναι που αποκαλύπτει αν παραλείφθηκε η στενότερη όψη του χάρτη.</w:t>
      </w:r>
    </w:p>
    <w:p w14:paraId="6095DB31"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Κλείσε με σαφή υπενθύμιση ότι η τελική επιλογή πρέπει να βασίζεται στον συνδυασμό ενδιαφερόντων, πραγματικών δεξιοτήτων, σχολικής εμπειρίας, αξιών, προσωπικότητας και διαθέσιμων ευκαιριών --- όχι αποκλειστικά στην αστρολογική ανάλυση.</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rPr>
          <w:rFonts w:ascii="Calibri" w:hAnsi="Calibri"/>
        </w:rPr>
        <w:t>(β) Μία τελευταία παράγραφο, γραμμένη εξ ολοκλήρου σε πρακτική γλώσσα προς γονείς/εκπαιδευτικούς, χωρίς καμία τεχνική ορολογία (όχι «Βόρειος/Νότιος Δεσμός», όχι ονόματα πλανητών ή Οίκων) — που να μεταφράζει το ήδη τεκμηριωμένο νόημα της ενότητας σε κάτι άμεσα χρήσιμο για μια πραγματική συζήτηση με το παιδί (π.χ. τι να προσέξουν, τι ερώτηση να κάνουν).</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cp:coreProperties>
</file>