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0"/>
        </w:rPr>
        <w:t>ΠΡΟΤΥΠΟ ΣΥΝΤΟΜΗΣ ΕΚΔΟΣΗΣ ΠΑΙΔΙΟΥ/ΕΦΗΒΟΥ</w:t>
      </w:r>
    </w:p>
    <w:p>
      <w:pPr>
        <w:jc w:val="left"/>
      </w:pPr>
      <w:r>
        <w:rPr>
          <w:i/>
        </w:rPr>
        <w:t>Ανώνυμο πρότυπο δομής και ύφους — όχι πηγή δεδομένων</w:t>
      </w:r>
    </w:p>
    <w:p>
      <w:pPr>
        <w:pStyle w:val="Heading1"/>
      </w:pPr>
      <w:r>
        <w:t>Σύντομο Προφίλ</w:t>
      </w:r>
    </w:p>
    <w:p>
      <w:r>
        <w:t>Μία μικρή παράγραφος ή έως τρεις απλές κουκκίδες με βασικές δυνατότητες προς διερεύνηση. Δεν παρουσιάζονται ως βεβαιωμένα χαρακτηριστικά του παιδιού.</w:t>
      </w:r>
    </w:p>
    <w:p>
      <w:pPr>
        <w:pStyle w:val="Heading1"/>
      </w:pPr>
      <w:r>
        <w:t>Ταλέντα προς διερεύνηση</w:t>
      </w:r>
    </w:p>
    <w:p>
      <w:pPr>
        <w:pStyle w:val="ListBullet"/>
      </w:pPr>
      <w:r>
        <w:rPr>
          <w:b/>
        </w:rPr>
        <w:t xml:space="preserve">[Απλός τίτλος ταλέντου]: </w:t>
      </w:r>
      <w:r>
        <w:t>Μία ή δύο προτάσεις που εξηγούν μόνο πώς μπορεί να φαίνεται στην πράξη. Εδώ δεν αναφέρονται επαγγέλματα.</w:t>
      </w:r>
    </w:p>
    <w:p>
      <w:pPr>
        <w:pStyle w:val="ListBullet"/>
      </w:pPr>
      <w:r>
        <w:rPr>
          <w:b/>
        </w:rPr>
        <w:t xml:space="preserve">[Δεύτερο ταλέντο]: </w:t>
      </w:r>
      <w:r>
        <w:t>Φιλική, καθημερινή γλώσσα χωρίς τεχνικούς όρους.</w:t>
      </w:r>
    </w:p>
    <w:p>
      <w:pPr>
        <w:pStyle w:val="ListBullet"/>
      </w:pPr>
      <w:r>
        <w:rPr>
          <w:b/>
        </w:rPr>
        <w:t xml:space="preserve">[Συνέχισε μέχρι 4–6 ταλέντα]: </w:t>
      </w:r>
      <w:r>
        <w:t>Κάθε δυνατότητα χρειάζεται επιβεβαίωση μέσα από πραγματικές εμπειρίες.</w:t>
      </w:r>
    </w:p>
    <w:p>
      <w:pPr>
        <w:pStyle w:val="Heading1"/>
      </w:pPr>
      <w:r>
        <w:t>Επαγγελματικοί Τομείς προς Διερεύνηση</w:t>
      </w:r>
    </w:p>
    <w:p>
      <w:pPr>
        <w:pStyle w:val="Heading2"/>
      </w:pPr>
      <w:r>
        <w:t>1. [Όνομα επαγγελματικού τομέα]</w:t>
      </w:r>
    </w:p>
    <w:p>
      <w:pPr>
        <w:pStyle w:val="ListBullet"/>
      </w:pPr>
      <w:r>
        <w:rPr>
          <w:b/>
        </w:rPr>
        <w:t xml:space="preserve">Γιατί μπορεί να ταιριάζει: </w:t>
      </w:r>
      <w:r>
        <w:t>Απλή σύνδεση του τομέα με τα ταλέντα που προηγήθηκαν.</w:t>
      </w:r>
    </w:p>
    <w:p>
      <w:pPr>
        <w:pStyle w:val="ListBullet"/>
      </w:pPr>
      <w:r>
        <w:rPr>
          <w:b/>
        </w:rPr>
        <w:t xml:space="preserve">Ενδεικτικά επαγγέλματα: </w:t>
      </w:r>
      <w:r>
        <w:t>Τέσσερα έως έξι παραδείγματα. Κάθε άγνωστο ή εξειδικευμένο επάγγελμα εξηγείται με μία πολύ σύντομη πρόταση.</w:t>
      </w:r>
    </w:p>
    <w:p>
      <w:pPr>
        <w:pStyle w:val="Heading2"/>
      </w:pPr>
      <w:r>
        <w:t>2. [Όνομα επαγγελματικού τομέα]</w:t>
      </w:r>
    </w:p>
    <w:p>
      <w:pPr>
        <w:pStyle w:val="ListBullet"/>
      </w:pPr>
      <w:r>
        <w:rPr>
          <w:b/>
        </w:rPr>
        <w:t xml:space="preserve">Γιατί μπορεί να ταιριάζει: </w:t>
      </w:r>
      <w:r>
        <w:t>Απλή σύνδεση του τομέα με τα ταλέντα που προηγήθηκαν.</w:t>
      </w:r>
    </w:p>
    <w:p>
      <w:pPr>
        <w:pStyle w:val="ListBullet"/>
      </w:pPr>
      <w:r>
        <w:rPr>
          <w:b/>
        </w:rPr>
        <w:t xml:space="preserve">Ενδεικτικά επαγγέλματα: </w:t>
      </w:r>
      <w:r>
        <w:t>Τέσσερα έως έξι παραδείγματα. Κάθε άγνωστο ή εξειδικευμένο επάγγελμα εξηγείται με μία πολύ σύντομη πρόταση.</w:t>
      </w:r>
    </w:p>
    <w:p>
      <w:r>
        <w:t>[Συνέχισε με την ίδια μορφή μέχρι 4–5 επαγγελματικούς τομείς.]</w:t>
      </w:r>
    </w:p>
    <w:p>
      <w:pPr>
        <w:pStyle w:val="Heading1"/>
      </w:pPr>
      <w:r>
        <w:t>Τελική Σύνθεση</w:t>
      </w:r>
    </w:p>
    <w:p>
      <w:r>
        <w:t>Έως τρεις βασικές κατευθύνσεις και οι σημαντικότεροι συνδυασμοί τους. Διευκρίνισε ότι είναι επιλογές προς διερεύνηση και όχι οριστική απόφαση.</w:t>
      </w:r>
    </w:p>
    <w:p>
      <w:r>
        <w:br w:type="page"/>
      </w:r>
    </w:p>
    <w:p>
      <w:pPr>
        <w:pStyle w:val="Heading1"/>
      </w:pPr>
      <w:r>
        <w:t>Πλαίσιο Εκπαιδευτικού Συστήματος (Κύπρος)</w:t>
      </w:r>
    </w:p>
    <w:p>
      <w:r>
        <w:t>[Πρόσθεσε αυτή την ενότητα μόνο όταν έχει δηλωθεί ότι το παιδί/ο έφηβος φοιτά στο κυπριακό εκπαιδευτικό σύστημα.]</w:t>
      </w:r>
    </w:p>
    <w:p>
      <w:pPr>
        <w:pStyle w:val="Heading2"/>
      </w:pPr>
      <w:r>
        <w:t>Οι τέσσερις επιλογές στην Α΄ Λυκείου</w:t>
      </w:r>
    </w:p>
    <w:p>
      <w:r>
        <w:t>Κάθε ΟΜΠ παρουσιάζεται σε μία απλή γραμμή, με βάση τις ισχύουσες επίσημες πληροφορίες.</w:t>
      </w:r>
    </w:p>
    <w:p>
      <w:pPr>
        <w:pStyle w:val="Heading2"/>
      </w:pPr>
      <w:r>
        <w:t>Ποιες επιλογές αξίζει να εξετάσεις</w:t>
      </w:r>
    </w:p>
    <w:p>
      <w:r>
        <w:t>Σύνδεσε προσεκτικά τις σχετικές ΟΜΠ με τα ήδη παρουσιασμένα ταλέντα, χωρίς κατάταξη, αποκλεισμό επιλογών ή υπόθεση ενδιαφερόντων και σχολικής επίδοσης.</w:t>
      </w:r>
    </w:p>
    <w:p>
      <w:pPr>
        <w:pStyle w:val="Heading2"/>
      </w:pPr>
      <w:r>
        <w:t>Τι χρειάζεται να θυμάσαι</w:t>
      </w:r>
    </w:p>
    <w:p>
      <w:r>
        <w:t>Η τελική επιλογή χρειάζεται να λάβει υπόψη τα μαθήματα που αρέσουν στον μαθητή, την επίδοσή του και τα επαγγέλματα που θέλει να γνωρίσει καλύτερα. Στη σύντομη έκδοση δεν αναλύονται Παγκύπριες Εξετάσεις, Επιστημονικά Πεδία ή Πλαίσια Πρόσβασης.</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