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Δεσμευτική Εντολή Επαγγελματικού Προσανατολισμού</w:t>
      </w:r>
    </w:p>
    <w:p>
      <w:pPr>
        <w:spacing w:after="120" w:line="288"/>
      </w:pPr>
      <w:r>
        <w:rPr>
          <w:b/>
          <w:bCs/>
        </w:rPr>
        <w:t xml:space="preserve">Ανάδειξη ταλέντων και διερεύνηση επαγγελματικών επιλογών — Έκδοση v12, μόνο «Απλή και πρακτική»</w:t>
      </w:r>
    </w:p>
    <w:p>
      <w:pPr>
        <w:pStyle w:val="Heading1"/>
        <w:keepNext/>
      </w:pPr>
      <w:r>
        <w:t xml:space="preserve">Κανόνας 1. Πεδίο εφαρμογής, παραδοτέα και σειρά εργασίας</w:t>
      </w:r>
    </w:p>
    <w:p>
      <w:pPr>
        <w:spacing w:after="120" w:line="288"/>
      </w:pPr>
      <w:r>
        <w:t xml:space="preserve">Η παρούσα εντολή ισχύει αποκλειστικά για την παρουσίαση «Απλή και πρακτική» και για κάθε πελάτη, ανεξάρτητα από την ηλικία του (παιδί, έφηβος ή ενήλικας). Δεν υπάρχει άλλη λειτουργία ή άλλη έκδοση παραδοτέου.</w:t>
      </w:r>
    </w:p>
    <w:p>
      <w:pPr>
        <w:spacing w:after="120" w:line="288"/>
      </w:pPr>
      <w:r>
        <w:t xml:space="preserve">Παράδωσε δύο χωριστά, ολοκληρωμένα αρχεία Word:</w:t>
      </w:r>
    </w:p>
    <w:p>
      <w:pPr>
        <w:pStyle w:val="ListParagraph"/>
        <w:numPr>
          <w:ilvl w:val="0"/>
          <w:numId w:val="2"/>
        </w:numPr>
        <w:spacing w:after="70" w:line="288"/>
      </w:pPr>
      <w:r>
        <w:rPr>
          <w:b/>
          <w:bCs/>
        </w:rPr>
        <w:t xml:space="preserve">Το καθαρό παραδοτέο του πελάτη,</w:t>
      </w:r>
      <w:r>
        <w:t xml:space="preserve"> σύμφωνα με τον Κανόνα 3. Δεν περιέχει πλανήτες, ζώδια, Οίκους, όψεις, orb, κατηγορίες βαρύτητας ή οποιαδήποτε τεχνική τεκμηρίωση.</w:t>
      </w:r>
    </w:p>
    <w:p>
      <w:pPr>
        <w:pStyle w:val="ListParagraph"/>
        <w:numPr>
          <w:ilvl w:val="0"/>
          <w:numId w:val="2"/>
        </w:numPr>
        <w:spacing w:after="70" w:line="288"/>
      </w:pPr>
      <w:r>
        <w:rPr>
          <w:b/>
          <w:bCs/>
        </w:rPr>
        <w:t xml:space="preserve">Το εσωτερικό τεχνικό δελτίο ελέγχου,</w:t>
      </w:r>
      <w:r>
        <w:t xml:space="preserve"> σύμφωνα με τον Κανόνα 16. Δεν παραδίδεται στον πελάτη.</w:t>
      </w:r>
    </w:p>
    <w:p>
      <w:pPr>
        <w:spacing w:after="120" w:line="288"/>
      </w:pPr>
      <w:r>
        <w:rPr>
          <w:b/>
          <w:bCs/>
        </w:rPr>
        <w:t xml:space="preserve">Σειρά εργασίας:</w:t>
      </w:r>
      <w:r>
        <w:t xml:space="preserve"> πρώτα ολοκληρώνεται η ανάλυση στο τεχνικό δελτίο με αυτή τη σειρά: ταλέντα, έπειτα επαγγελματικοί τομείς, έπειτα επαγγέλματα. Μόνο μετά γράφεται το καθαρό παραδοτέο. Το καθαρό παραδοτέο επιτρέπεται μόνο να απλοποιεί όσα έχουν ήδη εγκριθεί στο δελτίο· απαγορεύεται να προσθέσει νέο ταλέντο, τομέα ή επάγγελμα κατά τη συγγραφή του.</w:t>
      </w:r>
    </w:p>
    <w:p>
      <w:pPr>
        <w:spacing w:after="120" w:line="288"/>
      </w:pPr>
      <w:r>
        <w:rPr>
          <w:b/>
          <w:bCs/>
        </w:rPr>
        <w:t xml:space="preserve">Προτεραιότητα:</w:t>
      </w:r>
      <w:r>
        <w:t xml:space="preserve"> σε κάθε σύγκρουση, για τη δομή, την έκταση και τη μορφή του καθαρού παραδοτέου υπερισχύει ο Κανόνας 3· για τη δομή του τεχνικού δελτίου υπερισχύει ο Κανόνας 16.</w:t>
      </w:r>
    </w:p>
    <w:p>
      <w:pPr>
        <w:pStyle w:val="Heading1"/>
        <w:keepNext/>
      </w:pPr>
      <w:r>
        <w:t xml:space="preserve">Κανόνας 2. Αποκλειστική πηγή δεδομένων</w:t>
      </w:r>
    </w:p>
    <w:p>
      <w:pPr>
        <w:spacing w:after="120" w:line="288"/>
      </w:pPr>
      <w:r>
        <w:t xml:space="preserve">Χρησιμοποίησε αποκλειστικά την ήδη ελεγμένη τεχνική ανάλυση του χάρτη που περιλαμβάνεται στο έγγραφο. Μην ζητήσεις και μην επινοήσεις ηλικία, χώρα, εκπαιδευτικό σύστημα, σχολικούς βαθμούς, ενδιαφέροντα, παρατηρήσεις γονέα ή εκπαιδευτικού, μαθησιακά στοιχεία, επάγγελμα, σπουδές, οικογενειακές πληροφορίες ή ψυχολογικά χαρακτηριστικά.</w:t>
      </w:r>
    </w:p>
    <w:p>
      <w:pPr>
        <w:spacing w:after="120" w:line="288"/>
      </w:pPr>
      <w:r>
        <w:t xml:space="preserve">Παρουσίασε μόνο συμβολικές πιθανότητες προς διερεύνηση, χωρίς αξιολόγηση, διάγνωση ή απόφαση για το άτομο.</w:t>
      </w:r>
    </w:p>
    <w:p>
      <w:pPr>
        <w:spacing w:after="120" w:line="288"/>
      </w:pPr>
      <w:r>
        <w:t xml:space="preserve">Μην τροποποιείς ποτέ θέσεις, Οίκους, orb ή κατηγορίες βαρύτητας. Μεταφέρονται αυτούσια, όπως δίνονται στην ελεγμένη ανάλυση.</w:t>
      </w:r>
    </w:p>
    <w:p>
      <w:pPr>
        <w:pStyle w:val="Heading1"/>
        <w:keepNext/>
      </w:pPr>
      <w:r>
        <w:t xml:space="preserve">Κανόνας 3. Δομή, έκταση και μορφή του καθαρού παραδοτέου</w:t>
      </w:r>
    </w:p>
    <w:p>
      <w:pPr>
        <w:spacing w:after="120" w:line="288"/>
      </w:pPr>
      <w:r>
        <w:rPr>
          <w:b/>
          <w:bCs/>
        </w:rPr>
        <w:t xml:space="preserve">Τίτλος εγγράφου:</w:t>
      </w:r>
      <w:r>
        <w:t xml:space="preserve"> «Ανάδειξη Ταλέντων και Διερεύνηση Επαγγελματικών Επιλογών», σε κανονική μορφή πεζών/κεφαλαίων, όχι ολόκληρος σε κεφαλαία. Κάτω από τον τίτλο γράφεται το όνομα του πελάτη ακριβώς όπως δόθηκε, χωρίς μεταγραφή, μετάφραση ή διόρθωση.</w:t>
      </w:r>
    </w:p>
    <w:p>
      <w:pPr>
        <w:spacing w:after="120" w:line="288"/>
      </w:pPr>
      <w:r>
        <w:rPr>
          <w:b/>
          <w:bCs/>
        </w:rPr>
        <w:t xml:space="preserve">Έκταση:</w:t>
      </w:r>
      <w:r>
        <w:t xml:space="preserve"> η συνολική έκταση προσαρμόζεται στον αριθμό των τεκμηριωμένων ταλέντων και επαγγελματικών τομέων. Δεν υπάρχει σταθερό όριο λέξεων ή σελίδων, και δεν παραλείπεται τεκμηριωμένο ταλέντο μόνο για λόγους συντομίας. Η συντομία επιτυγχάνεται με περιορισμό κάθε ταλέντου σε μία παράγραφο και με σύντομη παρουσίαση κάθε τομέα.</w:t>
      </w:r>
    </w:p>
    <w:p>
      <w:pPr>
        <w:spacing w:after="120" w:line="288"/>
      </w:pPr>
      <w:r>
        <w:rPr>
          <w:b/>
          <w:bCs/>
        </w:rPr>
        <w:t xml:space="preserve">Γλώσσα:</w:t>
      </w:r>
      <w:r>
        <w:t xml:space="preserve"> καθημερινή γλώσσα που καταλαβαίνει οποιοσδήποτε αναγνώστης χωρίς ειδικές γνώσεις, σαν να εξηγείς σε κάποιον που ακούει το θέμα για πρώτη φορά. Σύντομες προτάσεις, μικρές παράγραφοι. Χωρίς τεχνική αστρολογική, ακαδημαϊκή ή διοικητική γλώσσα. Το ίδιο συμπέρασμα δεν επαναλαμβάνεται σε διαφορετικές ενότητες.</w:t>
      </w:r>
    </w:p>
    <w:p>
      <w:pPr>
        <w:spacing w:after="120" w:line="288"/>
      </w:pPr>
      <w:r>
        <w:t xml:space="preserve">Το καθαρό παραδοτέο περιλαμβάνει </w:t>
      </w:r>
      <w:r>
        <w:rPr>
          <w:b/>
          <w:bCs/>
        </w:rPr>
        <w:t xml:space="preserve">μόνο τις τέσσερις ενότητες</w:t>
      </w:r>
      <w:r>
        <w:t xml:space="preserve"> που ακολουθούν. Ο τίτλος κάθε ενότητας γράφεται σε πραγματικό στυλ επικεφαλίδας του Word (Heading 1), όχι απλή έντονη γραφή σε κανονική παράγραφο.</w:t>
      </w:r>
    </w:p>
    <w:p>
      <w:pPr>
        <w:pStyle w:val="Heading2"/>
        <w:keepNext/>
      </w:pPr>
      <w:r>
        <w:t xml:space="preserve">3.1 Σύντομο προφίλ</w:t>
      </w:r>
    </w:p>
    <w:p>
      <w:pPr>
        <w:spacing w:after="120" w:line="288"/>
      </w:pPr>
      <w:r>
        <w:t xml:space="preserve">Μία παράγραφος 80–130 λέξεων με τις κύριες δυνατότητες προς διερεύνηση. Δεν παρουσιάζονται ως βεβαιωμένα χαρακτηριστικά.</w:t>
      </w:r>
    </w:p>
    <w:p>
      <w:pPr>
        <w:pStyle w:val="Heading2"/>
        <w:keepNext/>
      </w:pPr>
      <w:r>
        <w:t xml:space="preserve">3.2 Ταλέντα προς διερεύνηση</w:t>
      </w:r>
    </w:p>
    <w:p>
      <w:pPr>
        <w:spacing w:after="120" w:line="288"/>
      </w:pPr>
      <w:r>
        <w:t xml:space="preserve">Όλα τα επαρκώς τεκμηριωμένα και ουσιαστικά διαφορετικά ταλέντα, σύμφωνα με τον Κανόνα 10. Δεν υπάρχει προκαθορισμένος ελάχιστος ή ανώτατος αριθμός. Κανένα ταλέντο δεν παρουσιάζεται ως βέβαιο χαρακτηριστικό, όσο ισχυρή κι αν είναι η εσωτερική τεκμηρίωσή του.</w:t>
      </w:r>
    </w:p>
    <w:p>
      <w:pPr>
        <w:pStyle w:val="ListParagraph"/>
        <w:numPr>
          <w:ilvl w:val="0"/>
          <w:numId w:val="2"/>
        </w:numPr>
        <w:spacing w:after="70" w:line="288"/>
      </w:pPr>
      <w:r>
        <w:t xml:space="preserve">Κάθε ταλέντο έχει σαφή τίτλο σε στυλ Heading 2, προαιρετικά με διακοσμητικό αύξοντα αριθμό (π.χ. «1. Τίτλος»), που δεν δηλώνει σπουδαιότητα.</w:t>
      </w:r>
    </w:p>
    <w:p>
      <w:pPr>
        <w:pStyle w:val="ListParagraph"/>
        <w:numPr>
          <w:ilvl w:val="0"/>
          <w:numId w:val="2"/>
        </w:numPr>
        <w:spacing w:after="70" w:line="288"/>
      </w:pPr>
      <w:r>
        <w:t xml:space="preserve">Κάτω από τον τίτλο, μία αυτοτελής παράγραφος έως 10 γραμμών, περίπου 70–110 λέξεων, που εξηγεί τι μπορεί να εκφράζει το ταλέντο και πώς μπορεί να εμφανίζεται στην πράξη.</w:t>
      </w:r>
    </w:p>
    <w:p>
      <w:pPr>
        <w:pStyle w:val="ListParagraph"/>
        <w:numPr>
          <w:ilvl w:val="0"/>
          <w:numId w:val="2"/>
        </w:numPr>
        <w:spacing w:after="70" w:line="288"/>
      </w:pPr>
      <w:r>
        <w:t xml:space="preserve">Στην ενότητα αυτή απαγορεύεται να αναφέρεται οποιοδήποτε επάγγελμα. Δεν χρησιμοποιούνται πίνακες.</w:t>
      </w:r>
    </w:p>
    <w:p>
      <w:pPr>
        <w:pStyle w:val="ListParagraph"/>
        <w:numPr>
          <w:ilvl w:val="0"/>
          <w:numId w:val="2"/>
        </w:numPr>
        <w:spacing w:after="70" w:line="288"/>
      </w:pPr>
      <w:r>
        <w:t xml:space="preserve">Αν ενεργοποιείται ο Κανόνας 11, η σημείωση πυκνού χάρτη μπαίνει ως </w:t>
      </w:r>
      <w:r>
        <w:rPr>
          <w:b/>
          <w:bCs/>
        </w:rPr>
        <w:t xml:space="preserve">πρώτη παράγραφος</w:t>
      </w:r>
      <w:r>
        <w:t xml:space="preserve"> της ενότητας, αμέσως κάτω από την επικεφαλίδα και πριν από τον πρώτο τίτλο ταλέντου.</w:t>
      </w:r>
    </w:p>
    <w:p>
      <w:pPr>
        <w:pStyle w:val="ListParagraph"/>
        <w:numPr>
          <w:ilvl w:val="0"/>
          <w:numId w:val="2"/>
        </w:numPr>
        <w:spacing w:after="70" w:line="288"/>
      </w:pPr>
      <w:r>
        <w:t xml:space="preserve">Αμέσως μετά το τελευταίο ταλέντο γράφεται η έντονη πρόταση «Συνοπτικά, τα ταλέντα προς διερεύνηση είναι:» και ακολουθεί λίστα σε κουκκίδες με όλους τους τίτλους των ταλέντων, </w:t>
      </w:r>
      <w:r>
        <w:rPr>
          <w:b/>
          <w:bCs/>
        </w:rPr>
        <w:t xml:space="preserve">γραμμένους ακριβώς όπως στις επικεφαλίδες</w:t>
      </w:r>
      <w:r>
        <w:t xml:space="preserve"> (χωρίς τον διακοσμητικό αριθμό), χωρίς απόρριψη, ιεράρχηση ή επιλογή υποσυνόλου.</w:t>
      </w:r>
    </w:p>
    <w:p>
      <w:pPr>
        <w:pStyle w:val="Heading2"/>
        <w:keepNext/>
      </w:pPr>
      <w:r>
        <w:t xml:space="preserve">3.3 Επαγγελματικοί Τομείς προς Διερεύνηση</w:t>
      </w:r>
    </w:p>
    <w:p>
      <w:pPr>
        <w:spacing w:after="120" w:line="288"/>
      </w:pPr>
      <w:r>
        <w:t xml:space="preserve">Όλοι οι ουσιαστικοί και επαρκώς τεκμηριωμένοι τομείς που εγκρίθηκαν στο τεχνικό δελτίο, σύμφωνα με τους Κανόνες 12–15. Δεν υπάρχει προκαθορισμένος αριθμός.</w:t>
      </w:r>
    </w:p>
    <w:p>
      <w:pPr>
        <w:spacing w:after="120" w:line="288"/>
      </w:pPr>
      <w:r>
        <w:rPr>
          <w:b/>
          <w:bCs/>
        </w:rPr>
        <w:t xml:space="preserve">Υποχρεωτική μορφή.</w:t>
      </w:r>
      <w:r>
        <w:t xml:space="preserve"> Μέσα σε αυτή την ενότητα επιτρέπονται μόνο τρία είδη γραμμών για κάθε τομέα:</w:t>
      </w:r>
    </w:p>
    <w:p>
      <w:pPr>
        <w:pStyle w:val="ListParagraph"/>
        <w:numPr>
          <w:ilvl w:val="0"/>
          <w:numId w:val="2"/>
        </w:numPr>
        <w:spacing w:after="70" w:line="288"/>
      </w:pPr>
      <w:r>
        <w:t xml:space="preserve">ο τίτλος του τομέα σε στυλ Heading 2, προαιρετικά με αύξοντα αριθμό (π.χ. «1. Τεχνολογία και καινοτομία»)·</w:t>
      </w:r>
    </w:p>
    <w:p>
      <w:pPr>
        <w:pStyle w:val="ListParagraph"/>
        <w:numPr>
          <w:ilvl w:val="0"/>
          <w:numId w:val="2"/>
        </w:numPr>
        <w:spacing w:after="70" w:line="288"/>
      </w:pPr>
      <w:r>
        <w:t xml:space="preserve">μία παράγραφος που ξεκινά με «Γιατί μπορεί να ταιριάζει:» και έχει </w:t>
      </w:r>
      <w:r>
        <w:rPr>
          <w:b/>
          <w:bCs/>
        </w:rPr>
        <w:t xml:space="preserve">3–4 προτάσεις, σε μία μόνο παράγραφο, χωρίς αλλαγή γραμμής</w:t>
      </w:r>
      <w:r>
        <w:t xml:space="preserve">. Κατονομάζει το ταλέντο ή τα ταλέντα με τα οποία συνδέεται ο τομέας και λέει τι ζητά ο ίδιος ο χώρος, χωρίς να ξαναπεριγράφει τα ταλέντα·</w:t>
      </w:r>
    </w:p>
    <w:p>
      <w:pPr>
        <w:pStyle w:val="ListParagraph"/>
        <w:numPr>
          <w:ilvl w:val="0"/>
          <w:numId w:val="2"/>
        </w:numPr>
        <w:spacing w:after="70" w:line="288"/>
      </w:pPr>
      <w:r>
        <w:t xml:space="preserve">μία παράγραφος που ξεκινά με «Ενδεικτικά επαγγέλματα:» και περιέχει </w:t>
      </w:r>
      <w:r>
        <w:rPr>
          <w:b/>
          <w:bCs/>
        </w:rPr>
        <w:t xml:space="preserve">όλα</w:t>
      </w:r>
      <w:r>
        <w:t xml:space="preserve"> τα επαγγέλματα του τομέα στην ίδια γραμμή, χωρισμένα με κόμμα.</w:t>
      </w:r>
    </w:p>
    <w:p>
      <w:pPr>
        <w:spacing w:after="120" w:line="288"/>
      </w:pPr>
      <w:r>
        <w:t xml:space="preserve">Καμία άλλη παράγραφος, κουκκίδα ή σημείωση δεν επιτρέπεται μέσα στην ενότητα. Ο αυτόματος έλεγχος διαβάζει κάθε επιπλέον γραμμή ως νέο, μη εγκεκριμένο τομέα· γι’ αυτό το «Γιατί μπορεί να ταιριάζει» δεν χωρίζεται ποτέ σε δύο παραγράφους.</w:t>
      </w:r>
    </w:p>
    <w:p>
      <w:pPr>
        <w:spacing w:after="120" w:line="288"/>
      </w:pPr>
      <w:r>
        <w:rPr>
          <w:b/>
          <w:bCs/>
        </w:rPr>
        <w:t xml:space="preserve">Εξήγηση επαγγέλματος.</w:t>
      </w:r>
      <w:r>
        <w:t xml:space="preserve"> Κάθε άγνωστο ή εξειδικευμένο επάγγελμα εξηγείται με μία πολύ σύντομη φράση </w:t>
      </w:r>
      <w:r>
        <w:rPr>
          <w:b/>
          <w:bCs/>
        </w:rPr>
        <w:t xml:space="preserve">σε παρένθεση, αμέσως μετά το όνομά του, μέσα στην ίδια γραμμή</w:t>
      </w:r>
      <w:r>
        <w:t xml:space="preserve">. Η παρένθεση μπορεί να περιέχει κόμματα. Δεν εξηγούνται αυτονόητα επαγγέλματα, όπως εκπαιδευτικός, δημοσιογράφος, μηχανικός ή προγραμματιστής.</w:t>
      </w:r>
    </w:p>
    <w:p>
      <w:pPr>
        <w:spacing w:after="120" w:line="288"/>
      </w:pPr>
      <w:r>
        <w:rPr>
          <w:b/>
          <w:bCs/>
        </w:rPr>
        <w:t xml:space="preserve">Το ίδιο το όνομα δεν περιέχει ποτέ παρένθεση.</w:t>
      </w:r>
      <w:r>
        <w:t xml:space="preserve"> Αν χρειάζεται ξενόγλωσσος ή εναλλακτικός όρος, μπαίνει μέσα στην επεξηγηματική παρένθεση. Σωστό παράδειγμα:</w:t>
      </w:r>
    </w:p>
    <w:p>
      <w:pPr>
        <w:spacing w:after="120" w:line="288"/>
        <w:ind w:left="567" w:right="567"/>
      </w:pPr>
      <w:r>
        <w:rPr>
          <w:i/>
          <w:iCs/>
        </w:rPr>
        <w:t xml:space="preserve">Ενδεικτικά επαγγέλματα: Προγραμματιστής, Αναλυτής συστημάτων (εξετάζει πώς λειτουργεί ένα ψηφιακό σύστημα και προτείνει βελτιώσεις), Διαχειριστής έργων (γνωστός και ως project manager· συντονίζει ανθρώπους, χρόνο και μέσα ώστε ένα έργο να ολοκληρωθεί)</w:t>
      </w:r>
    </w:p>
    <w:p>
      <w:pPr>
        <w:spacing w:after="120" w:line="288"/>
      </w:pPr>
      <w:r>
        <w:t xml:space="preserve">Λάθος: «Διαχειριστής έργων (project manager) (συντονίζει…)», επειδή το όνομα έχει δική του παρένθεση. Λάθος: εξηγήσεις σε χωριστή παράγραφο ή σε κουκκίδες κάτω από τα επαγγέλματα.</w:t>
      </w:r>
    </w:p>
    <w:p>
      <w:pPr>
        <w:pStyle w:val="Heading2"/>
        <w:keepNext/>
      </w:pPr>
      <w:r>
        <w:t xml:space="preserve">3.4 Τελική Σύνθεση</w:t>
      </w:r>
    </w:p>
    <w:p>
      <w:pPr>
        <w:spacing w:after="120" w:line="288"/>
      </w:pPr>
      <w:r>
        <w:t xml:space="preserve">Έως τρεις κύριες κατευθύνσεις και οι σημαντικότεροι συνδυασμοί τους, σε έως 180 λέξεις, χωρίς να δημιουργείται νέος τομέας ή νέο επάγγελμα. Η Τελική Σύνθεση κλείνει υποχρεωτικά, με σαφή έμφαση, λέγοντας ότι οι κατευθύνσεις δεν αποτελούν οριστική απόφαση, ότι τα μαθήματα και οι δραστηριότητες που αρέσουν στο άτομο και η πραγματική του επίδοση μπορούν να τις επιβεβαιώσουν ή να τις αναθεωρήσουν και, πάνω απ’ όλα, ότι </w:t>
      </w:r>
      <w:r>
        <w:rPr>
          <w:b/>
          <w:bCs/>
        </w:rPr>
        <w:t xml:space="preserve">η τελική επιλογή παραμένει πάντοτε δική του, ως έκφραση της ελεύθερης βούλησής του.</w:t>
      </w:r>
      <w:r>
        <w:t xml:space="preserve"> Δεν προστίθεται ξεχωριστή «Τελική υπενθύμιση».</w:t>
      </w:r>
    </w:p>
    <w:p>
      <w:pPr>
        <w:pStyle w:val="Heading2"/>
        <w:keepNext/>
      </w:pPr>
      <w:r>
        <w:t xml:space="preserve">3.5 Τι απαγορεύεται στο καθαρό παραδοτέο</w:t>
      </w:r>
    </w:p>
    <w:p>
      <w:pPr>
        <w:pStyle w:val="ListParagraph"/>
        <w:numPr>
          <w:ilvl w:val="0"/>
          <w:numId w:val="2"/>
        </w:numPr>
        <w:spacing w:after="70" w:line="288"/>
      </w:pPr>
      <w:r>
        <w:t xml:space="preserve">Χωριστές ενότητες όπως: «Τρόπος μάθησης και δημιουργίας», «Δυνατά σημεία που χρειάζονται καλλιέργεια», «Πιθανά εμπόδια», «Συμβολική Κατεύθυνση Εξέλιξης», «Ερωτήσεις για συζήτηση», «Κατάλληλο εργασιακό περιβάλλον», «Επόμενα βήματα», οδηγίες προς γονείς/εκπαιδευτικούς, σχέδιο 8–12 εβδομάδων, οποιαδήποτε ενότητα για την Κύπρο, ΟΜΠ ή εκπαιδευτικές διαδρομές.</w:t>
      </w:r>
    </w:p>
    <w:p>
      <w:pPr>
        <w:pStyle w:val="ListParagraph"/>
        <w:numPr>
          <w:ilvl w:val="0"/>
          <w:numId w:val="2"/>
        </w:numPr>
        <w:spacing w:after="70" w:line="288"/>
      </w:pPr>
      <w:r>
        <w:t xml:space="preserve">Ονόματα πλανητών και σημείων, ζώδια, Οίκοι, κυβερνήτες, orb, κατηγορίες βαρύτητας.</w:t>
      </w:r>
    </w:p>
    <w:p>
      <w:pPr>
        <w:pStyle w:val="ListParagraph"/>
        <w:numPr>
          <w:ilvl w:val="0"/>
          <w:numId w:val="2"/>
        </w:numPr>
        <w:spacing w:after="70" w:line="288"/>
      </w:pPr>
      <w:r>
        <w:t xml:space="preserve">Οι λέξεις τύπων όψεων «σύνοδος», «τρίγωνο», «εξάγωνο», «τετράγωνο», «αντίθεση», «χιαστί όψη», </w:t>
      </w:r>
      <w:r>
        <w:rPr>
          <w:b/>
          <w:bCs/>
        </w:rPr>
        <w:t xml:space="preserve">ακόμη και με καθημερινή σημασία</w:t>
      </w:r>
      <w:r>
        <w:t xml:space="preserve">, επειδή ο αυτόματος έλεγχος δεν μπορεί να τις ξεχωρίσει.</w:t>
      </w:r>
    </w:p>
    <w:p>
      <w:pPr>
        <w:pStyle w:val="ListParagraph"/>
        <w:numPr>
          <w:ilvl w:val="0"/>
          <w:numId w:val="2"/>
        </w:numPr>
        <w:spacing w:after="70" w:line="288"/>
      </w:pPr>
      <w:r>
        <w:t xml:space="preserve">Οι λέξεις «δείκτης» και «τεκμηρίωση», οποιοσδήποτε αριθμός δεικτών, και οι εσωτερικοί χαρακτηρισμοί «κυρίαρχο», «βασικό», «αναδυόμενο».</w:t>
      </w:r>
    </w:p>
    <w:p>
      <w:pPr>
        <w:pStyle w:val="ListParagraph"/>
        <w:numPr>
          <w:ilvl w:val="0"/>
          <w:numId w:val="2"/>
        </w:numPr>
        <w:spacing w:after="70" w:line="288"/>
      </w:pPr>
      <w:r>
        <w:t xml:space="preserve">Highlight, χρωματιστό φόντο πίσω από λέξεις, σκιάσεις, έγχρωμα πλαίσια, χρωματιστές λωρίδες, πίνακες.</w:t>
      </w:r>
    </w:p>
    <w:p>
      <w:pPr>
        <w:spacing w:after="120" w:line="288"/>
      </w:pPr>
      <w:r>
        <w:rPr>
          <w:b/>
          <w:bCs/>
        </w:rPr>
        <w:t xml:space="preserve">Μορφοποίηση:</w:t>
      </w:r>
      <w:r>
        <w:t xml:space="preserve"> λευκό φόντο και μαύρο κείμενο. Η έμφαση γίνεται μόνο με τίτλους, κουκκίδες και περιορισμένη έντονη γραφή.</w:t>
      </w:r>
    </w:p>
    <w:p>
      <w:pPr>
        <w:pStyle w:val="Heading1"/>
        <w:keepNext/>
      </w:pPr>
      <w:r>
        <w:t xml:space="preserve">Κανόνας 4. Εξέτασε τους πέντε προσωπικούς πλανήτες</w:t>
      </w:r>
    </w:p>
    <w:p>
      <w:pPr>
        <w:spacing w:after="120" w:line="288"/>
      </w:pPr>
      <w:r>
        <w:t xml:space="preserve">Ανάλυσε συνδυαστικά το ζώδιο, τον Οίκο, τον κυβερνήτη και μόνο τις επιβεβαιωμένες όψεις κάθε πλανήτη:</w:t>
      </w:r>
    </w:p>
    <w:p>
      <w:pPr>
        <w:pStyle w:val="ListParagraph"/>
        <w:numPr>
          <w:ilvl w:val="0"/>
          <w:numId w:val="2"/>
        </w:numPr>
        <w:spacing w:after="70" w:line="288"/>
      </w:pPr>
      <w:r>
        <w:rPr>
          <w:b/>
          <w:bCs/>
        </w:rPr>
        <w:t xml:space="preserve">Ήλιος:</w:t>
      </w:r>
      <w:r>
        <w:t xml:space="preserve"> δημιουργική ταυτότητα, ζωτικότητα, αυτοέκφραση και φυσικός τρόπος ανάληψης πρωτοβουλίας ή ηγεσίας.</w:t>
      </w:r>
    </w:p>
    <w:p>
      <w:pPr>
        <w:pStyle w:val="ListParagraph"/>
        <w:numPr>
          <w:ilvl w:val="0"/>
          <w:numId w:val="2"/>
        </w:numPr>
        <w:spacing w:after="70" w:line="288"/>
      </w:pPr>
      <w:r>
        <w:rPr>
          <w:b/>
          <w:bCs/>
        </w:rPr>
        <w:t xml:space="preserve">Σελήνη:</w:t>
      </w:r>
      <w:r>
        <w:t xml:space="preserve"> συναισθηματικές ανάγκες, ένστικτο, μνήμη, τρόπος επεξεργασίας εμπειριών και περιβάλλον στο οποίο το άτομο αισθάνεται ασφαλές. Εξέτασε δημιουργική ή καλλιτεχνική έκφραση μόνο όταν υποστηρίζεται από τον 5ο Οίκο, την Αφροδίτη, τον Ποσειδώνα ή άλλους σχετικούς δείκτες.</w:t>
      </w:r>
    </w:p>
    <w:p>
      <w:pPr>
        <w:pStyle w:val="ListParagraph"/>
        <w:numPr>
          <w:ilvl w:val="0"/>
          <w:numId w:val="2"/>
        </w:numPr>
        <w:spacing w:after="70" w:line="288"/>
      </w:pPr>
      <w:r>
        <w:rPr>
          <w:b/>
          <w:bCs/>
        </w:rPr>
        <w:t xml:space="preserve">Ερμής:</w:t>
      </w:r>
      <w:r>
        <w:t xml:space="preserve"> τρόπος μάθησης, σκέψη, περιέργεια, λόγος, γραφή, τεχνικές και επικοινωνιακές δεξιότητες.</w:t>
      </w:r>
    </w:p>
    <w:p>
      <w:pPr>
        <w:pStyle w:val="ListParagraph"/>
        <w:numPr>
          <w:ilvl w:val="0"/>
          <w:numId w:val="2"/>
        </w:numPr>
        <w:spacing w:after="70" w:line="288"/>
      </w:pPr>
      <w:r>
        <w:rPr>
          <w:b/>
          <w:bCs/>
        </w:rPr>
        <w:t xml:space="preserve">Αφροδίτη:</w:t>
      </w:r>
      <w:r>
        <w:t xml:space="preserve"> κοινωνικά, συνεργατικά, αισθητικά και καλλιτεχνικά χαρίσματα, αξίες και τρόπος δημιουργίας σχέσεων.</w:t>
      </w:r>
    </w:p>
    <w:p>
      <w:pPr>
        <w:pStyle w:val="ListParagraph"/>
        <w:numPr>
          <w:ilvl w:val="0"/>
          <w:numId w:val="2"/>
        </w:numPr>
        <w:spacing w:after="70" w:line="288"/>
      </w:pPr>
      <w:r>
        <w:rPr>
          <w:b/>
          <w:bCs/>
        </w:rPr>
        <w:t xml:space="preserve">Άρης:</w:t>
      </w:r>
      <w:r>
        <w:t xml:space="preserve"> τρόπος δράσης, θάρρος, κινητοποίηση, ανταγωνισμός, διεκδίκηση και διοχέτευση ενέργειας.</w:t>
      </w:r>
    </w:p>
    <w:p>
      <w:pPr>
        <w:spacing w:after="120" w:line="288"/>
      </w:pPr>
      <w:r>
        <w:t xml:space="preserve">Μην απομονώνεις έναν πλανήτη. Αναζήτησε επαναλαμβανόμενα μοτίβα μεταξύ των πέντε και σύνδεσέ τα με τους σχετικούς Οίκους και κυβερνήτες.</w:t>
      </w:r>
    </w:p>
    <w:p>
      <w:pPr>
        <w:pStyle w:val="Heading1"/>
        <w:keepNext/>
      </w:pPr>
      <w:r>
        <w:t xml:space="preserve">Κανόνας 5. Εξέτασε συμπληρωματικά τους κοινωνικούς και εξωτερικούς πλανήτες</w:t>
      </w:r>
    </w:p>
    <w:p>
      <w:pPr>
        <w:spacing w:after="120" w:line="288"/>
      </w:pPr>
      <w:r>
        <w:t xml:space="preserve">Εξέτασέ τους όταν συνδέονται με προσωπικούς πλανήτες, τους βασικούς Οίκους, τους κυβερνήτες τους ή τις γωνίες:</w:t>
      </w:r>
    </w:p>
    <w:p>
      <w:pPr>
        <w:pStyle w:val="ListParagraph"/>
        <w:numPr>
          <w:ilvl w:val="0"/>
          <w:numId w:val="2"/>
        </w:numPr>
        <w:spacing w:after="70" w:line="288"/>
      </w:pPr>
      <w:r>
        <w:rPr>
          <w:b/>
          <w:bCs/>
        </w:rPr>
        <w:t xml:space="preserve">Δίας:</w:t>
      </w:r>
      <w:r>
        <w:t xml:space="preserve"> ανάπτυξη, διδασκαλία, καθοδήγηση και ευρύτητα γνώσεων.</w:t>
      </w:r>
    </w:p>
    <w:p>
      <w:pPr>
        <w:pStyle w:val="ListParagraph"/>
        <w:numPr>
          <w:ilvl w:val="0"/>
          <w:numId w:val="2"/>
        </w:numPr>
        <w:spacing w:after="70" w:line="288"/>
      </w:pPr>
      <w:r>
        <w:rPr>
          <w:b/>
          <w:bCs/>
        </w:rPr>
        <w:t xml:space="preserve">Κρόνος:</w:t>
      </w:r>
      <w:r>
        <w:t xml:space="preserve"> πειθαρχία, οργάνωση, αντοχή και δεξιότητες που κατακτώνται σταδιακά.</w:t>
      </w:r>
    </w:p>
    <w:p>
      <w:pPr>
        <w:pStyle w:val="ListParagraph"/>
        <w:numPr>
          <w:ilvl w:val="0"/>
          <w:numId w:val="2"/>
        </w:numPr>
        <w:spacing w:after="70" w:line="288"/>
      </w:pPr>
      <w:r>
        <w:rPr>
          <w:b/>
          <w:bCs/>
        </w:rPr>
        <w:t xml:space="preserve">Ουρανός:</w:t>
      </w:r>
      <w:r>
        <w:t xml:space="preserve"> πρωτοτυπία, τεχνολογία, καινοτομία και ανεξάρτητη σκέψη.</w:t>
      </w:r>
    </w:p>
    <w:p>
      <w:pPr>
        <w:pStyle w:val="ListParagraph"/>
        <w:numPr>
          <w:ilvl w:val="0"/>
          <w:numId w:val="2"/>
        </w:numPr>
        <w:spacing w:after="70" w:line="288"/>
      </w:pPr>
      <w:r>
        <w:rPr>
          <w:b/>
          <w:bCs/>
        </w:rPr>
        <w:t xml:space="preserve">Ποσειδώνας:</w:t>
      </w:r>
      <w:r>
        <w:t xml:space="preserve"> φαντασία, τέχνη, ενσυναίσθηση και συμβολική αντίληψη.</w:t>
      </w:r>
    </w:p>
    <w:p>
      <w:pPr>
        <w:pStyle w:val="ListParagraph"/>
        <w:numPr>
          <w:ilvl w:val="0"/>
          <w:numId w:val="2"/>
        </w:numPr>
        <w:spacing w:after="70" w:line="288"/>
      </w:pPr>
      <w:r>
        <w:rPr>
          <w:b/>
          <w:bCs/>
        </w:rPr>
        <w:t xml:space="preserve">Πλούτωνας:</w:t>
      </w:r>
      <w:r>
        <w:t xml:space="preserve"> έρευνα, βάθος, στρατηγική και διαχείριση σύνθετων προβλημάτων.</w:t>
      </w:r>
    </w:p>
    <w:p>
      <w:pPr>
        <w:spacing w:after="120" w:line="288"/>
      </w:pPr>
      <w:r>
        <w:t xml:space="preserve">Μην ερμηνεύεις έναν κοινωνικό ή εξωτερικό πλανήτη ως προσωπικό ταλέντο αν δεν συνδέεται ουσιαστικά με προσωπικό πλανήτη, γωνία, κυβερνήτη ή σχετικό Οίκο.</w:t>
      </w:r>
    </w:p>
    <w:p>
      <w:pPr>
        <w:pStyle w:val="Heading1"/>
        <w:keepNext/>
      </w:pPr>
      <w:r>
        <w:t xml:space="preserve">Κανόνας 6. Εξέτασε τους βασικούς Οίκους των ταλέντων και της σταδιοδρομίας</w:t>
      </w:r>
    </w:p>
    <w:p>
      <w:pPr>
        <w:spacing w:after="120" w:line="288"/>
      </w:pPr>
      <w:r>
        <w:t xml:space="preserve">Δώσε ιδιαίτερη βαρύτητα:</w:t>
      </w:r>
    </w:p>
    <w:p>
      <w:pPr>
        <w:pStyle w:val="ListParagraph"/>
        <w:numPr>
          <w:ilvl w:val="0"/>
          <w:numId w:val="2"/>
        </w:numPr>
        <w:spacing w:after="70" w:line="288"/>
      </w:pPr>
      <w:r>
        <w:t xml:space="preserve">στον 1ο Οίκο και τον κυβερνήτη του: φυσική παρουσία, αυθόρμητος τρόπος έκφρασης και προσέγγισης της ζωής·</w:t>
      </w:r>
    </w:p>
    <w:p>
      <w:pPr>
        <w:pStyle w:val="ListParagraph"/>
        <w:numPr>
          <w:ilvl w:val="0"/>
          <w:numId w:val="2"/>
        </w:numPr>
        <w:spacing w:after="70" w:line="288"/>
      </w:pPr>
      <w:r>
        <w:t xml:space="preserve">στον 2ο Οίκο και τον κυβερνήτη του: προσωπικοί πόροι και δεξιότητες που μπορούν να αναπτυχθούν σε πρακτική ή οικονομική αξία·</w:t>
      </w:r>
    </w:p>
    <w:p>
      <w:pPr>
        <w:pStyle w:val="ListParagraph"/>
        <w:numPr>
          <w:ilvl w:val="0"/>
          <w:numId w:val="2"/>
        </w:numPr>
        <w:spacing w:after="70" w:line="288"/>
      </w:pPr>
      <w:r>
        <w:t xml:space="preserve">στον 3ο Οίκο και τον κυβερνήτη του: μάθηση, επικοινωνία, γραφή και μετάδοση γνώσεων·</w:t>
      </w:r>
    </w:p>
    <w:p>
      <w:pPr>
        <w:pStyle w:val="ListParagraph"/>
        <w:numPr>
          <w:ilvl w:val="0"/>
          <w:numId w:val="2"/>
        </w:numPr>
        <w:spacing w:after="70" w:line="288"/>
      </w:pPr>
      <w:r>
        <w:t xml:space="preserve">στον 5ο Οίκο και τον κυβερνήτη του: δημιουργικότητα, παιχνίδι, αυτοέκφραση, κατασκευές, τέχνη και προσωπικά έργα·</w:t>
      </w:r>
    </w:p>
    <w:p>
      <w:pPr>
        <w:pStyle w:val="ListParagraph"/>
        <w:numPr>
          <w:ilvl w:val="0"/>
          <w:numId w:val="2"/>
        </w:numPr>
        <w:spacing w:after="70" w:line="288"/>
      </w:pPr>
      <w:r>
        <w:t xml:space="preserve">στον 6ο Οίκο και τον κυβερνήτη του: καθημερινός τρόπος εργασίας, οργάνωση, πρακτικές δεξιότητες και συνήθειες·</w:t>
      </w:r>
    </w:p>
    <w:p>
      <w:pPr>
        <w:pStyle w:val="ListParagraph"/>
        <w:numPr>
          <w:ilvl w:val="0"/>
          <w:numId w:val="2"/>
        </w:numPr>
        <w:spacing w:after="70" w:line="288"/>
      </w:pPr>
      <w:r>
        <w:t xml:space="preserve">στον 9ο Οίκο και τον κυβερνήτη του: ανώτερη γνώση, διδασκαλία, έρευνα, γλώσσες και ευρύτεροι ορίζοντες·</w:t>
      </w:r>
    </w:p>
    <w:p>
      <w:pPr>
        <w:pStyle w:val="ListParagraph"/>
        <w:numPr>
          <w:ilvl w:val="0"/>
          <w:numId w:val="2"/>
        </w:numPr>
        <w:spacing w:after="70" w:line="288"/>
      </w:pPr>
      <w:r>
        <w:t xml:space="preserve">στον 10ο Οίκο, το Μεσουράνημα και τον κυβερνήτη του: δημόσιες ικανότητες, επαγγελματικό περιβάλλον, κοινωνικός ρόλος και τρόπος προσφοράς·</w:t>
      </w:r>
    </w:p>
    <w:p>
      <w:pPr>
        <w:pStyle w:val="ListParagraph"/>
        <w:numPr>
          <w:ilvl w:val="0"/>
          <w:numId w:val="2"/>
        </w:numPr>
        <w:spacing w:after="70" w:line="288"/>
      </w:pPr>
      <w:r>
        <w:t xml:space="preserve">στον 11ο Οίκο και τον κυβερνήτη του: ομάδες, τεχνολογία, συλλογικά έργα και μελλοντικά οράματα.</w:t>
      </w:r>
    </w:p>
    <w:p>
      <w:pPr>
        <w:spacing w:after="120" w:line="288"/>
      </w:pPr>
      <w:r>
        <w:t xml:space="preserve">Να ξεχωρίζεις καθαρά πού βρίσκεται ένας πλανήτης, ποιους Οίκους κυβερνά και ποιες επιβεβαιωμένες όψεις σχηματίζει. Μην παρουσιάζεις έναν πλανήτη σαν να βρίσκεται σε περισσότερους από έναν Οίκους επειδή κυβερνά άλλους Οίκους.</w:t>
      </w:r>
    </w:p>
    <w:p>
      <w:pPr>
        <w:pStyle w:val="Heading1"/>
        <w:keepNext/>
      </w:pPr>
      <w:r>
        <w:t xml:space="preserve">Κανόνας 7. Υποχρεωτικός έλεγχος όλων των επιβεβαιωμένων κύριων όψεων</w:t>
      </w:r>
    </w:p>
    <w:p>
      <w:pPr>
        <w:spacing w:after="120" w:line="288"/>
      </w:pPr>
      <w:r>
        <w:t xml:space="preserve">Για την ανάδειξη ταλέντων εξέτασε όλες τις επιβεβαιωμένες κύριες όψεις που περιλαμβάνονται στο AstroCheck:</w:t>
      </w:r>
    </w:p>
    <w:p>
      <w:pPr>
        <w:pStyle w:val="ListParagraph"/>
        <w:numPr>
          <w:ilvl w:val="0"/>
          <w:numId w:val="2"/>
        </w:numPr>
        <w:spacing w:after="70" w:line="288"/>
      </w:pPr>
      <w:r>
        <w:rPr>
          <w:b/>
          <w:bCs/>
        </w:rPr>
        <w:t xml:space="preserve">Σύνοδοι:</w:t>
      </w:r>
      <w:r>
        <w:t xml:space="preserve"> ισχυρή συγκέντρωση δύο λειτουργιών, η οποία αξιολογείται ανάλογα με τους πλανήτες και το συνολικό πλαίσιο.</w:t>
      </w:r>
    </w:p>
    <w:p>
      <w:pPr>
        <w:pStyle w:val="ListParagraph"/>
        <w:numPr>
          <w:ilvl w:val="0"/>
          <w:numId w:val="2"/>
        </w:numPr>
        <w:spacing w:after="70" w:line="288"/>
      </w:pPr>
      <w:r>
        <w:rPr>
          <w:b/>
          <w:bCs/>
        </w:rPr>
        <w:t xml:space="preserve">Τρίγωνα:</w:t>
      </w:r>
      <w:r>
        <w:t xml:space="preserve"> δυνατότητες που μπορεί να εκφράζονται σχετικά φυσικά ή εύκολα.</w:t>
      </w:r>
    </w:p>
    <w:p>
      <w:pPr>
        <w:pStyle w:val="ListParagraph"/>
        <w:numPr>
          <w:ilvl w:val="0"/>
          <w:numId w:val="2"/>
        </w:numPr>
        <w:spacing w:after="70" w:line="288"/>
      </w:pPr>
      <w:r>
        <w:rPr>
          <w:b/>
          <w:bCs/>
        </w:rPr>
        <w:t xml:space="preserve">Εξάγωνα:</w:t>
      </w:r>
      <w:r>
        <w:t xml:space="preserve"> δυνατότητες που συχνά ενεργοποιούνται μέσα από ευκαιρίες, εξάσκηση και πρωτοβουλία.</w:t>
      </w:r>
    </w:p>
    <w:p>
      <w:pPr>
        <w:pStyle w:val="ListParagraph"/>
        <w:numPr>
          <w:ilvl w:val="0"/>
          <w:numId w:val="2"/>
        </w:numPr>
        <w:spacing w:after="70" w:line="288"/>
      </w:pPr>
      <w:r>
        <w:rPr>
          <w:b/>
          <w:bCs/>
        </w:rPr>
        <w:t xml:space="preserve">Τετράγωνα και αντιθέσεις:</w:t>
      </w:r>
      <w:r>
        <w:t xml:space="preserve"> εντάσεις που μπορεί, μέσα από προσπάθεια και εμπειρία, να κινητοποιήσουν σημαντική ανάπτυξη δεξιοτήτων.</w:t>
      </w:r>
    </w:p>
    <w:p>
      <w:pPr>
        <w:pStyle w:val="ListParagraph"/>
        <w:numPr>
          <w:ilvl w:val="0"/>
          <w:numId w:val="2"/>
        </w:numPr>
        <w:spacing w:after="70" w:line="288"/>
      </w:pPr>
      <w:r>
        <w:rPr>
          <w:b/>
          <w:bCs/>
        </w:rPr>
        <w:t xml:space="preserve">Χιαστί όψεις 150°:</w:t>
      </w:r>
      <w:r>
        <w:t xml:space="preserve"> ανάγκη προσαρμογής διαφορετικών λειτουργιών, εφόσον περιλαμβάνονται ως επιβεβαιωμένες στο AstroCheck.</w:t>
      </w:r>
    </w:p>
    <w:p>
      <w:pPr>
        <w:spacing w:after="120" w:line="288"/>
      </w:pPr>
      <w:r>
        <w:t xml:space="preserve">Καμία όψη δεν αποτελεί από μόνη της απόδειξη ταλέντου. Η ίδια όψη που επαναλαμβάνεται σε διαφορετικές ενότητες ή Οίκους του AstroCheck μετρά ως ένας δείκτης και όχι ως πολλαπλές διακριτές αποδείξεις.</w:t>
      </w:r>
    </w:p>
    <w:p>
      <w:pPr>
        <w:spacing w:after="120" w:line="288"/>
      </w:pPr>
      <w:r>
        <w:rPr>
          <w:b/>
          <w:bCs/>
        </w:rPr>
        <w:t xml:space="preserve">Ιεράρχηση βαρύτητας:</w:t>
      </w:r>
      <w:r>
        <w:t xml:space="preserve"> προτεραιότητα στις Στενές/ισχυρές όψεις, έπειτα στις Κανονικές· οι Πλατιές αλλά έγκυρες χρησιμοποιούνται μόνο υποστηρικτικά και οι Πολύ πλατιές/δευτερεύουσες μόνο ως δευτερεύουσες αποχρώσεις.</w:t>
      </w:r>
    </w:p>
    <w:p>
      <w:pPr>
        <w:spacing w:after="120" w:line="288"/>
      </w:pPr>
      <w:r>
        <w:rPr>
          <w:b/>
          <w:bCs/>
        </w:rPr>
        <w:t xml:space="preserve">Υποχρεωτικός έλεγχος κάλυψης πριν από τη συγγραφή:</w:t>
      </w:r>
      <w:r>
        <w:t xml:space="preserve"> κατάταξε όλες τις επιβεβαιωμένες κύριες όψεις κατά σειρά στενότητας (μικρότερο orb πρώτο). Για </w:t>
      </w:r>
      <w:r>
        <w:rPr>
          <w:b/>
          <w:bCs/>
        </w:rPr>
        <w:t xml:space="preserve">κάθε</w:t>
      </w:r>
      <w:r>
        <w:t xml:space="preserve"> όψη βαρύτητας Στενή/ισχυρή ή Κανονική, όχι μόνο για τις 3–5 στενότερες, γράψε στο Παράρτημα κάλυψης του δελτίου (Κανόνας 16) μία γραμμή με ζεύγος, τύπο, orb, βαρύτητα και απόφαση, όλα στην ίδια γραμμή:</w:t>
      </w:r>
    </w:p>
    <w:p>
      <w:pPr>
        <w:pStyle w:val="ListParagraph"/>
        <w:numPr>
          <w:ilvl w:val="0"/>
          <w:numId w:val="2"/>
        </w:numPr>
        <w:spacing w:after="70" w:line="288"/>
      </w:pPr>
      <w:r>
        <w:t xml:space="preserve">«ΧΡΗΣΙΜΟΠΟΙΕΙΤΑΙ», </w:t>
      </w:r>
      <w:r>
        <w:rPr>
          <w:b/>
          <w:bCs/>
        </w:rPr>
        <w:t xml:space="preserve">μόνο</w:t>
      </w:r>
      <w:r>
        <w:t xml:space="preserve"> όταν η όψη υπάρχει πράγματι ως γραμμή «Δείκτης» μέσα σε μπλοκ «ΤΑΛΕΝΤΟ:» του δελτίου· ή</w:t>
      </w:r>
    </w:p>
    <w:p>
      <w:pPr>
        <w:pStyle w:val="ListParagraph"/>
        <w:numPr>
          <w:ilvl w:val="0"/>
          <w:numId w:val="2"/>
        </w:numPr>
        <w:spacing w:after="70" w:line="288"/>
      </w:pPr>
      <w:r>
        <w:t xml:space="preserve">«ΕΞΑΙΡΕΙΤΑΙ», ακολουθούμενο στην ίδια γραμμή από ρητή αιτιολόγηση (π.χ. δεν συνδέεται με προσωπικό πλανήτη, γωνία ή κυβερνήτη· αφορά τον άξονα των Δεσμών· είναι θεματικά ασύνδετη με κάθε υποψήφιο ταλέντο· λειτουργεί μόνο ως υποστηρικτική απόχρωση).</w:t>
      </w:r>
    </w:p>
    <w:p>
      <w:pPr>
        <w:spacing w:after="120" w:line="288"/>
      </w:pPr>
      <w:r>
        <w:t xml:space="preserve">Μην γράφεις «δεν χρησιμοποιείται» και μην βάζεις και τις δύο λέξεις στην ίδια γραμμή. Μην σταματήσεις την αναζήτηση μόλις βρεις μια «αρκετή» ομάδα ταλέντων: η εξέταση καλύπτει συστηματικά όλες αυτές τις όψεις και τη θέση (ζώδιο/Οίκο) κάθε σημείου πριν αποφασιστούν τα ταλέντα. Μην αφήνεις τη στενότερη όψη ολόκληρου του χάρτη χωρίς ρητή απόφαση· είναι συνήθως η πιο αξιόπιστη ένδειξη, και η παράλειψή της είναι το συχνότερο λάθος.</w:t>
      </w:r>
    </w:p>
    <w:p>
      <w:pPr>
        <w:pStyle w:val="Heading1"/>
        <w:keepNext/>
      </w:pPr>
      <w:r>
        <w:t xml:space="preserve">Κανόνας 8. Εξέτασε τα τέσσερα στοιχεία</w:t>
      </w:r>
    </w:p>
    <w:p>
      <w:pPr>
        <w:spacing w:after="120" w:line="288"/>
      </w:pPr>
      <w:r>
        <w:t xml:space="preserve">Μελέτησε κυρίως την κατανομή των προσωπικών πλανητών και έπειτα τη συνολική εικόνα του χάρτη:</w:t>
      </w:r>
    </w:p>
    <w:p>
      <w:pPr>
        <w:pStyle w:val="ListParagraph"/>
        <w:numPr>
          <w:ilvl w:val="0"/>
          <w:numId w:val="2"/>
        </w:numPr>
        <w:spacing w:after="70" w:line="288"/>
      </w:pPr>
      <w:r>
        <w:rPr>
          <w:b/>
          <w:bCs/>
        </w:rPr>
        <w:t xml:space="preserve">Φωτιά:</w:t>
      </w:r>
      <w:r>
        <w:t xml:space="preserve"> πρωτοβουλία, δράση, τόλμη, εξερεύνηση και μάθηση μέσα από εμπειρία.</w:t>
      </w:r>
    </w:p>
    <w:p>
      <w:pPr>
        <w:pStyle w:val="ListParagraph"/>
        <w:numPr>
          <w:ilvl w:val="0"/>
          <w:numId w:val="2"/>
        </w:numPr>
        <w:spacing w:after="70" w:line="288"/>
      </w:pPr>
      <w:r>
        <w:rPr>
          <w:b/>
          <w:bCs/>
        </w:rPr>
        <w:t xml:space="preserve">Γη:</w:t>
      </w:r>
      <w:r>
        <w:t xml:space="preserve"> πρακτικότητα, οργάνωση, κατασκευές, συνέπεια και μάθηση βήμα προς βήμα.</w:t>
      </w:r>
    </w:p>
    <w:p>
      <w:pPr>
        <w:pStyle w:val="ListParagraph"/>
        <w:numPr>
          <w:ilvl w:val="0"/>
          <w:numId w:val="2"/>
        </w:numPr>
        <w:spacing w:after="70" w:line="288"/>
      </w:pPr>
      <w:r>
        <w:rPr>
          <w:b/>
          <w:bCs/>
        </w:rPr>
        <w:t xml:space="preserve">Αέρας:</w:t>
      </w:r>
      <w:r>
        <w:t xml:space="preserve"> περιέργεια, επικοινωνία, ιδέες, κοινωνική αλληλεπίδραση και μάθηση μέσω συζήτησης.</w:t>
      </w:r>
    </w:p>
    <w:p>
      <w:pPr>
        <w:pStyle w:val="ListParagraph"/>
        <w:numPr>
          <w:ilvl w:val="0"/>
          <w:numId w:val="2"/>
        </w:numPr>
        <w:spacing w:after="70" w:line="288"/>
      </w:pPr>
      <w:r>
        <w:rPr>
          <w:b/>
          <w:bCs/>
        </w:rPr>
        <w:t xml:space="preserve">Νερό:</w:t>
      </w:r>
      <w:r>
        <w:t xml:space="preserve"> φαντασία, ενσυναίσθηση, διαίσθηση, αφήγηση και συναισθηματική σύνδεση.</w:t>
      </w:r>
    </w:p>
    <w:p>
      <w:pPr>
        <w:spacing w:after="120" w:line="288"/>
      </w:pPr>
      <w:r>
        <w:t xml:space="preserve">Η έλλειψη ενός στοιχείου δεν είναι ανικανότητα· περιγράφεται μόνο ως λειτουργία που μπορεί να χρειάζεται περισσότερη συνειδητή καλλιέργεια. Μην εξάγεις συμπέρασμα για ταλέντο μόνο από το κυρίαρχο στοιχείο.</w:t>
      </w:r>
    </w:p>
    <w:p>
      <w:pPr>
        <w:pStyle w:val="Heading1"/>
        <w:keepNext/>
      </w:pPr>
      <w:r>
        <w:t xml:space="preserve">Κανόνας 9. Ξεχώρισε ταλέντο, ενδιαφέρον, δεξιότητα και επίδοση</w:t>
      </w:r>
    </w:p>
    <w:p>
      <w:pPr>
        <w:pStyle w:val="ListParagraph"/>
        <w:numPr>
          <w:ilvl w:val="0"/>
          <w:numId w:val="2"/>
        </w:numPr>
        <w:spacing w:after="70" w:line="288"/>
      </w:pPr>
      <w:r>
        <w:rPr>
          <w:b/>
          <w:bCs/>
        </w:rPr>
        <w:t xml:space="preserve">Ταλέντο:</w:t>
      </w:r>
      <w:r>
        <w:t xml:space="preserve"> δυνατότητα που φαίνεται να μπορεί να αναπτυχθεί αποτελεσματικά.</w:t>
      </w:r>
    </w:p>
    <w:p>
      <w:pPr>
        <w:pStyle w:val="ListParagraph"/>
        <w:numPr>
          <w:ilvl w:val="0"/>
          <w:numId w:val="2"/>
        </w:numPr>
        <w:spacing w:after="70" w:line="288"/>
      </w:pPr>
      <w:r>
        <w:rPr>
          <w:b/>
          <w:bCs/>
        </w:rPr>
        <w:t xml:space="preserve">Ενδιαφέρον:</w:t>
      </w:r>
      <w:r>
        <w:t xml:space="preserve"> δραστηριότητα προς την οποία το άτομο έλκεται ή δείχνει περιέργεια.</w:t>
      </w:r>
    </w:p>
    <w:p>
      <w:pPr>
        <w:pStyle w:val="ListParagraph"/>
        <w:numPr>
          <w:ilvl w:val="0"/>
          <w:numId w:val="2"/>
        </w:numPr>
        <w:spacing w:after="70" w:line="288"/>
      </w:pPr>
      <w:r>
        <w:rPr>
          <w:b/>
          <w:bCs/>
        </w:rPr>
        <w:t xml:space="preserve">Δεξιότητα:</w:t>
      </w:r>
      <w:r>
        <w:t xml:space="preserve"> ικανότητα που έχει ήδη καλλιεργηθεί με μάθηση και εξάσκηση.</w:t>
      </w:r>
    </w:p>
    <w:p>
      <w:pPr>
        <w:pStyle w:val="ListParagraph"/>
        <w:numPr>
          <w:ilvl w:val="0"/>
          <w:numId w:val="2"/>
        </w:numPr>
        <w:spacing w:after="70" w:line="288"/>
      </w:pPr>
      <w:r>
        <w:rPr>
          <w:b/>
          <w:bCs/>
        </w:rPr>
        <w:t xml:space="preserve">Επίδοση:</w:t>
      </w:r>
      <w:r>
        <w:t xml:space="preserve"> αποτέλεσμα που παρατηρείται σε συγκεκριμένες συνθήκες και χρονική περίοδο.</w:t>
      </w:r>
    </w:p>
    <w:p>
      <w:pPr>
        <w:spacing w:after="120" w:line="288"/>
      </w:pPr>
      <w:r>
        <w:t xml:space="preserve">Ένα άτομο μπορεί να ενδιαφέρεται για κάτι χωρίς να έχει ακόμη αναπτύξει δεξιότητα, ή να διαθέτει δυνατότητα σε κάτι που δεν έχει ακόμη γνωρίσει. Μην ταυτίζεις το ταλέντο με τον σχολικό βαθμό.</w:t>
      </w:r>
    </w:p>
    <w:p>
      <w:pPr>
        <w:pStyle w:val="Heading1"/>
        <w:keepNext/>
      </w:pPr>
      <w:r>
        <w:t xml:space="preserve">Κανόνας 10. Ανάδειξη ταλέντων και κανόνας τεκμηρίωσης</w:t>
      </w:r>
    </w:p>
    <w:p>
      <w:pPr>
        <w:spacing w:after="120" w:line="288"/>
      </w:pPr>
      <w:r>
        <w:t xml:space="preserve">Παρουσίασε όλα τα επαρκώς τεκμηριωμένα και ουσιαστικά διαφορετικά ταλέντα· δεν υπάρχει προκαθορισμένος ελάχιστος ή ανώτατος αριθμός. Αν τα διαθέσιμα δεδομένα δεν επαρκούν για κανένα ταλέντο, δήλωσέ το ρητά αντί να επινοήσεις ασθενώς τεκμηριωμένα ταλέντα. Μην χαρακτηρίζεις ως ταλέντο κάθε θετική θέση ή εύκολη όψη, και μην αγνοείς μια πιθανή ικανότητα μόνο επειδή συνδέεται με τετράγωνο ή αντίθεση.</w:t>
      </w:r>
    </w:p>
    <w:p>
      <w:pPr>
        <w:spacing w:after="120" w:line="288"/>
      </w:pPr>
      <w:r>
        <w:rPr>
          <w:b/>
          <w:bCs/>
        </w:rPr>
        <w:t xml:space="preserve">Κανόνας τεκμηρίωσης:</w:t>
      </w:r>
      <w:r>
        <w:t xml:space="preserve"> ένα ταλέντο πρέπει να υποστηρίζεται είτε από δύο ή περισσότερους διακριτούς, μη επαναλαμβανόμενους δείκτες είτε από έναν ιδιαίτερα ισχυρό, άμεσο και σαφώς συναφή δείκτη (π.χ. Στενή/ισχυρή όψη με προσωπικό πλανήτη ή γωνία). Η μορφή κάθε δείκτη στο δελτίο ορίζεται στον Κανόνα 16.</w:t>
      </w:r>
    </w:p>
    <w:p>
      <w:pPr>
        <w:spacing w:after="120" w:line="288"/>
      </w:pPr>
      <w:r>
        <w:rPr>
          <w:b/>
          <w:bCs/>
        </w:rPr>
        <w:t xml:space="preserve">Κανόνας βαρύτητας δεικτών</w:t>
      </w:r>
      <w:r>
        <w:t xml:space="preserve"> (ελέγχεται μηχανικά):</w:t>
      </w:r>
    </w:p>
    <w:p>
      <w:pPr>
        <w:pStyle w:val="ListParagraph"/>
        <w:numPr>
          <w:ilvl w:val="0"/>
          <w:numId w:val="2"/>
        </w:numPr>
        <w:spacing w:after="70" w:line="288"/>
      </w:pPr>
      <w:r>
        <w:t xml:space="preserve">Για να αρκούν δύο δείκτες, τουλάχιστον ένας πρέπει να είναι δείκτης Θέσης (η θέση δεν χρειάζεται κατηγορία βαρύτητας) ή δείκτης Όψης πραγματικής βαρύτητας Στενή/ισχυρή ή Κανονική.</w:t>
      </w:r>
    </w:p>
    <w:p>
      <w:pPr>
        <w:pStyle w:val="ListParagraph"/>
        <w:numPr>
          <w:ilvl w:val="0"/>
          <w:numId w:val="2"/>
        </w:numPr>
        <w:spacing w:after="70" w:line="288"/>
      </w:pPr>
      <w:r>
        <w:t xml:space="preserve">Εξαίρεση: δύο </w:t>
      </w:r>
      <w:r>
        <w:rPr>
          <w:b/>
          <w:bCs/>
        </w:rPr>
        <w:t xml:space="preserve">διακριτές</w:t>
      </w:r>
      <w:r>
        <w:t xml:space="preserve"> όψεις «Πλατιά αλλά έγκυρη» (όχι «Πολύ πλατιά/δευτερεύουσα») που μοιράζονται ένα κοινό σημείο μπορούν μαζί να αρκούν.</w:t>
      </w:r>
    </w:p>
    <w:p>
      <w:pPr>
        <w:pStyle w:val="ListParagraph"/>
        <w:numPr>
          <w:ilvl w:val="0"/>
          <w:numId w:val="2"/>
        </w:numPr>
        <w:spacing w:after="70" w:line="288"/>
      </w:pPr>
      <w:r>
        <w:t xml:space="preserve">Καμία μεμονωμένη ή συνδυασμένη όψη «Πολύ πλατιά/δευτερεύουσα» δεν αρκεί ποτέ ως πρωτεύων δείκτης· μόνο ως δευτερεύουσα απόχρωση.</w:t>
      </w:r>
    </w:p>
    <w:p>
      <w:pPr>
        <w:pStyle w:val="ListParagraph"/>
        <w:numPr>
          <w:ilvl w:val="0"/>
          <w:numId w:val="2"/>
        </w:numPr>
        <w:spacing w:after="70" w:line="288"/>
      </w:pPr>
      <w:r>
        <w:t xml:space="preserve">Ο «Μοναδικός ισχυρός δείκτης» πρέπει να είναι όψη πραγματικής βαρύτητας Στενή/ισχυρή· Κανονική ή πλατύτερη βαρύτητα δεν αρκεί.</w:t>
      </w:r>
    </w:p>
    <w:p>
      <w:pPr>
        <w:spacing w:after="120" w:line="288"/>
      </w:pPr>
      <w:r>
        <w:rPr>
          <w:b/>
          <w:bCs/>
        </w:rPr>
        <w:t xml:space="preserve">Τι μετράει ως διακριτός δείκτης:</w:t>
      </w:r>
      <w:r>
        <w:t xml:space="preserve"> δύο διαφορετικοί πλανήτες στο ίδιο ζώδιο ή στον ίδιο Οίκο (δύο δείκτες)· μία θέση πλανήτη και μία όψη του ίδιου πλανήτη προς διαφορετικό πλανήτη (δύο)· δύο ξεχωριστές όψεις του ίδιου πλανήτη προς δύο διαφορετικά σημεία (δύο).</w:t>
      </w:r>
    </w:p>
    <w:p>
      <w:pPr>
        <w:spacing w:after="120" w:line="288"/>
      </w:pPr>
      <w:r>
        <w:rPr>
          <w:b/>
          <w:bCs/>
        </w:rPr>
        <w:t xml:space="preserve">Τι ΔΕΝ μετράει ως νέος δείκτης:</w:t>
      </w:r>
      <w:r>
        <w:t xml:space="preserve"> η ίδια όψη αναφερόμενη ξανά αλλού (π.χ. επειδή αφορά και δεύτερο Οίκο μέσω κυβερνήτη)· δύο πλανήτες που έχουν ήδη μετρηθεί μέσω της μεταξύ τους όψης, αν παρουσιαστούν ξανά ως ξεχωριστές θέσεις για το ίδιο ταλέντο· ένα ζώδιο ή Οίκος από μόνος του, χωρίς συγκεκριμένο πλανήτη ή όψη.</w:t>
      </w:r>
    </w:p>
    <w:p>
      <w:pPr>
        <w:spacing w:after="120" w:line="288"/>
      </w:pPr>
      <w:r>
        <w:rPr>
          <w:b/>
          <w:bCs/>
        </w:rPr>
        <w:t xml:space="preserve">Εσωτερική ιεράρχηση:</w:t>
      </w:r>
      <w:r>
        <w:t xml:space="preserve"> οι όροι «κυρίαρχο», «βασικό» και «αναδυόμενο» χρησιμοποιούνται αποκλειστικά στο δελτίο για τη σειρά και την έκταση παρουσίασης, με βάση τον αριθμό, την ισχύ, την αμεσότητα και τη συνάφεια των δεικτών. Δεν εμφανίζονται ποτέ στο καθαρό παραδοτέο.</w:t>
      </w:r>
    </w:p>
    <w:p>
      <w:pPr>
        <w:spacing w:after="120" w:line="288"/>
      </w:pPr>
      <w:r>
        <w:rPr>
          <w:b/>
          <w:bCs/>
        </w:rPr>
        <w:t xml:space="preserve">Κανόνας ενοποίησης:</w:t>
      </w:r>
      <w:r>
        <w:t xml:space="preserve"> αν δύο υποψήφια ταλέντα περιγράφουν ουσιαστικά την ίδια λειτουργική δυνατότητα, ενοποιούνται σε ένα, ακόμη και όταν προκύπτουν από διαφορετικούς δείκτες (π.χ. «Αναλυτική σκέψη» και «Ανάλυση με προσοχή στη λεπτομέρεια»). Αν είναι απλώς θεματικά συγγενικά αλλά περιγράφουν διαφορετικές λειτουργίες (π.χ. «Αναλυτική σκέψη» και «Εκφραστική επικοινωνία»), παρουσιάζονται ξεχωριστά, με ρητή σημείωση της επικάλυψης στο δελτίο.</w:t>
      </w:r>
    </w:p>
    <w:p>
      <w:pPr>
        <w:spacing w:after="120" w:line="288"/>
      </w:pPr>
      <w:r>
        <w:rPr>
          <w:b/>
          <w:bCs/>
        </w:rPr>
        <w:t xml:space="preserve">Άξονας των Δεσμών:</w:t>
      </w:r>
      <w:r>
        <w:t xml:space="preserve"> ο Βόρειος και ο Νότιος Δεσμός περιγράφουν πρωτίστως συμβολική κατεύθυνση εξέλιξης και δεν αποτελούν από μόνοι τους επαρκή τεκμηρίωση ταλέντου. Ένα υποψήφιο ταλέντο που στηρίζεται κυρίως σε αυτούς δεν μετρά χωρίς τουλάχιστον έναν ανεξάρτητο λειτουργικό δείκτη για το ίδιο συγκεκριμένο νόημα. Αν δεν υπάρχει τέτοιος δείκτης, το νόημα καταγράφεται </w:t>
      </w:r>
      <w:r>
        <w:rPr>
          <w:b/>
          <w:bCs/>
        </w:rPr>
        <w:t xml:space="preserve">μόνο</w:t>
      </w:r>
      <w:r>
        <w:t xml:space="preserve"> στην ενότητα «ΣΥΜΒΟΛΙΚΗ ΚΑΤΕΥΘΥΝΣΗ ΕΞΕΛΙΞΗΣ» του δελτίου και δεν εμφανίζεται καθόλου στο καθαρό παραδοτέο. Οι όψεις των Δεσμών καταγράφονται κανονικά στο Παράρτημα κάλυψης (Κανόνας 7).</w:t>
      </w:r>
    </w:p>
    <w:p>
      <w:pPr>
        <w:spacing w:after="120" w:line="288"/>
      </w:pPr>
      <w:r>
        <w:rPr>
          <w:b/>
          <w:bCs/>
        </w:rPr>
        <w:t xml:space="preserve">Για κάθε ταλέντο γράψε στο δελτίο</w:t>
      </w:r>
      <w:r>
        <w:t xml:space="preserve"> (τίποτα από αυτά δεν περνά στο καθαρό παραδοτέο):</w:t>
      </w:r>
    </w:p>
    <w:p>
      <w:pPr>
        <w:pStyle w:val="ListParagraph"/>
        <w:numPr>
          <w:ilvl w:val="0"/>
          <w:numId w:val="2"/>
        </w:numPr>
        <w:spacing w:after="70" w:line="288"/>
      </w:pPr>
      <w:r>
        <w:t xml:space="preserve">το ταλέντο σε απλή γλώσσα·</w:t>
      </w:r>
    </w:p>
    <w:p>
      <w:pPr>
        <w:pStyle w:val="ListParagraph"/>
        <w:numPr>
          <w:ilvl w:val="0"/>
          <w:numId w:val="2"/>
        </w:numPr>
        <w:spacing w:after="70" w:line="288"/>
      </w:pPr>
      <w:r>
        <w:t xml:space="preserve">ποια διακριτά δεδομένα το υποστηρίζουν (οι γραμμές «Δείκτης»)·</w:t>
      </w:r>
    </w:p>
    <w:p>
      <w:pPr>
        <w:pStyle w:val="ListParagraph"/>
        <w:numPr>
          <w:ilvl w:val="0"/>
          <w:numId w:val="2"/>
        </w:numPr>
        <w:spacing w:after="70" w:line="288"/>
      </w:pPr>
      <w:r>
        <w:t xml:space="preserve">πώς μπορεί να εμφανίζεται στην καθημερινότητα·</w:t>
      </w:r>
    </w:p>
    <w:p>
      <w:pPr>
        <w:pStyle w:val="ListParagraph"/>
        <w:numPr>
          <w:ilvl w:val="0"/>
          <w:numId w:val="2"/>
        </w:numPr>
        <w:spacing w:after="70" w:line="288"/>
      </w:pPr>
      <w:r>
        <w:t xml:space="preserve">πώς μπορεί να καλλιεργηθεί·</w:t>
      </w:r>
    </w:p>
    <w:p>
      <w:pPr>
        <w:pStyle w:val="ListParagraph"/>
        <w:numPr>
          <w:ilvl w:val="0"/>
          <w:numId w:val="2"/>
        </w:numPr>
        <w:spacing w:after="70" w:line="288"/>
      </w:pPr>
      <w:r>
        <w:t xml:space="preserve">μία πρακτική, ηλικιακά κατάλληλη δραστηριότητα δοκιμής.</w:t>
      </w:r>
    </w:p>
    <w:p>
      <w:pPr>
        <w:pStyle w:val="Heading1"/>
        <w:keepNext/>
      </w:pPr>
      <w:r>
        <w:t xml:space="preserve">Κανόνας 11. Σημείωση για πυκνά διασυνδεδεμένους χάρτες</w:t>
      </w:r>
    </w:p>
    <w:p>
      <w:pPr>
        <w:spacing w:after="120" w:line="288"/>
      </w:pPr>
      <w:r>
        <w:t xml:space="preserve">Ορισμένοι χάρτες έχουν ασυνήθιστα πυκνή διασύνδεση: πολλοί πλανήτες συγκεντρωμένοι στους ίδιους Οίκους ή πολλαπλές πολύ στενές όψεις. Σε τέτοιους χάρτες αναμένεται να προκύπτουν περισσότερα ταλέντα που πληρούν το κατώφλι του «κυρίαρχου». Η διαδοχική παρουσίαση πολλών ισχυρών ταλέντων μπορεί να δημιουργήσει εντύπωση βεβαιότητας, γι’ αυτό χρειάζεται ξεχωριστή διευκρίνιση.</w:t>
      </w:r>
    </w:p>
    <w:p>
      <w:pPr>
        <w:spacing w:after="120" w:line="288"/>
      </w:pPr>
      <w:r>
        <w:rPr>
          <w:b/>
          <w:bCs/>
        </w:rPr>
        <w:t xml:space="preserve">Ενεργοποίηση:</w:t>
      </w:r>
      <w:r>
        <w:t xml:space="preserve"> μόνο όταν </w:t>
      </w:r>
      <w:r>
        <w:rPr>
          <w:b/>
          <w:bCs/>
        </w:rPr>
        <w:t xml:space="preserve">πέντε ή περισσότερα</w:t>
      </w:r>
      <w:r>
        <w:t xml:space="preserve"> ταλέντα πληρούν εσωτερικά το κατώφλι του «κυρίαρχου». Με τέσσερα ή λιγότερα η σημείωση δεν μπαίνει.</w:t>
      </w:r>
    </w:p>
    <w:p>
      <w:pPr>
        <w:spacing w:after="120" w:line="288"/>
      </w:pPr>
      <w:r>
        <w:rPr>
          <w:b/>
          <w:bCs/>
        </w:rPr>
        <w:t xml:space="preserve">Υποχρεωτική μορφή:</w:t>
      </w:r>
    </w:p>
    <w:p>
      <w:pPr>
        <w:pStyle w:val="ListParagraph"/>
        <w:numPr>
          <w:ilvl w:val="0"/>
          <w:numId w:val="2"/>
        </w:numPr>
        <w:spacing w:after="70" w:line="288"/>
      </w:pPr>
      <w:r>
        <w:t xml:space="preserve">Μία μόνο παράγραφος, πλάγια γραφή, ως πρώτη παράγραφος της ενότητας «Ταλέντα προς διερεύνηση» (Κανόνας 3.2).</w:t>
      </w:r>
    </w:p>
    <w:p>
      <w:pPr>
        <w:pStyle w:val="ListParagraph"/>
        <w:numPr>
          <w:ilvl w:val="0"/>
          <w:numId w:val="2"/>
        </w:numPr>
        <w:spacing w:after="70" w:line="288"/>
      </w:pPr>
      <w:r>
        <w:t xml:space="preserve">Ξεκινά </w:t>
      </w:r>
      <w:r>
        <w:rPr>
          <w:b/>
          <w:bCs/>
        </w:rPr>
        <w:t xml:space="preserve">αυτούσια</w:t>
      </w:r>
      <w:r>
        <w:t xml:space="preserve"> με τη φράση «Σημείωση πριν διαβάσεις τις κάρτες:». Η φράση είναι υποχρεωτική, όχι παράδειγμα: ο αυτόματος έλεγχος αναγνωρίζει τη σημείωση μόνο από αυτήν και, χωρίς αυτήν, τη μετρά λανθασμένα ως ταλέντο.</w:t>
      </w:r>
    </w:p>
    <w:p>
      <w:pPr>
        <w:pStyle w:val="ListParagraph"/>
        <w:numPr>
          <w:ilvl w:val="0"/>
          <w:numId w:val="2"/>
        </w:numPr>
        <w:spacing w:after="70" w:line="288"/>
      </w:pPr>
      <w:r>
        <w:t xml:space="preserve">Δεν περιέχει τις λέξεις «δείκτης» ή «τεκμηρίωση», ούτε τις εσωτερικές κατηγορίες «κυρίαρχο», «βασικό», «αναδυόμενο».</w:t>
      </w:r>
    </w:p>
    <w:p>
      <w:pPr>
        <w:spacing w:after="120" w:line="288"/>
      </w:pPr>
      <w:r>
        <w:t xml:space="preserve">Υποχρεωτικό δείγμα διατύπωσης (το περιεχόμενο μετά τη φράση μπορεί να προσαρμοστεί ελαφρά):</w:t>
      </w:r>
    </w:p>
    <w:p>
      <w:pPr>
        <w:spacing w:after="120" w:line="288"/>
        <w:ind w:left="567" w:right="567"/>
      </w:pPr>
      <w:r>
        <w:rPr>
          <w:i/>
          <w:iCs/>
        </w:rPr>
        <w:t xml:space="preserve">Σημείωση πριν διαβάσεις τις κάρτες: Η ανάλυση δείχνει ασυνήθιστα πολλές και στενές συνδέσεις, γι’ αυτό εμφανίζονται περισσότερα ταλέντα από το σύνηθες. Αυτό δεν σημαίνει ότι πρόκειται για βεβαιωμένα χαρακτηριστικά ή προβλέψεις. Σημαίνει ότι υπάρχουν περισσότερες πιθανές κατευθύνσεις που αξίζει να διερευνηθούν και να δοκιμαστούν στην πράξη.</w:t>
      </w:r>
    </w:p>
    <w:p>
      <w:pPr>
        <w:pStyle w:val="Heading1"/>
        <w:keepNext/>
      </w:pPr>
      <w:r>
        <w:t xml:space="preserve">Κανόνας 12. Επιλογή επαγγελματικών τομέων</w:t>
      </w:r>
    </w:p>
    <w:p>
      <w:pPr>
        <w:spacing w:after="120" w:line="288"/>
      </w:pPr>
      <w:r>
        <w:t xml:space="preserve">Με βάση </w:t>
      </w:r>
      <w:r>
        <w:rPr>
          <w:b/>
          <w:bCs/>
        </w:rPr>
        <w:t xml:space="preserve">μόνο</w:t>
      </w:r>
      <w:r>
        <w:t xml:space="preserve"> τα ταλέντα που έχουν ήδη τεκμηριωθεί, εντόπισε τους επαγγελματικούς τομείς στους οποίους θα μπορούσαν να αξιοποιηθούν. Μην ξεκινάς από ένα συγκεκριμένο επάγγελμα.</w:t>
      </w:r>
    </w:p>
    <w:p>
      <w:pPr>
        <w:spacing w:after="120" w:line="288"/>
      </w:pPr>
      <w:r>
        <w:t xml:space="preserve">Δεν υπάρχει ελάχιστος ή μέγιστος αριθμός τομέων. Συμπερίλαβε κάθε τομέα για τον οποίο μπορείς να εξηγήσεις σαφώς ποιο ή ποια τεκμηριωμένα ταλέντα αξιοποιεί. Κάθε τομέας συνδέεται με τουλάχιστον ένα ταλέντο· όταν συνδέεται ουσιαστικά με περισσότερα, αναφέρονται όλα, χωρίς να απαιτείται τεχνητά δεύτερο ταλέντο. Παρόμοιοι ή επικαλυπτόμενοι τομείς ενοποιούνται. Μην προσθέτεις τομέα μόνο λόγω γενικής ομοιότητας και μην παραλείπεις τεκμηριωμένο τομέα για λόγους συντομίας.</w:t>
      </w:r>
    </w:p>
    <w:p>
      <w:pPr>
        <w:spacing w:after="120" w:line="288"/>
      </w:pPr>
      <w:r>
        <w:t xml:space="preserve">Ο κατάλογος που ακολουθεί είναι αφετηρία, όχι κλειστή λίστα. Τα επαγγέλματα κάθε τομέα δείχνουν τι μπορεί να περιλαμβάνει και δεν αποτελούν αυτόματες προτάσεις. Αν μια ουσιαστική κατεύθυνση δεν καλύπτεται, έλεγξε πρώτα αν εντάσσεται σε υπάρχοντα τομέα· αν όχι, δημιούργησε νέο τομέα με ευρύ, κατανοητό τίτλο και κατάγραψε πρώτα στο δελτίο γιατί χρειάζεται, ποια ταλέντα αξιοποιεί και ποια επαγγέλματα περιλαμβάνει.</w:t>
      </w:r>
    </w:p>
    <w:p>
      <w:pPr>
        <w:spacing w:after="120" w:line="288"/>
      </w:pPr>
      <w:r>
        <w:rPr>
          <w:b/>
          <w:bCs/>
        </w:rPr>
        <w:t xml:space="preserve">(*) Τομείς υγεία</w:t>
      </w:r>
      <w:r>
        <w:rPr>
          <w:b/>
          <w:bCs/>
        </w:rPr>
        <w:t xml:space="preserve"> οι τομείς που σημειώνονται με αστερίσκο, και κάθε επάγγελμα υγείας από οποιονδήποτε τομέα, επιτρέπονται </w:t>
      </w:r>
      <w:r>
        <w:t xml:space="preserve">μόνο** όταν ικανοποιείται ο φραγμός υγείας του Κανόνα 15.</w:t>
      </w:r>
    </w:p>
    <w:tbl>
      <w:tblPr>
        <w:tblW w:type="dxa" w:w="9138"/>
        <w:tblBorders>
          <w:top w:val="single" w:color="auto" w:sz="4"/>
          <w:left w:val="single" w:color="auto" w:sz="4"/>
          <w:bottom w:val="single" w:color="auto" w:sz="4"/>
          <w:right w:val="single" w:color="auto" w:sz="4"/>
          <w:insideH w:val="single" w:color="auto" w:sz="4"/>
          <w:insideV w:val="single" w:color="auto" w:sz="4"/>
        </w:tblBorders>
      </w:tblPr>
      <w:tblGrid>
        <w:gridCol w:w="3400"/>
        <w:gridCol w:w="5738"/>
      </w:tblGrid>
      <w:tr>
        <w:trPr>
          <w:cantSplit/>
          <w:tblHeader/>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0"/>
                <w:szCs w:val="20"/>
              </w:rPr>
              <w:t xml:space="preserve">Επαγγελματικός τομέας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0"/>
                <w:szCs w:val="20"/>
              </w:rPr>
              <w:t xml:space="preserve">Ενδεικτικά επαγγέλματα</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Εκπαίδευση και μάθηση</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Εκπαιδευτικός, νηπιαγωγός, εκπαιδευτής ενηλίκων, σχεδιαστής εκπαιδευτικού υλικού</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Επικοινωνία και μέσα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Δημοσιογράφος, συντάκτης περιεχομένου, επιμελητής περιεχομένου, υπεύθυνος δημοσίων σχέσεων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Οργάνωση και διοίκηση έργων</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Συντονιστής έργων, διαχειριστής έργων, υπεύθυνος λειτουργιών, υπεύθυνος οργάνωσης διαδικασιών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Έρευνα και ανάπτυξη</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Ερευνητής, βοηθός έρευνας, υπεύθυνος έρευνας και ανάπτυξης, σχεδιαστής υπηρεσιών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Τεχνολογία και ψηφιακά συστήματα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Προγραμματιστής, μηχανικός λογισμικού, αναλυτής συστημάτων, ειδικός κυβερνοασφάλειας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Μαθηματικά και δεδομένα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Μαθηματικός, στατιστικός, αναλυτής δεδομένων, αναλογιστής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Μηχανική και τεχνικές εφαρμογές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Πολιτικός μηχανικός, μηχανολόγος μηχανικός, ηλεκτρολόγος μηχανικός, τεχνικός αυτοματισμών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Αρχιτεκτονική και χωρικός σχεδιασμός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Αρχιτέκτονας, πολεοδόμος, αρχιτέκτονας τοπίου, σχεδιαστής εσωτερικών χώρων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Υγεία και θεραπευτικές υπηρεσίες (*)</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Ιατρός, νοσηλευτής, φαρμακοποιός, φυσικοθεραπευτής, εργοθεραπευτής, λογοθεραπευτής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Ψυχολογία και κοινωνική φροντίδα (*)</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Ψυχολόγος, κοινωνικός λειτουργός, σύμβουλος ψυχικής υγείας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Κοινωνικές επιστήμες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Κοινωνιολόγος, κοινωνικός ανθρωπολόγος, δημογράφος, ερευνητής κοινωνικών θεμάτων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Διατροφή και διαιτολογία (*)</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Διαιτολόγος, διατροφολόγος, ερευνητής διατροφής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Περιβάλλον και ενέργεια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Περιβαλλοντολόγος, μηχανικός ενέργειας, ειδικός ανανεώσιμων πηγών ενέργειας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Επιχειρήσεις και επιχειρηματικότητα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Επιχειρηματίας, σύμβουλος επιχειρήσεων, υπεύθυνος επιχειρηματικής ανάπτυξης, υπεύθυνος μάρκετινγκ</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Οικονομικά και χρηματοοικονομικές υπηρεσίες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Οικονομολόγος, λογιστής, ελεγκτής, χρηματοοικονομικός αναλυτής, ασφαλιστικός σύμβουλος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Νομική και δικαιοσύνη</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Δικηγόρος, νομικός σύμβουλος, δικαστής, εισαγγελέας, διαμεσολαβητής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Δημόσια διοίκηση</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Διοικητικός λειτουργός, στέλεχος δημόσιας διοίκησης, υπεύθυνος προγραμμάτων τοπικής αυτοδιοίκησης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Πολιτική και δημόσια πολιτική</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Πολιτικός επιστήμονας, πολιτικός αναλυτής, σύμβουλος δημόσιας πολιτικής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Γλώσσες και ανθρωπιστικές σπουδές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Μεταφραστής, διερμηνέας, φιλόλογος, γλωσσολόγος, επιμελητής κειμένων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Θεολογία και θρησκευτικές σπουδές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Θεολόγος, κληρικός, ερευνητής θρησκευτικών σπουδών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Εικαστικές τέχνες και οπτικός σχεδιασμός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Ζωγράφος, γλύπτης, φωτογράφος, γραφίστας, εικονογράφος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Παραστατικές τέχνες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Ηθοποιός, χορευτής, χορογράφος, σκηνοθέτης θεάτρου, σκηνογράφος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Μουσική και ήχος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Μουσικός, συνθέτης, τραγουδιστής, μουσικός παραγωγός, ηχολήπτης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Κινηματογράφος και οπτικοακουστικά μέσα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Σκηνοθέτης κινηματογράφου, σεναριογράφος, μοντέρ, διευθυντής φωτογραφίας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Μόδα και δημιουργικός σχεδιασμός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Σχεδιαστής μόδας, σχεδιαστής ενδυμάτων, σχεδιαστής κοσμημάτων, δημιουργός αξεσουάρ</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Ομορφιά και προσωπική φροντίδα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Αισθητικός, κομμωτής, κουρέας, ειδικός μακιγιάζ</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Τουρισμός και φιλοξενία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Υπεύθυνος ξενοδοχείου, ταξιδιωτικός σύμβουλος, ξεναγός, μάγειρας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Εμπόριο και εξυπηρέτηση πελατών</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Πωλητής, υπεύθυνος καταστήματος, σύμβουλος εξυπηρέτησης πελατών, υπεύθυνος ηλεκτρονικού εμπορίου</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Γεωργία, δασολογία και ζωική παραγωγή</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Γεωπόνος, δασολόγος, αγρότης, κτηνοτρόφος, ιχθυολόγος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Τρόφιμα και αγροδιατροφή</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Τεχνολόγος τροφίμων, οινολόγος, υπεύθυνος ποιότητας τροφίμων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Μεταφορές, ναυτιλία και εφοδιαστική</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Πλοίαρχος, μηχανικός εμπορικού ναυτικού, στέλεχος ναυτιλίας, οδηγός επαγγελματικού οχήματος, υπεύθυνος εφοδιαστικής αλυσίδας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Αθλητισμός και άσκηση</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Προπονητής, γυμναστής, εκπαιδευτής άσκησης, υπεύθυνος αθλητικών προγραμμάτων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Ασφάλεια και υπηρεσίες έκτακτης ανάγκης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Αστυνομικός, πυροσβέστης, διασώστης, στέλεχος πολιτικής προστασίας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Αεροπορία και διάστημα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Πιλότος, ελεγκτής εναέριας κυκλοφορίας, μηχανικός αεροσκαφών, ειδικός δορυφορικών εφαρμογών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Βιοεπιστήμες και βιοτεχνολογία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Βιολόγος, βιοτεχνολόγος, γενετιστής, βιοχημικός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Παιχνίδια και διαδραστικές εμπειρίες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Σχεδιαστής ψηφιακών παιχνιδιών, προγραμματιστής παιχνιδιών, σχεδιαστής διαδραστικών εμπειριών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Πολιτισμός και πολιτιστική κληρονομιά</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Αρχαιολόγος, μουσειολόγος, συντηρητής έργων τέχνης, επιμελητής εκθέσεων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Διεθνείς σχέσεις και ανθρωπιστική δράση</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Διπλωμάτης, αναλυτής διεθνών σχέσεων, στέλεχος διεθνούς οργανισμού, συντονιστής ανθρωπιστικών προγραμμάτων</w:t>
            </w:r>
          </w:p>
        </w:tc>
      </w:tr>
    </w:tbl>
    <w:p>
      <w:pPr>
        <w:spacing w:after="120" w:line="288"/>
      </w:pPr>
    </w:p>
    <w:p>
      <w:pPr>
        <w:pStyle w:val="Heading1"/>
        <w:keepNext/>
      </w:pPr>
      <w:r>
        <w:t xml:space="preserve">Κανόνας 13. Σύνδεση κάθε τομέα με ταλέντα και επαγγέλματα</w:t>
      </w:r>
    </w:p>
    <w:p>
      <w:pPr>
        <w:spacing w:after="120" w:line="288"/>
      </w:pPr>
      <w:r>
        <w:t xml:space="preserve">Για κάθε τομέα που επιλέγεται, το δελτίο καταγράφει ποιο ή ποια ταλέντα αξιοποιεί και ποια επαγγέλματα περιλαμβάνει. Στο καθαρό παραδοτέο αυτά γράφονται με τη μορφή του Κανόνα 3.3:</w:t>
      </w:r>
    </w:p>
    <w:p>
      <w:pPr>
        <w:pStyle w:val="ListParagraph"/>
        <w:numPr>
          <w:ilvl w:val="0"/>
          <w:numId w:val="2"/>
        </w:numPr>
        <w:spacing w:after="70" w:line="288"/>
      </w:pPr>
      <w:r>
        <w:rPr>
          <w:b/>
          <w:bCs/>
        </w:rPr>
        <w:t xml:space="preserve">Γιατί μπορεί να ταιριάζει:</w:t>
      </w:r>
      <w:r>
        <w:t xml:space="preserve"> ποιο ή ποια από τα ήδη τεκμηριωμένα ταλέντα μπορεί να αξιοποιεί.</w:t>
      </w:r>
    </w:p>
    <w:p>
      <w:pPr>
        <w:pStyle w:val="ListParagraph"/>
        <w:numPr>
          <w:ilvl w:val="0"/>
          <w:numId w:val="2"/>
        </w:numPr>
        <w:spacing w:after="70" w:line="288"/>
      </w:pPr>
      <w:r>
        <w:rPr>
          <w:b/>
          <w:bCs/>
        </w:rPr>
        <w:t xml:space="preserve">Ενδεικτικά επαγγέλματα:</w:t>
      </w:r>
      <w:r>
        <w:t xml:space="preserve"> συγκεκριμένα, ηλικιακά κατάλληλα επαγγέλματα του τομέα, όσα προκύπτουν φυσικά από τα ταλέντα, χωρίς σταθερό αριθμό.</w:t>
      </w:r>
    </w:p>
    <w:p>
      <w:pPr>
        <w:spacing w:after="120" w:line="288"/>
      </w:pPr>
      <w:r>
        <w:t xml:space="preserve">Μπορείς να επιλέξεις επαγγέλματα εκτός καταλόγου, εφόσον αιτιολογούνται για το συγκεκριμένο άτομο. </w:t>
      </w:r>
      <w:r>
        <w:rPr>
          <w:b/>
          <w:bCs/>
        </w:rPr>
        <w:t xml:space="preserve">Οι ονομασίες τομέων και επαγγελμάτων είναι ακριβώς ίδιες στα δύο αρχεία.</w:t>
      </w:r>
    </w:p>
    <w:p>
      <w:pPr>
        <w:spacing w:after="120" w:line="288"/>
      </w:pPr>
      <w:r>
        <w:t xml:space="preserve">Στο </w:t>
      </w:r>
      <w:r>
        <w:rPr>
          <w:b/>
          <w:bCs/>
        </w:rPr>
        <w:t xml:space="preserve">καθαρό παραδοτέο</w:t>
      </w:r>
      <w:r>
        <w:t xml:space="preserve"> τα επαγγέλματα μπαίνουν μόνο μέσα στον τομέα τους· δεν δημιουργείται δεύτερη, ξεχωριστή λίστα επαγγελμάτων και δεν επαναλαμβάνονται οι τομείς. (Οι λίστες εγκεκριμένων του Κανόνα 14 υπάρχουν μόνο στο δελτίο.) Τα επαγγέλματα παρουσιάζονται ως δυνατότητες προς διερεύνηση, χωρίς να αποδίδονται στο άτομο βέβαιες προτιμήσεις, αποκτημένες δεξιότητες ή προβλεπόμενη επιτυχία.</w:t>
      </w:r>
    </w:p>
    <w:p>
      <w:pPr>
        <w:spacing w:after="120" w:line="288"/>
      </w:pPr>
      <w:r>
        <w:t xml:space="preserve">Όπου δύο τεκμηριωμένοι τομείς μπορούν να συνδυαστούν ουσιαστικά, η σύνδεση αναδεικνύεται στην Τελική Σύνθεση, χωρίς να δημιουργείται νέος τομέας.</w:t>
      </w:r>
    </w:p>
    <w:p>
      <w:pPr>
        <w:pStyle w:val="Heading1"/>
        <w:keepNext/>
      </w:pPr>
      <w:r>
        <w:t xml:space="preserve">Κανόνας 14. Κανόνας συνέπειας ταλέντων, τομέων και επαγγελμάτων</w:t>
      </w:r>
    </w:p>
    <w:p>
      <w:pPr>
        <w:spacing w:after="120" w:line="288"/>
      </w:pPr>
      <w:r>
        <w:t xml:space="preserve">Στο τεχνικό δελτίο υπάρχουν υποχρεωτικά δύο ενότητες με αυτούς ακριβώς τους τίτλους, στην αρχή δικής τους γραμμής:</w:t>
      </w:r>
    </w:p>
    <w:p>
      <w:pPr>
        <w:pStyle w:val="ListParagraph"/>
        <w:numPr>
          <w:ilvl w:val="0"/>
          <w:numId w:val="2"/>
        </w:numPr>
        <w:spacing w:after="70" w:line="288"/>
      </w:pPr>
      <w:r>
        <w:t xml:space="preserve">«ΕΓΚΕΚΡΙΜΕΝΟΙ ΕΠΑΓΓΕΛΜΑΤΙΚΟΙ ΤΟΜΕΙΣ»</w:t>
      </w:r>
    </w:p>
    <w:p>
      <w:pPr>
        <w:pStyle w:val="ListParagraph"/>
        <w:numPr>
          <w:ilvl w:val="0"/>
          <w:numId w:val="2"/>
        </w:numPr>
        <w:spacing w:after="70" w:line="288"/>
      </w:pPr>
      <w:r>
        <w:t xml:space="preserve">«ΕΓΚΕΚΡΙΜΕΝΑ ΕΠΑΓΓΕΛΜΑΤΑ»</w:t>
      </w:r>
    </w:p>
    <w:p>
      <w:pPr>
        <w:spacing w:after="120" w:line="288"/>
      </w:pPr>
      <w:r>
        <w:rPr>
          <w:b/>
          <w:bCs/>
        </w:rPr>
        <w:t xml:space="preserve">Μορφή:</w:t>
      </w:r>
      <w:r>
        <w:t xml:space="preserve"> κάθε ενότητα περιέχει μόνο μία λίστα, με </w:t>
      </w:r>
      <w:r>
        <w:rPr>
          <w:b/>
          <w:bCs/>
        </w:rPr>
        <w:t xml:space="preserve">ένα σκέτο όνομα ανά γραμμή</w:t>
      </w:r>
      <w:r>
        <w:t xml:space="preserve">: χωρίς αρίθμηση τύπου «Τομέας 1:», χωρίς επεξηγηματική παρένθεση, χωρίς συνδεδεμένα ταλέντα στην ίδια γραμμή. Η σύνδεση τομέων με ταλέντα γράφεται σε χωριστή ενότητα του δελτίου (Κανόνας 16).</w:t>
      </w:r>
    </w:p>
    <w:p>
      <w:pPr>
        <w:spacing w:after="120" w:line="288"/>
      </w:pPr>
      <w:r>
        <w:rPr>
          <w:b/>
          <w:bCs/>
        </w:rPr>
        <w:t xml:space="preserve">Πληρότητα:</w:t>
      </w:r>
      <w:r>
        <w:t xml:space="preserve"> κάθε τίτλος τομέα και κάθε όνομα επαγγέλματος του καθαρού παραδοτέου εμφανίζεται αυτούσιο σε αυτές τις λίστες. Η επεξηγηματική παρένθεση του καθαρού παραδοτέου δεν γράφεται στη λίστα· μόνο το όνομα.</w:t>
      </w:r>
    </w:p>
    <w:p>
      <w:pPr>
        <w:pStyle w:val="Heading1"/>
        <w:keepNext/>
      </w:pPr>
      <w:r>
        <w:t xml:space="preserve">Κανόνας 15. Φραγμός τομέα και επαγγελμάτων υγείας</w:t>
      </w:r>
    </w:p>
    <w:p>
      <w:pPr>
        <w:spacing w:after="120" w:line="288"/>
      </w:pPr>
      <w:r>
        <w:t xml:space="preserve">Απαγορεύεται να δημιουργηθεί τομέας υγείας ή επάγγελμα υγείας μόνο από γενικές έννοιες όπως «φροντίδα», «ενσυναίσθηση», «θεραπευτική ποιότητα», «ακρίβεια», «βελτίωση» ή «βοήθεια». Αν υπάρχει μόνο τέτοια ένδειξη, χρησιμοποίησε αυτές τις ουδέτερες έννοιες χωρίς να τις μετατρέψεις σε επάγγελμα υγείας.</w:t>
      </w:r>
    </w:p>
    <w:p>
      <w:pPr>
        <w:spacing w:after="120" w:line="288"/>
      </w:pPr>
      <w:r>
        <w:t>Επαγγέλματα όπως ιατρός/γιατρός, νοσηλευτής, φαρμακοποιός, ψυχολόγος, εργοθεραπευτής, φυσικοθεραπευτής, διατροφολόγος, οδοντίατρος, κτηνίατρος ή μαία — καθώς και κάθε ιατρική ειδικότητα (π.χ. καρδιολόγος, νευρολόγος, παιδίατρος, ψυχίατρος, ογκολόγος, δερματολόγος, ακτινολόγος, χειρουργός) και κάθε θεραπευτής (π.χ. λογοθεραπευτής) — επιτρέπονται μόνο όταν το δελτίο περιέχει χωριστή ενότητα με τίτλο «ΡΗΤΗ ΤΕΚΜΗΡΙΩΣΗ ΤΟΜΕΑ ΥΓΕΙΑΣ», με:</w:t>
      </w:r>
      <w:r>
        <w:rPr>
          <w:b/>
          <w:bCs/>
        </w:rPr>
      </w:r>
      <w:r/>
    </w:p>
    <w:p>
      <w:pPr>
        <w:pStyle w:val="ListParagraph"/>
        <w:numPr>
          <w:ilvl w:val="0"/>
          <w:numId w:val="2"/>
        </w:numPr>
        <w:spacing w:after="70" w:line="288"/>
      </w:pPr>
      <w:r>
        <w:t xml:space="preserve">μία γραμμή «Δείκτης 1:» και μία γραμμή «Δείκτης 2:», στη δομημένη μορφή του Κανόνα 16·</w:t>
      </w:r>
    </w:p>
    <w:p>
      <w:pPr>
        <w:pStyle w:val="ListParagraph"/>
        <w:numPr>
          <w:ilvl w:val="0"/>
          <w:numId w:val="2"/>
        </w:numPr>
        <w:spacing w:after="70" w:line="288"/>
      </w:pPr>
      <w:r>
        <w:t xml:space="preserve">δύο </w:t>
      </w:r>
      <w:r>
        <w:rPr>
          <w:b/>
          <w:bCs/>
        </w:rPr>
        <w:t xml:space="preserve">διαφορετικούς</w:t>
      </w:r>
      <w:r>
        <w:t xml:space="preserve"> λειτουργικούς δείκτες που στηρίζουν ειδικά τον κλάδο της υγείας·</w:t>
      </w:r>
    </w:p>
    <w:p>
      <w:pPr>
        <w:pStyle w:val="ListParagraph"/>
        <w:numPr>
          <w:ilvl w:val="0"/>
          <w:numId w:val="2"/>
        </w:numPr>
        <w:spacing w:after="70" w:line="288"/>
      </w:pPr>
      <w:r>
        <w:t xml:space="preserve">δείκτες που αντιστοιχούν σε όψεις ή σημεία που υπάρχουν πράγματι στο «Παράρτημα Επιβεβαιωμένων Όψεων» του ίδιου δελτίου.</w:t>
      </w:r>
    </w:p>
    <w:p>
      <w:pPr>
        <w:spacing w:after="120" w:line="288"/>
      </w:pPr>
      <w:r>
        <w:t xml:space="preserve">Ο αυτόματος έλεγχος ενεργοποιεί τον φραγμό όταν οποιαδήποτε από τις λέξεις αυτές εμφανιστεί στο καθαρό παραδοτέο, ακόμη και παρεμπιπτόντως. Αν δεν προτείνεται επάγγελμα υγείας, η ενότητα «ΡΗΤΗ ΤΕΚΜΗΡΙΩΣΗ ΤΟΜΕΑ ΥΓΕΙΑΣ» </w:t>
      </w:r>
      <w:r>
        <w:rPr>
          <w:b/>
          <w:bCs/>
        </w:rPr>
        <w:t xml:space="preserve">δεν γράφεται καθόλου</w:t>
      </w:r>
      <w:r>
        <w:t xml:space="preserve">, ούτε ως τίτλος, ούτε σε παραπομπή.</w:t>
      </w:r>
    </w:p>
    <w:p>
      <w:pPr>
        <w:pStyle w:val="Heading1"/>
        <w:keepNext/>
      </w:pPr>
      <w:r>
        <w:t xml:space="preserve">Κανόνας 16. Δομή του εσωτερικού τεχνικού δελτίου</w:t>
      </w:r>
    </w:p>
    <w:p>
      <w:pPr>
        <w:spacing w:after="120" w:line="288"/>
      </w:pPr>
      <w:r>
        <w:t xml:space="preserve">Το δελτίο είναι αναλυτικό. Επεξηγηματικό κείμενο γράφεται στα ελληνικά, αλλά οι τίτλοι και οι ετικέτες που ακολουθούν γράφονται </w:t>
      </w:r>
      <w:r>
        <w:rPr>
          <w:b/>
          <w:bCs/>
        </w:rPr>
        <w:t xml:space="preserve">αυτούσιοι</w:t>
      </w:r>
      <w:r>
        <w:t xml:space="preserve">, γιατί διαβάζονται μηχανικά. Κάθε τίτλος ενότητας ξεκινά δική του γραμμή. Υποχρεωτική σειρά:</w:t>
      </w:r>
    </w:p>
    <w:p>
      <w:pPr>
        <w:spacing w:after="120" w:line="288"/>
        <w:ind w:left="360"/>
      </w:pPr>
      <w:r>
        <w:t xml:space="preserve">1. </w:t>
      </w:r>
      <w:r>
        <w:rPr>
          <w:b/>
          <w:bCs/>
        </w:rPr>
        <w:t xml:space="preserve">ΕΣΩΤΕΡΙΚΟ ΤΕΧΝΙΚΟ ΔΕΛΤΙΟ ΕΛΕΓΧΟΥ</w:t>
      </w:r>
      <w:r>
        <w:t xml:space="preserve"> (τίτλος) και στοιχεία υπηρεσίας (όνομα όπως δόθηκε, τρόπος παρουσίασης).</w:t>
      </w:r>
    </w:p>
    <w:p>
      <w:pPr>
        <w:spacing w:after="120" w:line="288"/>
        <w:ind w:left="360"/>
      </w:pPr>
      <w:r>
        <w:t xml:space="preserve">2. </w:t>
      </w:r>
      <w:r>
        <w:rPr>
          <w:b/>
          <w:bCs/>
        </w:rPr>
        <w:t xml:space="preserve">Θέσεις, Οίκοι και κυβερνήτες:</w:t>
      </w:r>
      <w:r>
        <w:t xml:space="preserve"> κάθε σημείο με ζώδιο και Οίκο, και οι κυβερνήτες των βασικών Οίκων (Κανόνες 4–6).</w:t>
      </w:r>
    </w:p>
    <w:p>
      <w:pPr>
        <w:spacing w:after="120" w:line="288"/>
        <w:ind w:left="360"/>
      </w:pPr>
      <w:r>
        <w:t xml:space="preserve">3. </w:t>
      </w:r>
      <w:r>
        <w:rPr>
          <w:b/>
          <w:bCs/>
        </w:rPr>
        <w:t xml:space="preserve">Κατανομή στοιχείων</w:t>
      </w:r>
      <w:r>
        <w:t xml:space="preserve"> (Κανόνας 8).</w:t>
      </w:r>
    </w:p>
    <w:p>
      <w:pPr>
        <w:spacing w:after="120" w:line="288"/>
        <w:ind w:left="360"/>
      </w:pPr>
      <w:r>
        <w:t xml:space="preserve">4. </w:t>
      </w:r>
      <w:r>
        <w:rPr>
          <w:b/>
          <w:bCs/>
        </w:rPr>
        <w:t xml:space="preserve">ΣΥΜΒΟΛΙΚΗ ΚΑΤΕΥΘΥΝΣΗ ΕΞΕΛΙΞΗΣ,</w:t>
      </w:r>
      <w:r>
        <w:t xml:space="preserve"> μόνο αν ο άξονας των Δεσμών έχει ουσιαστική όψη (Κανόνας 10).</w:t>
      </w:r>
    </w:p>
    <w:p>
      <w:pPr>
        <w:spacing w:after="120" w:line="288"/>
        <w:ind w:left="360"/>
      </w:pPr>
      <w:r>
        <w:t xml:space="preserve">5. </w:t>
      </w:r>
      <w:r>
        <w:rPr>
          <w:b/>
          <w:bCs/>
        </w:rPr>
        <w:t xml:space="preserve">Μπλοκ ταλέντων:</w:t>
      </w:r>
      <w:r>
        <w:t xml:space="preserve"> ένα μπλοκ «ΤΑΛΕΝΤΟ:» για κάθε ταλέντο (βλ. παρακάτω).</w:t>
      </w:r>
    </w:p>
    <w:p>
      <w:pPr>
        <w:spacing w:after="120" w:line="288"/>
        <w:ind w:left="360"/>
      </w:pPr>
      <w:r>
        <w:t xml:space="preserve">6. </w:t>
      </w:r>
      <w:r>
        <w:rPr>
          <w:b/>
          <w:bCs/>
        </w:rPr>
        <w:t xml:space="preserve">Ιεράρχηση βαρύτητας:</w:t>
      </w:r>
      <w:r>
        <w:t xml:space="preserve"> αμέσως μετά το τελευταίο μπλοκ, μία γραμμή που ξεκινά με τη λέξη «Ιεράρχηση» και δηλώνει ότι τηρήθηκε η σειρά Στενή/ισχυρή → Κανονική → Πλατιά αλλά έγκυρη (μόνο υποστηρικτικά) → Πολύ πλατιά/δευτερεύουσα (μόνο απόχρωση).</w:t>
      </w:r>
    </w:p>
    <w:p>
      <w:pPr>
        <w:spacing w:after="120" w:line="288"/>
        <w:ind w:left="360"/>
      </w:pPr>
      <w:r>
        <w:t xml:space="preserve">7. </w:t>
      </w:r>
      <w:r>
        <w:rPr>
          <w:b/>
          <w:bCs/>
        </w:rPr>
        <w:t xml:space="preserve">Έλεγχος πυκνής διασύνδεσης:</w:t>
      </w:r>
      <w:r>
        <w:t xml:space="preserve"> πόσα ταλέντα είναι «κυρίαρχα» και αν ενεργοποιείται ο Κανόνας 11.</w:t>
      </w:r>
    </w:p>
    <w:p>
      <w:pPr>
        <w:spacing w:after="120" w:line="288"/>
        <w:ind w:left="360"/>
      </w:pPr>
      <w:r>
        <w:t xml:space="preserve">8. </w:t>
      </w:r>
      <w:r>
        <w:rPr>
          <w:b/>
          <w:bCs/>
        </w:rPr>
        <w:t xml:space="preserve">Σύνδεση τομέων με ταλέντα:</w:t>
      </w:r>
      <w:r>
        <w:t xml:space="preserve"> για κάθε τομέα, τα ταλέντα που αξιοποιεί και τα επαγγέλματά του.</w:t>
      </w:r>
    </w:p>
    <w:p>
      <w:pPr>
        <w:spacing w:after="120" w:line="288"/>
        <w:ind w:left="360"/>
      </w:pPr>
      <w:r>
        <w:t xml:space="preserve">9. </w:t>
      </w:r>
      <w:r>
        <w:rPr>
          <w:b/>
          <w:bCs/>
        </w:rPr>
        <w:t xml:space="preserve">ΕΓΚΕΚΡΙΜΕΝΟΙ ΕΠΑΓΓΕΛΜΑΤΙΚΟΙ ΤΟΜΕΙΣ</w:t>
      </w:r>
      <w:r>
        <w:t xml:space="preserve"> (Κανόνας 14).</w:t>
      </w:r>
    </w:p>
    <w:p>
      <w:pPr>
        <w:spacing w:after="120" w:line="288"/>
        <w:ind w:left="360"/>
      </w:pPr>
      <w:r>
        <w:t xml:space="preserve">10. </w:t>
      </w:r>
      <w:r>
        <w:rPr>
          <w:b/>
          <w:bCs/>
        </w:rPr>
        <w:t xml:space="preserve">ΕΓΚΕΚΡΙΜΕΝΑ ΕΠΑΓΓΕΛΜΑΤΑ</w:t>
      </w:r>
      <w:r>
        <w:t xml:space="preserve"> (Κανόνας 14).</w:t>
      </w:r>
    </w:p>
    <w:p>
      <w:pPr>
        <w:spacing w:after="120" w:line="288"/>
        <w:ind w:left="360"/>
      </w:pPr>
      <w:r>
        <w:t xml:space="preserve">11. </w:t>
      </w:r>
      <w:r>
        <w:rPr>
          <w:b/>
          <w:bCs/>
        </w:rPr>
        <w:t xml:space="preserve">ΡΗΤΗ ΤΕΚΜΗΡΙΩΣΗ ΤΟΜΕΑ ΥΓΕΙΑΣ,</w:t>
      </w:r>
      <w:r>
        <w:t xml:space="preserve"> μόνο αν προτείνεται επάγγελμα υγείας (Κανόνας 15).</w:t>
      </w:r>
    </w:p>
    <w:p>
      <w:pPr>
        <w:spacing w:after="120" w:line="288"/>
        <w:ind w:left="360"/>
      </w:pPr>
      <w:r>
        <w:t xml:space="preserve">12. </w:t>
      </w:r>
      <w:r>
        <w:rPr>
          <w:b/>
          <w:bCs/>
        </w:rPr>
        <w:t xml:space="preserve">Παράρτημα Επιβεβαιωμένων Όψεων:</w:t>
      </w:r>
      <w:r>
        <w:t xml:space="preserve"> οι γραμμές κάλυψης του Κανόνα 7.</w:t>
      </w:r>
    </w:p>
    <w:p>
      <w:pPr>
        <w:spacing w:after="120" w:line="288"/>
        <w:ind w:left="360"/>
      </w:pPr>
      <w:r>
        <w:t xml:space="preserve">13. </w:t>
      </w:r>
      <w:r>
        <w:rPr>
          <w:b/>
          <w:bCs/>
        </w:rPr>
        <w:t xml:space="preserve">Τελικός έλεγχος:</w:t>
      </w:r>
      <w:r>
        <w:t xml:space="preserve"> ο αυτοέλεγχος πριν από την παράδοση.</w:t>
      </w:r>
    </w:p>
    <w:p>
      <w:pPr>
        <w:spacing w:after="120" w:line="288"/>
      </w:pPr>
      <w:r>
        <w:t xml:space="preserve">Η σειρά έχει σημασία: ο αυτόματος έλεγχος χρησιμοποιεί τους επόμενους τίτλους ως όρια. Π.χ. η λίστα εγκεκριμένων επαγγελμάτων τελειώνει στον τίτλο «ΡΗΤΗ ΤΕΚΜΗΡΙΩΣΗ…» ή «Παράρτημα…», και κάθε μπλοκ ταλέντου τελειώνει στο επόμενο «ΤΑΛΕΝΤΟ:» ή στη γραμμή «Ιεράρχηση».</w:t>
      </w:r>
    </w:p>
    <w:p>
      <w:pPr>
        <w:pStyle w:val="Heading2"/>
        <w:keepNext/>
      </w:pPr>
      <w:r>
        <w:t xml:space="preserve">16.1 Μπλοκ ταλέντου</w:t>
      </w:r>
    </w:p>
    <w:p>
      <w:pPr>
        <w:spacing w:after="120" w:line="288"/>
      </w:pPr>
      <w:r>
        <w:t xml:space="preserve">Κάθε μπλοκ ξεκινά με γραμμή «ΤΑΛΕΝΤΟ: &lt;τίτλος&gt;», όπου ο τίτλος είναι </w:t>
      </w:r>
      <w:r>
        <w:rPr>
          <w:b/>
          <w:bCs/>
        </w:rPr>
        <w:t xml:space="preserve">ακριβώς ίδιος</w:t>
      </w:r>
      <w:r>
        <w:t xml:space="preserve"> με τον τίτλο στο καθαρό παραδοτέο και στη συνοπτική λίστα. Στο δελτίο δεν υπάρχει μπλοκ για ταλέντο που δεν εμφανίζεται στο καθαρό παραδοτέο. Η λέξη «ΤΑΛΕΝΤΟ» ακολουθούμενη από άνω-κάτω τελεία χρησιμοποιείται </w:t>
      </w:r>
      <w:r>
        <w:rPr>
          <w:b/>
          <w:bCs/>
        </w:rPr>
        <w:t xml:space="preserve">μόνο</w:t>
      </w:r>
      <w:r>
        <w:t xml:space="preserve"> σε αυτές τις γραμμές.</w:t>
      </w:r>
    </w:p>
    <w:p>
      <w:pPr>
        <w:spacing w:after="120" w:line="288"/>
      </w:pPr>
      <w:r>
        <w:t xml:space="preserve">Μέσα στο μπλοκ ακολουθούν είτε «Δείκτης 1:», «Δείκτης 2:» (ή περισσότεροι) είτε «Μοναδικός ισχυρός δείκτης:» μαζί με «Αιτιολόγηση ισχύος και άμεσης συνάφειας:». Έπειτα τα στοιχεία του Κανόνα 10 και η εσωτερική ιεράρχηση.</w:t>
      </w:r>
    </w:p>
    <w:p>
      <w:pPr>
        <w:spacing w:after="120" w:line="288"/>
      </w:pPr>
      <w:r>
        <w:rPr>
          <w:b/>
          <w:bCs/>
        </w:rPr>
        <w:t>Κάθε δείκτης γράφεται σε ΜΙΑ γραμμή, με υπο-πεδία χωρισμένα με «|», ποτέ ως ελεύθερη περιγραφική πρόταση. Κάθε υπο-πεδίο γράφεται μία μόνο φορά, με μία τιμή. Στους δείκτες όψης τα πεδία «Orb» και «Βαρύτητα» είναι υποχρεωτικά και αντιγράφονται αυτούσια από την ελεγμένη ανάλυση. Μορφή:</w:t>
      </w:r>
      <w:r/>
    </w:p>
    <w:p>
      <w:pPr>
        <w:pStyle w:val="ListParagraph"/>
        <w:numPr>
          <w:ilvl w:val="0"/>
          <w:numId w:val="2"/>
        </w:numPr>
        <w:spacing w:after="70" w:line="288"/>
      </w:pPr>
      <w:r>
        <w:t xml:space="preserve">Θέση: «Τύπος: Θέση | Σημείο: &lt;όνομα&gt; | Ζώδιο: &lt;ζώδιο&gt; | Οίκος: &lt;αριθμός 1–12&gt;» (τουλάχιστον ένα από Ζώδιο/Οίκος).</w:t>
      </w:r>
    </w:p>
    <w:p>
      <w:pPr>
        <w:pStyle w:val="ListParagraph"/>
        <w:numPr>
          <w:ilvl w:val="0"/>
          <w:numId w:val="2"/>
        </w:numPr>
        <w:spacing w:after="70" w:line="288"/>
      </w:pPr>
      <w:r>
        <w:t xml:space="preserve">Όψη: «Τύπος: Όψη | Σημείο 1: &lt;όνομα&gt; | Όψη: &lt;τύπος όψης&gt; | Σημείο 2: &lt;όνομα&gt; | Orb: &lt;όπως δίνεται&gt; | Βαρύτητα: &lt;όπως δίνεται&gt;».</w:t>
      </w:r>
    </w:p>
    <w:p>
      <w:pPr>
        <w:spacing w:after="120" w:line="288"/>
        <w:ind w:left="567" w:right="567"/>
      </w:pPr>
      <w:r>
        <w:rPr>
          <w:i/>
          <w:iCs/>
        </w:rPr>
        <w:t xml:space="preserve">Δείκτης 1: Τύπος: Θέση | Σημείο: Κρόνος | Ζώδιο: Αιγόκερως | Οίκος: 6</w:t>
      </w:r>
    </w:p>
    <w:p>
      <w:pPr>
        <w:spacing w:after="120" w:line="288"/>
        <w:ind w:left="567" w:right="567"/>
      </w:pPr>
      <w:r>
        <w:rPr>
          <w:i/>
          <w:iCs/>
        </w:rPr>
        <w:t xml:space="preserve">Δείκτης 2: Τύπος: Όψη | Σημείο 1: Ήλιος | Όψη: Τρίγωνο | Σημείο 2: Κρόνος | Orb: 0°14′ | Βαρύτητα: Στενή/ισχυρή</w:t>
      </w:r>
    </w:p>
    <w:p>
      <w:pPr>
        <w:spacing w:after="120" w:line="288"/>
      </w:pPr>
      <w:r>
        <w:t xml:space="preserve">Ονόματα σημείων, ζωδίων, τύπων όψεων και κατηγοριών βαρύτητας γράφονται όπως στην ελεγμένη ανάλυση. Υποστηρικτικές αποχρώσεις (π.χ. πλατιές όψεις) μπορούν να γράφονται σε δική τους γραμμή, αλλά </w:t>
      </w:r>
      <w:r>
        <w:rPr>
          <w:b/>
          <w:bCs/>
        </w:rPr>
        <w:t xml:space="preserve">όχι</w:t>
      </w:r>
      <w:r>
        <w:t xml:space="preserve"> με την ετικέτα «Δείκτης».</w:t>
      </w:r>
    </w:p>
    <w:p>
      <w:pPr>
        <w:pStyle w:val="Heading2"/>
        <w:keepNext/>
      </w:pPr>
      <w:r>
        <w:t xml:space="preserve">16.2 Γραμμή κάλυψης στο Παράρτημα Επιβεβαιωμένων Όψεων</w:t>
      </w:r>
    </w:p>
    <w:p>
      <w:pPr>
        <w:spacing w:after="120" w:line="288"/>
      </w:pPr>
      <w:r>
        <w:t xml:space="preserve">Μία γραμμή ανά όψη, με όλα τα στοιχεία στην ίδια γραμμή: ζεύγος (με τα ονόματα όπως στην ανάλυση), τύπος, orb αυτούσιο, βαρύτητα αυτούσια, απόφαση. Παραδείγματα:</w:t>
      </w:r>
    </w:p>
    <w:p>
      <w:pPr>
        <w:spacing w:after="120" w:line="288"/>
        <w:ind w:left="567" w:right="567"/>
      </w:pPr>
      <w:r>
        <w:rPr>
          <w:i/>
          <w:iCs/>
        </w:rPr>
        <w:t xml:space="preserve">Ήλιος–Κρόνος | Τρίγωνο | orb 0°14′ | Στενή/ισχυρή | ΧΡΗΣΙΜΟΠΟΙΕΙΤΑΙ — Ταλέντο «Οργάνωση και συνέπεια» ως δείκτης</w:t>
      </w:r>
    </w:p>
    <w:p>
      <w:pPr>
        <w:spacing w:after="120" w:line="288"/>
        <w:ind w:left="567" w:right="567"/>
      </w:pPr>
      <w:r>
        <w:rPr>
          <w:i/>
          <w:iCs/>
        </w:rPr>
        <w:t xml:space="preserve">Ποσειδώνας–Πλούτωνας | Εξάγωνο | orb 0°26′ | Στενή/ισχυρή | ΕΞΑΙΡΕΙΤΑΙ — γενεακή όψη χωρίς προσωπικό πλανήτη, γωνία ή κυβερνήτη</w:t>
      </w:r>
    </w:p>
    <w:p>
      <w:pPr>
        <w:pStyle w:val="Heading1"/>
        <w:keepNext/>
      </w:pPr>
      <w:r>
        <w:t xml:space="preserve">Κανόνας 17. Ύφος και γλωσσικοί κανόνες</w:t>
      </w:r>
    </w:p>
    <w:p>
      <w:pPr>
        <w:spacing w:after="120" w:line="288"/>
      </w:pPr>
      <w:r>
        <w:t xml:space="preserve">Γράψε σε απλή, ζεστή και κατανοητή γλώσσα. Το άτομο πρέπει να αισθανθεί ότι διαθέτει δυνατότητες και επιλογές, όχι ότι κάποιος έχει ήδη αποφασίσει το μέλλον του.</w:t>
      </w:r>
    </w:p>
    <w:p>
      <w:pPr>
        <w:spacing w:after="120" w:line="288"/>
      </w:pPr>
      <w:r>
        <w:t>Απόφυγε εκφράσεις όπως: «είναι γεννημένο για…», «πρέπει να γίνει…», «δεν μπορεί να κάνει…», «το πεπρωμένο του είναι…», «αυτό είναι το μοναδικό κατάλληλο επάγγελμα», «ο χάρτης αποδεικνύει ότι…». Ο αυτόματος έλεγχος απορρίπτει το παραδοτέο αν εμφανιστεί οποιαδήποτε τέτοια διατύπωση, σε οποιοδήποτε πρόσωπο ή γένος (π.χ. «είσαι γεννημένος για…», «πρέπει να ακολουθήσεις…»), καθώς και υποσχέσεις βεβαιότητας (π.χ. «σίγουρα θα πετύχεις»).</w:t>
      </w:r>
    </w:p>
    <w:p>
      <w:pPr>
        <w:spacing w:after="120" w:line="288"/>
      </w:pPr>
      <w:r>
        <w:t xml:space="preserve">Χρησιμοποίησε διατυπώσεις όπως: «φαίνεται να διαθέτει δυνατότητα…», «αξίζει να διερευνηθεί…», «θα μπορούσε να δοκιμάσει…», «η κατεύθυνση αυτή χρειάζεται επιβεβαίωση μέσα από εμπειρία».</w:t>
      </w:r>
    </w:p>
    <w:p>
      <w:pPr>
        <w:spacing w:after="120" w:line="288"/>
      </w:pPr>
      <w:r>
        <w:t xml:space="preserve">Η απαραίτητη επιφύλαξη ενσωματώνεται στο κλείσιμο της Τελικής Σύνθεσης, σύμφωνα με τον Κανόνα 3.4.</w:t>
      </w:r>
    </w:p>
    <w:sectPr>
      <w:pgSz w:w="11906" w:h="16838" w:orient="portrait"/>
      <w:pgMar w:top="1300" w:right="1384" w:bottom="1300" w:left="13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000000"/>
      <w:sz w:val="36"/>
      <w:szCs w:val="36"/>
    </w:rPr>
  </w:style>
  <w:style w:type="paragraph" w:styleId="Heading1">
    <w:name w:val="Heading 1"/>
    <w:basedOn w:val="Normal"/>
    <w:next w:val="Normal"/>
    <w:qFormat/>
    <w:pPr>
      <w:spacing w:after="140" w:before="320"/>
      <w:outlineLvl w:val="0"/>
    </w:pPr>
    <w:rPr>
      <w:rFonts w:ascii="Calibri" w:cs="Calibri" w:eastAsia="Calibri" w:hAnsi="Calibri"/>
      <w:b/>
      <w:bCs/>
      <w:color w:val="000000"/>
      <w:sz w:val="27"/>
      <w:szCs w:val="27"/>
    </w:rPr>
  </w:style>
  <w:style w:type="paragraph" w:styleId="Heading2">
    <w:name w:val="Heading 2"/>
    <w:basedOn w:val="Normal"/>
    <w:next w:val="Normal"/>
    <w:qFormat/>
    <w:pPr>
      <w:spacing w:after="100" w:before="200"/>
      <w:outlineLvl w:val="1"/>
    </w:pPr>
    <w:rPr>
      <w:rFonts w:ascii="Calibri" w:cs="Calibri" w:eastAsia="Calibri" w:hAnsi="Calibri"/>
      <w:b/>
      <w:bCs/>
      <w:color w:val="00000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2026-09-24T14:14:11.294Z</dcterms:created>
  <dcterms:modified xsi:type="dcterms:W3CDTF">2026-09-24T14:14:11.303Z</dcterms:modified>
</cp:coreProperties>
</file>

<file path=docProps/custom.xml><?xml version="1.0" encoding="utf-8"?>
<Properties xmlns="http://schemas.openxmlformats.org/officeDocument/2006/custom-properties" xmlns:vt="http://schemas.openxmlformats.org/officeDocument/2006/docPropsVTypes"/>
</file>