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i w:val="0"/>
        </w:rPr>
        <w:t>ΠΡΟΤΥΠΟ ΣΥΝΤΟΜΗΣ ΕΚΔΟΣΗΣ (ΕΝΟΠΟΙΗΜΕΝΟ)</w:t>
      </w:r>
    </w:p>
    <w:p>
      <w:pPr/>
      <w:r>
        <w:rPr>
          <w:i w:val="0"/>
        </w:rPr>
        <w:t>Ανώνυμο πρότυπο δομής και ύφους — όχι πηγή δεδομένων. Οι γραμμές με αύξοντα αριθμό και αγκύλες είναι τίτλοι σε στυλ επικεφαλίδας (Heading 2).</w:t>
      </w:r>
    </w:p>
    <w:p>
      <w:pPr>
        <w:pStyle w:val="Heading1"/>
      </w:pPr>
      <w:r>
        <w:rPr>
          <w:i w:val="0"/>
        </w:rPr>
        <w:t>Σύντομο Προφίλ</w:t>
      </w:r>
    </w:p>
    <w:p>
      <w:pPr/>
      <w:r>
        <w:rPr>
          <w:i w:val="0"/>
        </w:rPr>
        <w:t>Μία παράγραφος 80–130 λέξεων με τις κύριες δυνατότητες προς διερεύνηση. Δεν παρουσιάζονται ως βεβαιωμένα χαρακτηριστικά του ατόμου. Κλείνει αυτούσια με την πρόταση: «Πρώτα εμφανίζονται τα ταλέντα που ο χάρτης δείχνει πιο έντονα. Η σειρά δεν βάζει όριο σε κανένα: το πόσο θα αναπτυχθεί το καθένα εξαρτάται από την εμπειρία και την εξάσκηση. Αξίζει να τα δοκιμάσεις όλα· η επιλογή για το ποια θα καλλιεργήσεις είναι δική σου.»</w:t>
      </w:r>
    </w:p>
    <w:p>
      <w:pPr>
        <w:pStyle w:val="Heading1"/>
      </w:pPr>
      <w:r>
        <w:rPr>
          <w:i w:val="0"/>
        </w:rPr>
        <w:t>Ταλέντα προς διερεύνηση</w:t>
      </w:r>
    </w:p>
    <w:p>
      <w:pPr>
        <w:pStyle w:val="Heading2"/>
      </w:pPr>
      <w:r>
        <w:rPr>
          <w:i w:val="0"/>
        </w:rPr>
        <w:t>1. [Απλός τίτλος ταλέντου]</w:t>
      </w:r>
    </w:p>
    <w:p>
      <w:pPr/>
      <w:r>
        <w:rPr>
          <w:i w:val="0"/>
        </w:rPr>
        <w:t>Μία αυτοτελής παράγραφος έως 10 γραμμών (περίπου 70–110 λέξεις) που εξηγεί με απλά λόγια τι μπορεί να εκφράζει το ταλέντο και πώς μπορεί να φαίνεται στην πράξη. Εδώ δεν αναφέρονται επαγγέλματα.</w:t>
      </w:r>
    </w:p>
    <w:p>
      <w:pPr>
        <w:pStyle w:val="Heading2"/>
      </w:pPr>
      <w:r>
        <w:rPr>
          <w:i w:val="0"/>
        </w:rPr>
        <w:t>2. [Δεύτερος τίτλος ταλέντου]</w:t>
      </w:r>
    </w:p>
    <w:p>
      <w:pPr/>
      <w:r>
        <w:rPr>
          <w:i w:val="0"/>
        </w:rPr>
        <w:t>Φιλική, καθημερινή γλώσσα χωρίς τεχνικούς όρους.</w:t>
      </w:r>
    </w:p>
    <w:p>
      <w:pPr/>
      <w:r>
        <w:rPr>
          <w:i w:val="0"/>
        </w:rPr>
        <w:t>[Συνέχισε με όλα τα ταλέντα που τεκμηριώνονται επαρκώς — χωρίς σταθερό ελάχιστο ή ανώτατο αριθμό.]</w:t>
      </w:r>
    </w:p>
    <w:p>
      <w:pPr/>
      <w:r>
        <w:rPr>
          <w:b/>
        </w:rPr>
        <w:t>Συνοπτικά, τα ταλέντα προς διερεύνηση είναι:</w:t>
      </w:r>
    </w:p>
    <w:p>
      <w:pPr>
        <w:pStyle w:val="ListBullet"/>
      </w:pPr>
      <w:r>
        <w:rPr>
          <w:i w:val="0"/>
        </w:rPr>
        <w:t>[Απλός τίτλος ταλέντου]</w:t>
      </w:r>
    </w:p>
    <w:p>
      <w:pPr>
        <w:pStyle w:val="ListBullet"/>
      </w:pPr>
      <w:r>
        <w:rPr>
          <w:i w:val="0"/>
        </w:rPr>
        <w:t>[Δεύτερος τίτλος ταλέντου]</w:t>
      </w:r>
    </w:p>
    <w:p>
      <w:pPr/>
      <w:r>
        <w:rPr>
          <w:i w:val="0"/>
        </w:rPr>
        <w:t>(Μόνο οι τίτλοι, γραμμένοι ακριβώς όπως στις επικεφαλίδες, χωρίς αριθμό, περιγραφή ή ιεράρχηση.)</w:t>
      </w:r>
    </w:p>
    <w:p>
      <w:pPr>
        <w:pStyle w:val="Heading1"/>
      </w:pPr>
      <w:r>
        <w:rPr>
          <w:i w:val="0"/>
        </w:rPr>
        <w:t>Επαγγελματικοί Τομείς προς Διερεύνηση</w:t>
      </w:r>
    </w:p>
    <w:p>
      <w:pPr>
        <w:pStyle w:val="Heading2"/>
      </w:pPr>
      <w:r>
        <w:rPr>
          <w:i w:val="0"/>
        </w:rPr>
        <w:t>1. [Όνομα επαγγελματικού τομέα]</w:t>
      </w:r>
    </w:p>
    <w:p>
      <w:pPr/>
      <w:r>
        <w:rPr>
          <w:b/>
        </w:rPr>
        <w:t xml:space="preserve">Γιατί μπορεί να ταιριάζει: </w:t>
      </w:r>
      <w:r>
        <w:rPr>
          <w:i w:val="0"/>
        </w:rPr>
        <w:t>Απλή σύνδεση του τομέα με τα ταλέντα που προηγήθηκαν, σε 3–4 προτάσεις, σε μία μόνο παράγραφο, χωρίς αλλαγή γραμμής.</w:t>
      </w:r>
    </w:p>
    <w:p>
      <w:pPr/>
      <w:r>
        <w:rPr>
          <w:b/>
        </w:rPr>
        <w:t xml:space="preserve">Ενδεικτικά επαγγέλματα: </w:t>
      </w:r>
      <w:r>
        <w:rPr>
          <w:i w:val="0"/>
        </w:rPr>
        <w:t>[Επάγγελμα], [Εξειδικευμένο επάγγελμα] (πολύ σύντομη εξήγηση σε παρένθεση), [Επάγγελμα]</w:t>
      </w:r>
    </w:p>
    <w:p>
      <w:pPr>
        <w:pStyle w:val="Heading2"/>
      </w:pPr>
      <w:r>
        <w:rPr>
          <w:i w:val="0"/>
        </w:rPr>
        <w:t>2. [Όνομα επαγγελματικού τομέα]</w:t>
      </w:r>
    </w:p>
    <w:p>
      <w:pPr/>
      <w:r>
        <w:rPr>
          <w:b/>
        </w:rPr>
        <w:t xml:space="preserve">Γιατί μπορεί να ταιριάζει: </w:t>
      </w:r>
      <w:r>
        <w:rPr>
          <w:i w:val="0"/>
        </w:rPr>
        <w:t>Απλή σύνδεση του τομέα με τα ταλέντα που προηγήθηκαν, σε 3–4 προτάσεις, σε μία μόνο παράγραφο, χωρίς αλλαγή γραμμής.</w:t>
      </w:r>
    </w:p>
    <w:p>
      <w:pPr/>
      <w:r>
        <w:rPr>
          <w:b/>
        </w:rPr>
        <w:t xml:space="preserve">Ενδεικτικά επαγγέλματα: </w:t>
      </w:r>
      <w:r>
        <w:rPr>
          <w:i w:val="0"/>
        </w:rPr>
        <w:t>[Επάγγελμα], [Εξειδικευμένο επάγγελμα] (πολύ σύντομη εξήγηση σε παρένθεση), [Επάγγελμα]</w:t>
      </w:r>
    </w:p>
    <w:p>
      <w:pPr/>
      <w:r>
        <w:rPr>
          <w:i w:val="0"/>
        </w:rPr>
        <w:t>[Συνέχισε με όλους τους τομείς που συνδέονται με τουλάχιστον ένα επαρκώς τεκμηριωμένο ταλέντο — χωρίς σταθερό ελάχιστο ή ανώτατο αριθμό.]</w:t>
      </w:r>
    </w:p>
    <w:p>
      <w:pPr>
        <w:pStyle w:val="Heading1"/>
      </w:pPr>
      <w:r>
        <w:rPr>
          <w:i w:val="0"/>
        </w:rPr>
        <w:t>Τελική Σύνθεση</w:t>
      </w:r>
    </w:p>
    <w:p>
      <w:pPr/>
      <w:r>
        <w:rPr>
          <w:i w:val="0"/>
        </w:rPr>
        <w:t>Έως τρεις κύριες κατευθύνσεις και οι σημαντικότεροι συνδυασμοί τους, σε έως 180 λέξεις. Διευκρίνισε ότι είναι επιλογές προς διερεύνηση και όχι οριστική απόφαση. Κλείσε, με σαφή έμφαση, λέγοντας ότι τα μαθήματα και οι δραστηριότητες που αρέσουν στο άτομο και η πραγματική του επίδοση μπορούν να επιβεβαιώσουν ή να αναθεωρήσουν αυτές τις κατευθύνσεις, και ότι η τελική επιλογή παραμένει πάντα δική του, ως έκφραση της ελεύθερης βούλησής του.</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