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713" w:rsidRPr="00BA57C6" w:rsidRDefault="00976FC6" w:rsidP="00976FC6">
      <w:pPr>
        <w:pStyle w:val="a7"/>
        <w:spacing w:after="0"/>
        <w:rPr>
          <w:sz w:val="36"/>
        </w:rPr>
      </w:pPr>
      <w:r w:rsidRPr="00BA57C6">
        <w:rPr>
          <w:rFonts w:hint="eastAsia"/>
          <w:sz w:val="36"/>
        </w:rPr>
        <w:t>林改后</w:t>
      </w:r>
      <w:r w:rsidR="007F2562">
        <w:rPr>
          <w:rFonts w:hint="eastAsia"/>
          <w:sz w:val="36"/>
        </w:rPr>
        <w:t>农户承包</w:t>
      </w:r>
      <w:r w:rsidRPr="00BA57C6">
        <w:rPr>
          <w:rFonts w:hint="eastAsia"/>
          <w:sz w:val="36"/>
        </w:rPr>
        <w:t>林地基本情况评析</w:t>
      </w:r>
    </w:p>
    <w:p w:rsidR="00976FC6" w:rsidRPr="00BA57C6" w:rsidRDefault="00976FC6" w:rsidP="00976FC6">
      <w:pPr>
        <w:pStyle w:val="a8"/>
        <w:spacing w:before="0"/>
        <w:jc w:val="right"/>
        <w:rPr>
          <w:sz w:val="28"/>
        </w:rPr>
      </w:pPr>
      <w:r w:rsidRPr="00BA57C6">
        <w:rPr>
          <w:rFonts w:hint="eastAsia"/>
          <w:sz w:val="28"/>
        </w:rPr>
        <w:t>——基于国家林业局</w:t>
      </w:r>
      <w:r w:rsidRPr="00BA57C6">
        <w:rPr>
          <w:rFonts w:hint="eastAsia"/>
          <w:sz w:val="28"/>
        </w:rPr>
        <w:t>2013</w:t>
      </w:r>
      <w:r w:rsidRPr="00BA57C6">
        <w:rPr>
          <w:rFonts w:hint="eastAsia"/>
          <w:sz w:val="28"/>
        </w:rPr>
        <w:t>年七省调研数据</w:t>
      </w:r>
      <w:r w:rsidR="00BA57C6">
        <w:rPr>
          <w:rFonts w:hint="eastAsia"/>
          <w:sz w:val="28"/>
        </w:rPr>
        <w:t>的</w:t>
      </w:r>
      <w:r w:rsidRPr="00BA57C6">
        <w:rPr>
          <w:rFonts w:hint="eastAsia"/>
          <w:sz w:val="28"/>
        </w:rPr>
        <w:t>分析</w:t>
      </w:r>
    </w:p>
    <w:p w:rsidR="00976FC6" w:rsidRDefault="00976FC6" w:rsidP="00083B55">
      <w:pPr>
        <w:spacing w:line="480" w:lineRule="auto"/>
        <w:jc w:val="center"/>
        <w:rPr>
          <w:b/>
        </w:rPr>
      </w:pPr>
      <w:r w:rsidRPr="00976FC6">
        <w:rPr>
          <w:rFonts w:hint="eastAsia"/>
          <w:b/>
        </w:rPr>
        <w:t>田文佳</w:t>
      </w:r>
    </w:p>
    <w:p w:rsidR="00BA57C6" w:rsidRDefault="00976FC6" w:rsidP="00BA57C6">
      <w:pPr>
        <w:rPr>
          <w:sz w:val="20"/>
          <w:szCs w:val="21"/>
        </w:rPr>
      </w:pPr>
      <w:r w:rsidRPr="00BA57C6">
        <w:rPr>
          <w:rFonts w:hint="eastAsia"/>
          <w:b/>
          <w:sz w:val="20"/>
          <w:szCs w:val="21"/>
        </w:rPr>
        <w:t>摘</w:t>
      </w:r>
      <w:r w:rsidR="00BA57C6">
        <w:rPr>
          <w:rFonts w:hint="eastAsia"/>
          <w:b/>
          <w:sz w:val="20"/>
          <w:szCs w:val="21"/>
        </w:rPr>
        <w:t xml:space="preserve"> </w:t>
      </w:r>
      <w:r w:rsidRPr="00BA57C6">
        <w:rPr>
          <w:rFonts w:hint="eastAsia"/>
          <w:b/>
          <w:sz w:val="20"/>
          <w:szCs w:val="21"/>
        </w:rPr>
        <w:t>要：</w:t>
      </w:r>
      <w:r w:rsidRPr="00BA57C6">
        <w:rPr>
          <w:rFonts w:hint="eastAsia"/>
          <w:sz w:val="20"/>
          <w:szCs w:val="21"/>
        </w:rPr>
        <w:t>基于国家林业局集体林权制度改革监测小组</w:t>
      </w:r>
      <w:r w:rsidRPr="00BA57C6">
        <w:rPr>
          <w:rFonts w:hint="eastAsia"/>
          <w:sz w:val="20"/>
          <w:szCs w:val="21"/>
        </w:rPr>
        <w:t>2013</w:t>
      </w:r>
      <w:r w:rsidRPr="00BA57C6">
        <w:rPr>
          <w:rFonts w:hint="eastAsia"/>
          <w:sz w:val="20"/>
          <w:szCs w:val="21"/>
        </w:rPr>
        <w:t>年对我国</w:t>
      </w:r>
      <w:r w:rsidR="00BA57C6" w:rsidRPr="00BA57C6">
        <w:rPr>
          <w:rFonts w:hint="eastAsia"/>
          <w:sz w:val="20"/>
          <w:szCs w:val="21"/>
        </w:rPr>
        <w:t>福建、甘肃、湖南、江西、辽宁、陕西和云南</w:t>
      </w:r>
      <w:r w:rsidRPr="00BA57C6">
        <w:rPr>
          <w:rFonts w:hint="eastAsia"/>
          <w:sz w:val="20"/>
          <w:szCs w:val="21"/>
        </w:rPr>
        <w:t>7</w:t>
      </w:r>
      <w:r w:rsidRPr="00BA57C6">
        <w:rPr>
          <w:rFonts w:hint="eastAsia"/>
          <w:sz w:val="20"/>
          <w:szCs w:val="21"/>
        </w:rPr>
        <w:t>个省份农户抽样调查的数据，</w:t>
      </w:r>
      <w:r w:rsidR="00BA57C6" w:rsidRPr="00BA57C6">
        <w:rPr>
          <w:rFonts w:hint="eastAsia"/>
          <w:sz w:val="20"/>
          <w:szCs w:val="21"/>
        </w:rPr>
        <w:t>本文对样本内农户林地承包情况、林权证发放情况、林地流转现状进行了统计</w:t>
      </w:r>
      <w:r w:rsidR="002A1BF9">
        <w:rPr>
          <w:rFonts w:hint="eastAsia"/>
          <w:sz w:val="20"/>
          <w:szCs w:val="21"/>
        </w:rPr>
        <w:t>描述</w:t>
      </w:r>
      <w:r w:rsidR="00BA57C6" w:rsidRPr="00BA57C6">
        <w:rPr>
          <w:rFonts w:hint="eastAsia"/>
          <w:sz w:val="20"/>
          <w:szCs w:val="21"/>
        </w:rPr>
        <w:t>。结果发现，几个省份林地</w:t>
      </w:r>
      <w:r w:rsidR="00BA57C6" w:rsidRPr="00BA57C6">
        <w:rPr>
          <w:sz w:val="20"/>
          <w:szCs w:val="21"/>
        </w:rPr>
        <w:t>承包到户的任务基本</w:t>
      </w:r>
      <w:r w:rsidR="00BA57C6" w:rsidRPr="00BA57C6">
        <w:rPr>
          <w:rFonts w:hint="eastAsia"/>
          <w:sz w:val="20"/>
          <w:szCs w:val="21"/>
        </w:rPr>
        <w:t>完成，但</w:t>
      </w:r>
      <w:r w:rsidR="00B07086">
        <w:rPr>
          <w:rFonts w:hint="eastAsia"/>
          <w:sz w:val="20"/>
          <w:szCs w:val="21"/>
        </w:rPr>
        <w:t>林权证的发放</w:t>
      </w:r>
      <w:r w:rsidR="00BA57C6" w:rsidRPr="00BA57C6">
        <w:rPr>
          <w:rFonts w:hint="eastAsia"/>
          <w:sz w:val="20"/>
          <w:szCs w:val="21"/>
        </w:rPr>
        <w:t>不到位，</w:t>
      </w:r>
      <w:r w:rsidR="00BA57C6" w:rsidRPr="00BA57C6">
        <w:rPr>
          <w:rFonts w:hint="eastAsia"/>
          <w:sz w:val="20"/>
          <w:szCs w:val="21"/>
        </w:rPr>
        <w:t>20%</w:t>
      </w:r>
      <w:r w:rsidR="00BA57C6" w:rsidRPr="00BA57C6">
        <w:rPr>
          <w:rFonts w:hint="eastAsia"/>
          <w:sz w:val="20"/>
          <w:szCs w:val="21"/>
        </w:rPr>
        <w:t>农户没拿到林权证</w:t>
      </w:r>
      <w:r w:rsidR="00B07086">
        <w:rPr>
          <w:rFonts w:hint="eastAsia"/>
          <w:sz w:val="20"/>
          <w:szCs w:val="21"/>
        </w:rPr>
        <w:t>，且在某些地区有集中</w:t>
      </w:r>
      <w:r w:rsidR="00BA57C6" w:rsidRPr="00BA57C6">
        <w:rPr>
          <w:rFonts w:hint="eastAsia"/>
          <w:sz w:val="20"/>
          <w:szCs w:val="21"/>
        </w:rPr>
        <w:t>。林地</w:t>
      </w:r>
      <w:proofErr w:type="gramStart"/>
      <w:r w:rsidR="00BA57C6" w:rsidRPr="00BA57C6">
        <w:rPr>
          <w:rFonts w:hint="eastAsia"/>
          <w:sz w:val="20"/>
          <w:szCs w:val="21"/>
        </w:rPr>
        <w:t>流转率</w:t>
      </w:r>
      <w:proofErr w:type="gramEnd"/>
      <w:r w:rsidR="00BA57C6" w:rsidRPr="00BA57C6">
        <w:rPr>
          <w:rFonts w:hint="eastAsia"/>
          <w:sz w:val="20"/>
          <w:szCs w:val="21"/>
        </w:rPr>
        <w:t>低，只有</w:t>
      </w:r>
      <w:r w:rsidR="00BA57C6" w:rsidRPr="00BA57C6">
        <w:rPr>
          <w:rFonts w:hint="eastAsia"/>
          <w:sz w:val="20"/>
          <w:szCs w:val="21"/>
        </w:rPr>
        <w:t>7%</w:t>
      </w:r>
      <w:r w:rsidR="00BA57C6" w:rsidRPr="00BA57C6">
        <w:rPr>
          <w:rFonts w:hint="eastAsia"/>
          <w:sz w:val="20"/>
          <w:szCs w:val="21"/>
        </w:rPr>
        <w:t>左右，流转方式传统，统一价格市场未形成。文章针对家庭林地现状，提出了完善确权工作、促进林权流转、加大宣传教育的建议。</w:t>
      </w:r>
    </w:p>
    <w:p w:rsidR="00BA57C6" w:rsidRDefault="00BA57C6" w:rsidP="00BA57C6">
      <w:pPr>
        <w:rPr>
          <w:sz w:val="20"/>
          <w:szCs w:val="21"/>
        </w:rPr>
      </w:pPr>
      <w:r>
        <w:rPr>
          <w:rFonts w:hint="eastAsia"/>
          <w:sz w:val="20"/>
          <w:szCs w:val="21"/>
        </w:rPr>
        <w:t>关键词：</w:t>
      </w:r>
      <w:r w:rsidR="007F2562">
        <w:rPr>
          <w:rFonts w:hint="eastAsia"/>
          <w:sz w:val="20"/>
          <w:szCs w:val="21"/>
        </w:rPr>
        <w:t>家庭承包林；林地承包到户；林地确权；林地流转</w:t>
      </w:r>
    </w:p>
    <w:p w:rsidR="0086111A" w:rsidRPr="00FD7863" w:rsidRDefault="0086111A" w:rsidP="00083B55">
      <w:pPr>
        <w:jc w:val="center"/>
        <w:rPr>
          <w:rFonts w:ascii="Times New Roman" w:hAnsi="Times New Roman" w:cs="Times New Roman"/>
          <w:b/>
          <w:sz w:val="32"/>
          <w:szCs w:val="21"/>
        </w:rPr>
      </w:pPr>
      <w:r w:rsidRPr="00FD7863">
        <w:rPr>
          <w:rFonts w:ascii="Times New Roman" w:hAnsi="Times New Roman" w:cs="Times New Roman"/>
          <w:b/>
          <w:sz w:val="32"/>
          <w:szCs w:val="21"/>
        </w:rPr>
        <w:t>Analysis of the Situation of Household</w:t>
      </w:r>
      <w:r w:rsidRPr="00FD7863">
        <w:rPr>
          <w:rFonts w:ascii="Times New Roman" w:hAnsi="Times New Roman" w:cs="Times New Roman"/>
          <w:b/>
          <w:sz w:val="32"/>
        </w:rPr>
        <w:t> </w:t>
      </w:r>
      <w:r w:rsidRPr="00FD7863">
        <w:rPr>
          <w:rFonts w:ascii="Times New Roman" w:hAnsi="Times New Roman" w:cs="Times New Roman"/>
          <w:b/>
          <w:sz w:val="32"/>
          <w:szCs w:val="21"/>
        </w:rPr>
        <w:t>Contracted Forestland after the Forestry Reform</w:t>
      </w:r>
    </w:p>
    <w:p w:rsidR="0086111A" w:rsidRPr="00FD7863" w:rsidRDefault="0086111A" w:rsidP="00083B55">
      <w:pPr>
        <w:jc w:val="right"/>
        <w:rPr>
          <w:rFonts w:ascii="Times New Roman" w:hAnsi="Times New Roman" w:cs="Times New Roman"/>
          <w:sz w:val="24"/>
          <w:szCs w:val="21"/>
        </w:rPr>
      </w:pPr>
      <w:r w:rsidRPr="00FD7863">
        <w:rPr>
          <w:rFonts w:ascii="Times New Roman" w:hAnsi="Times New Roman" w:cs="Times New Roman" w:hint="eastAsia"/>
          <w:sz w:val="28"/>
          <w:szCs w:val="21"/>
        </w:rPr>
        <w:t xml:space="preserve">--Based on </w:t>
      </w:r>
      <w:r w:rsidR="0029207B" w:rsidRPr="00FD7863">
        <w:rPr>
          <w:rFonts w:ascii="Times New Roman" w:hAnsi="Times New Roman" w:cs="Times New Roman"/>
          <w:sz w:val="28"/>
          <w:szCs w:val="21"/>
        </w:rPr>
        <w:t>State Forestry Administration’</w:t>
      </w:r>
      <w:r w:rsidR="0029207B" w:rsidRPr="00FD7863">
        <w:rPr>
          <w:rFonts w:ascii="Times New Roman" w:hAnsi="Times New Roman" w:cs="Times New Roman" w:hint="eastAsia"/>
          <w:sz w:val="28"/>
          <w:szCs w:val="21"/>
        </w:rPr>
        <w:t>s S</w:t>
      </w:r>
      <w:r w:rsidR="0029207B" w:rsidRPr="00FD7863">
        <w:rPr>
          <w:rFonts w:ascii="Times New Roman" w:hAnsi="Times New Roman" w:cs="Times New Roman"/>
          <w:sz w:val="28"/>
          <w:szCs w:val="21"/>
        </w:rPr>
        <w:t xml:space="preserve">urvey </w:t>
      </w:r>
      <w:r w:rsidR="0029207B" w:rsidRPr="00FD7863">
        <w:rPr>
          <w:rFonts w:ascii="Times New Roman" w:hAnsi="Times New Roman" w:cs="Times New Roman" w:hint="eastAsia"/>
          <w:sz w:val="28"/>
          <w:szCs w:val="21"/>
        </w:rPr>
        <w:t>D</w:t>
      </w:r>
      <w:r w:rsidR="0029207B" w:rsidRPr="00FD7863">
        <w:rPr>
          <w:rFonts w:ascii="Times New Roman" w:hAnsi="Times New Roman" w:cs="Times New Roman"/>
          <w:sz w:val="28"/>
          <w:szCs w:val="21"/>
        </w:rPr>
        <w:t>ata in 2013</w:t>
      </w:r>
    </w:p>
    <w:p w:rsidR="0029207B" w:rsidRPr="00FD7863" w:rsidRDefault="0029207B" w:rsidP="00083B55">
      <w:pPr>
        <w:jc w:val="center"/>
        <w:rPr>
          <w:rFonts w:ascii="Times New Roman" w:hAnsi="Times New Roman" w:cs="Times New Roman"/>
          <w:sz w:val="24"/>
          <w:szCs w:val="21"/>
        </w:rPr>
      </w:pPr>
      <w:proofErr w:type="spellStart"/>
      <w:r w:rsidRPr="00FD7863">
        <w:rPr>
          <w:rFonts w:ascii="Times New Roman" w:hAnsi="Times New Roman" w:cs="Times New Roman"/>
          <w:sz w:val="24"/>
          <w:szCs w:val="21"/>
        </w:rPr>
        <w:t>Tian</w:t>
      </w:r>
      <w:proofErr w:type="spellEnd"/>
      <w:r w:rsidRPr="00FD7863">
        <w:rPr>
          <w:rFonts w:ascii="Times New Roman" w:hAnsi="Times New Roman" w:cs="Times New Roman"/>
          <w:sz w:val="24"/>
          <w:szCs w:val="21"/>
        </w:rPr>
        <w:t xml:space="preserve"> </w:t>
      </w:r>
      <w:proofErr w:type="spellStart"/>
      <w:r w:rsidRPr="00FD7863">
        <w:rPr>
          <w:rFonts w:ascii="Times New Roman" w:hAnsi="Times New Roman" w:cs="Times New Roman"/>
          <w:sz w:val="24"/>
          <w:szCs w:val="21"/>
        </w:rPr>
        <w:t>Wenjia</w:t>
      </w:r>
      <w:proofErr w:type="spellEnd"/>
    </w:p>
    <w:p w:rsidR="0029207B" w:rsidRDefault="00083B55" w:rsidP="00FD7863">
      <w:pPr>
        <w:spacing w:before="240"/>
        <w:rPr>
          <w:rFonts w:ascii="Times New Roman" w:hAnsi="Times New Roman" w:cs="Times New Roman"/>
          <w:sz w:val="24"/>
          <w:szCs w:val="21"/>
        </w:rPr>
      </w:pPr>
      <w:r w:rsidRPr="00083B55">
        <w:rPr>
          <w:rFonts w:ascii="Times New Roman" w:hAnsi="Times New Roman" w:cs="Times New Roman" w:hint="eastAsia"/>
          <w:b/>
          <w:sz w:val="24"/>
          <w:szCs w:val="21"/>
        </w:rPr>
        <w:t xml:space="preserve">Abstract: </w:t>
      </w:r>
      <w:r w:rsidR="0029207B" w:rsidRPr="00083B55">
        <w:rPr>
          <w:rFonts w:ascii="Times New Roman" w:hAnsi="Times New Roman" w:cs="Times New Roman"/>
          <w:sz w:val="24"/>
          <w:szCs w:val="21"/>
        </w:rPr>
        <w:t>Based on the State Forestry Administration’</w:t>
      </w:r>
      <w:r w:rsidR="0029207B" w:rsidRPr="00083B55">
        <w:rPr>
          <w:rFonts w:ascii="Times New Roman" w:hAnsi="Times New Roman" w:cs="Times New Roman" w:hint="eastAsia"/>
          <w:sz w:val="24"/>
          <w:szCs w:val="21"/>
        </w:rPr>
        <w:t>s h</w:t>
      </w:r>
      <w:r w:rsidR="0029207B" w:rsidRPr="00083B55">
        <w:rPr>
          <w:rFonts w:ascii="Times New Roman" w:hAnsi="Times New Roman" w:cs="Times New Roman"/>
          <w:sz w:val="24"/>
          <w:szCs w:val="21"/>
        </w:rPr>
        <w:t xml:space="preserve">ousehold-level data </w:t>
      </w:r>
      <w:r w:rsidR="0029207B" w:rsidRPr="00083B55">
        <w:rPr>
          <w:rFonts w:ascii="Times New Roman" w:hAnsi="Times New Roman" w:cs="Times New Roman" w:hint="eastAsia"/>
          <w:sz w:val="24"/>
          <w:szCs w:val="21"/>
        </w:rPr>
        <w:t xml:space="preserve">of </w:t>
      </w:r>
      <w:r w:rsidR="0029207B" w:rsidRPr="00083B55">
        <w:rPr>
          <w:rFonts w:ascii="Times New Roman" w:hAnsi="Times New Roman" w:cs="Times New Roman"/>
          <w:sz w:val="24"/>
          <w:szCs w:val="21"/>
        </w:rPr>
        <w:t>Fujian, Gansu, Hunan, Jiangxi, Liaoning, Shaanxi and Yunnan provinces</w:t>
      </w:r>
      <w:r w:rsidR="0029207B" w:rsidRPr="00083B55">
        <w:rPr>
          <w:rFonts w:ascii="Times New Roman" w:hAnsi="Times New Roman" w:cs="Times New Roman" w:hint="eastAsia"/>
          <w:sz w:val="24"/>
          <w:szCs w:val="21"/>
        </w:rPr>
        <w:t xml:space="preserve"> in 2013, this paper analyzes the woodland contracting situation, the </w:t>
      </w:r>
      <w:hyperlink r:id="rId9" w:history="1">
        <w:r w:rsidR="0029207B" w:rsidRPr="00083B55">
          <w:rPr>
            <w:rFonts w:ascii="Times New Roman" w:hAnsi="Times New Roman" w:cs="Times New Roman"/>
            <w:sz w:val="24"/>
            <w:szCs w:val="21"/>
          </w:rPr>
          <w:t>forest</w:t>
        </w:r>
      </w:hyperlink>
      <w:r w:rsidR="0029207B" w:rsidRPr="00083B55">
        <w:rPr>
          <w:rFonts w:ascii="Times New Roman" w:hAnsi="Times New Roman" w:cs="Times New Roman"/>
          <w:sz w:val="24"/>
          <w:szCs w:val="21"/>
        </w:rPr>
        <w:t> </w:t>
      </w:r>
      <w:hyperlink r:id="rId10" w:history="1">
        <w:r w:rsidR="0029207B" w:rsidRPr="00083B55">
          <w:rPr>
            <w:rFonts w:ascii="Times New Roman" w:hAnsi="Times New Roman" w:cs="Times New Roman"/>
            <w:sz w:val="24"/>
            <w:szCs w:val="21"/>
          </w:rPr>
          <w:t>right</w:t>
        </w:r>
      </w:hyperlink>
      <w:r w:rsidR="0029207B" w:rsidRPr="00083B55">
        <w:rPr>
          <w:rFonts w:ascii="Times New Roman" w:hAnsi="Times New Roman" w:cs="Times New Roman"/>
          <w:sz w:val="24"/>
          <w:szCs w:val="21"/>
        </w:rPr>
        <w:t> </w:t>
      </w:r>
      <w:hyperlink r:id="rId11" w:history="1">
        <w:r w:rsidR="0029207B" w:rsidRPr="00083B55">
          <w:rPr>
            <w:rFonts w:ascii="Times New Roman" w:hAnsi="Times New Roman" w:cs="Times New Roman"/>
            <w:sz w:val="24"/>
            <w:szCs w:val="21"/>
          </w:rPr>
          <w:t>certificate</w:t>
        </w:r>
      </w:hyperlink>
      <w:r w:rsidR="0029207B" w:rsidRPr="00083B55">
        <w:rPr>
          <w:rFonts w:ascii="Times New Roman" w:hAnsi="Times New Roman" w:cs="Times New Roman"/>
          <w:sz w:val="24"/>
          <w:szCs w:val="21"/>
        </w:rPr>
        <w:t xml:space="preserve"> issued circumstance</w:t>
      </w:r>
      <w:r w:rsidR="0029207B" w:rsidRPr="00083B55">
        <w:rPr>
          <w:rFonts w:ascii="Times New Roman" w:hAnsi="Times New Roman" w:cs="Times New Roman" w:hint="eastAsia"/>
          <w:sz w:val="24"/>
          <w:szCs w:val="21"/>
        </w:rPr>
        <w:t xml:space="preserve"> and the f</w:t>
      </w:r>
      <w:r w:rsidR="0029207B" w:rsidRPr="00083B55">
        <w:rPr>
          <w:rFonts w:ascii="Times New Roman" w:hAnsi="Times New Roman" w:cs="Times New Roman"/>
          <w:sz w:val="24"/>
          <w:szCs w:val="21"/>
        </w:rPr>
        <w:t>orest rights circulation situation</w:t>
      </w:r>
      <w:r w:rsidR="0029207B" w:rsidRPr="00083B55">
        <w:rPr>
          <w:rFonts w:ascii="Times New Roman" w:hAnsi="Times New Roman" w:cs="Times New Roman" w:hint="eastAsia"/>
          <w:sz w:val="24"/>
          <w:szCs w:val="21"/>
        </w:rPr>
        <w:t xml:space="preserve">. Main findings show that </w:t>
      </w:r>
      <w:r w:rsidR="0029207B" w:rsidRPr="00083B55">
        <w:rPr>
          <w:rFonts w:ascii="Times New Roman" w:hAnsi="Times New Roman" w:cs="Times New Roman"/>
          <w:sz w:val="24"/>
          <w:szCs w:val="21"/>
        </w:rPr>
        <w:t>the</w:t>
      </w:r>
      <w:r w:rsidR="0029207B" w:rsidRPr="00083B55">
        <w:rPr>
          <w:rFonts w:ascii="Times New Roman" w:hAnsi="Times New Roman" w:cs="Times New Roman" w:hint="eastAsia"/>
          <w:sz w:val="24"/>
          <w:szCs w:val="21"/>
        </w:rPr>
        <w:t xml:space="preserve"> forest land contracting </w:t>
      </w:r>
      <w:r w:rsidR="00FD7863" w:rsidRPr="00083B55">
        <w:rPr>
          <w:rFonts w:ascii="Times New Roman" w:hAnsi="Times New Roman" w:cs="Times New Roman" w:hint="eastAsia"/>
          <w:sz w:val="24"/>
          <w:szCs w:val="21"/>
        </w:rPr>
        <w:t>reform is almost done. But 20% of all household haven</w:t>
      </w:r>
      <w:r w:rsidR="00FD7863" w:rsidRPr="00083B55">
        <w:rPr>
          <w:rFonts w:ascii="Times New Roman" w:hAnsi="Times New Roman" w:cs="Times New Roman"/>
          <w:sz w:val="24"/>
          <w:szCs w:val="21"/>
        </w:rPr>
        <w:t>’</w:t>
      </w:r>
      <w:r w:rsidR="00FD7863" w:rsidRPr="00083B55">
        <w:rPr>
          <w:rFonts w:ascii="Times New Roman" w:hAnsi="Times New Roman" w:cs="Times New Roman" w:hint="eastAsia"/>
          <w:sz w:val="24"/>
          <w:szCs w:val="21"/>
        </w:rPr>
        <w:t xml:space="preserve">t got their </w:t>
      </w:r>
      <w:hyperlink r:id="rId12" w:history="1">
        <w:r w:rsidR="00FD7863" w:rsidRPr="00083B55">
          <w:rPr>
            <w:rFonts w:ascii="Times New Roman" w:hAnsi="Times New Roman" w:cs="Times New Roman"/>
            <w:sz w:val="24"/>
            <w:szCs w:val="21"/>
          </w:rPr>
          <w:t>forest</w:t>
        </w:r>
      </w:hyperlink>
      <w:r w:rsidR="00FD7863" w:rsidRPr="00083B55">
        <w:rPr>
          <w:rFonts w:ascii="Times New Roman" w:hAnsi="Times New Roman" w:cs="Times New Roman"/>
          <w:sz w:val="24"/>
          <w:szCs w:val="21"/>
        </w:rPr>
        <w:t> </w:t>
      </w:r>
      <w:hyperlink r:id="rId13" w:history="1">
        <w:r w:rsidR="00FD7863" w:rsidRPr="00083B55">
          <w:rPr>
            <w:rFonts w:ascii="Times New Roman" w:hAnsi="Times New Roman" w:cs="Times New Roman"/>
            <w:sz w:val="24"/>
            <w:szCs w:val="21"/>
          </w:rPr>
          <w:t>right</w:t>
        </w:r>
      </w:hyperlink>
      <w:r w:rsidR="00FD7863" w:rsidRPr="00083B55">
        <w:rPr>
          <w:rFonts w:ascii="Times New Roman" w:hAnsi="Times New Roman" w:cs="Times New Roman"/>
          <w:sz w:val="24"/>
          <w:szCs w:val="21"/>
        </w:rPr>
        <w:t> </w:t>
      </w:r>
      <w:hyperlink r:id="rId14" w:history="1">
        <w:r w:rsidR="00FD7863" w:rsidRPr="00083B55">
          <w:rPr>
            <w:rFonts w:ascii="Times New Roman" w:hAnsi="Times New Roman" w:cs="Times New Roman"/>
            <w:sz w:val="24"/>
            <w:szCs w:val="21"/>
          </w:rPr>
          <w:t>certificate</w:t>
        </w:r>
      </w:hyperlink>
      <w:r w:rsidR="00FD7863" w:rsidRPr="00083B55">
        <w:rPr>
          <w:rFonts w:ascii="Times New Roman" w:hAnsi="Times New Roman" w:cs="Times New Roman" w:hint="eastAsia"/>
          <w:sz w:val="24"/>
          <w:szCs w:val="21"/>
        </w:rPr>
        <w:t>, and only 7% participate in the forest right circulation markets. On the basis of these analys</w:t>
      </w:r>
      <w:r w:rsidR="00706517">
        <w:rPr>
          <w:rFonts w:ascii="Times New Roman" w:hAnsi="Times New Roman" w:cs="Times New Roman" w:hint="eastAsia"/>
          <w:sz w:val="24"/>
          <w:szCs w:val="21"/>
        </w:rPr>
        <w:t>e</w:t>
      </w:r>
      <w:r w:rsidR="00FD7863" w:rsidRPr="00083B55">
        <w:rPr>
          <w:rFonts w:ascii="Times New Roman" w:hAnsi="Times New Roman" w:cs="Times New Roman" w:hint="eastAsia"/>
          <w:sz w:val="24"/>
          <w:szCs w:val="21"/>
        </w:rPr>
        <w:t>s, some suggestions are given in the end.</w:t>
      </w:r>
    </w:p>
    <w:p w:rsidR="00083B55" w:rsidRPr="00083B55" w:rsidRDefault="00083B55" w:rsidP="00FD7863">
      <w:pPr>
        <w:spacing w:before="240"/>
        <w:rPr>
          <w:rFonts w:ascii="Times New Roman" w:hAnsi="Times New Roman" w:cs="Times New Roman"/>
          <w:sz w:val="24"/>
          <w:szCs w:val="21"/>
        </w:rPr>
      </w:pPr>
      <w:r w:rsidRPr="00083B55">
        <w:rPr>
          <w:rFonts w:ascii="Times New Roman" w:hAnsi="Times New Roman" w:cs="Times New Roman" w:hint="eastAsia"/>
          <w:b/>
          <w:sz w:val="24"/>
          <w:szCs w:val="21"/>
        </w:rPr>
        <w:t xml:space="preserve">Kew </w:t>
      </w:r>
      <w:r>
        <w:rPr>
          <w:rFonts w:ascii="Times New Roman" w:hAnsi="Times New Roman" w:cs="Times New Roman" w:hint="eastAsia"/>
          <w:b/>
          <w:sz w:val="24"/>
          <w:szCs w:val="21"/>
        </w:rPr>
        <w:t>W</w:t>
      </w:r>
      <w:r w:rsidRPr="00083B55">
        <w:rPr>
          <w:rFonts w:ascii="Times New Roman" w:hAnsi="Times New Roman" w:cs="Times New Roman" w:hint="eastAsia"/>
          <w:b/>
          <w:sz w:val="24"/>
          <w:szCs w:val="21"/>
        </w:rPr>
        <w:t>ords:</w:t>
      </w:r>
      <w:r w:rsidRPr="00083B55">
        <w:t xml:space="preserve"> </w:t>
      </w:r>
      <w:r>
        <w:rPr>
          <w:rFonts w:ascii="Times New Roman" w:hAnsi="Times New Roman" w:cs="Times New Roman" w:hint="eastAsia"/>
          <w:sz w:val="24"/>
          <w:szCs w:val="21"/>
        </w:rPr>
        <w:t>h</w:t>
      </w:r>
      <w:r w:rsidRPr="00083B55">
        <w:rPr>
          <w:rFonts w:ascii="Times New Roman" w:hAnsi="Times New Roman" w:cs="Times New Roman"/>
          <w:sz w:val="24"/>
          <w:szCs w:val="21"/>
        </w:rPr>
        <w:t xml:space="preserve">ousehold </w:t>
      </w:r>
      <w:r>
        <w:rPr>
          <w:rFonts w:ascii="Times New Roman" w:hAnsi="Times New Roman" w:cs="Times New Roman" w:hint="eastAsia"/>
          <w:sz w:val="24"/>
          <w:szCs w:val="21"/>
        </w:rPr>
        <w:t>c</w:t>
      </w:r>
      <w:r w:rsidRPr="00083B55">
        <w:rPr>
          <w:rFonts w:ascii="Times New Roman" w:hAnsi="Times New Roman" w:cs="Times New Roman"/>
          <w:sz w:val="24"/>
          <w:szCs w:val="21"/>
        </w:rPr>
        <w:t xml:space="preserve">ontracted </w:t>
      </w:r>
      <w:r>
        <w:rPr>
          <w:rFonts w:ascii="Times New Roman" w:hAnsi="Times New Roman" w:cs="Times New Roman" w:hint="eastAsia"/>
          <w:sz w:val="24"/>
          <w:szCs w:val="21"/>
        </w:rPr>
        <w:t>f</w:t>
      </w:r>
      <w:r w:rsidRPr="00083B55">
        <w:rPr>
          <w:rFonts w:ascii="Times New Roman" w:hAnsi="Times New Roman" w:cs="Times New Roman"/>
          <w:sz w:val="24"/>
          <w:szCs w:val="21"/>
        </w:rPr>
        <w:t>orestland</w:t>
      </w:r>
      <w:r>
        <w:rPr>
          <w:rFonts w:ascii="Times New Roman" w:hAnsi="Times New Roman" w:cs="Times New Roman" w:hint="eastAsia"/>
          <w:sz w:val="24"/>
          <w:szCs w:val="21"/>
        </w:rPr>
        <w:t xml:space="preserve">; </w:t>
      </w:r>
      <w:hyperlink r:id="rId15" w:history="1">
        <w:r w:rsidRPr="00083B55">
          <w:rPr>
            <w:rFonts w:ascii="Times New Roman" w:hAnsi="Times New Roman" w:cs="Times New Roman"/>
            <w:sz w:val="24"/>
            <w:szCs w:val="21"/>
          </w:rPr>
          <w:t>forest</w:t>
        </w:r>
      </w:hyperlink>
      <w:r w:rsidRPr="00083B55">
        <w:rPr>
          <w:rFonts w:ascii="Times New Roman" w:hAnsi="Times New Roman" w:cs="Times New Roman"/>
          <w:sz w:val="24"/>
          <w:szCs w:val="21"/>
        </w:rPr>
        <w:t> </w:t>
      </w:r>
      <w:hyperlink r:id="rId16" w:history="1">
        <w:r w:rsidRPr="00083B55">
          <w:rPr>
            <w:rFonts w:ascii="Times New Roman" w:hAnsi="Times New Roman" w:cs="Times New Roman"/>
            <w:sz w:val="24"/>
            <w:szCs w:val="21"/>
          </w:rPr>
          <w:t>right</w:t>
        </w:r>
      </w:hyperlink>
      <w:r w:rsidRPr="00083B55">
        <w:rPr>
          <w:rFonts w:ascii="Times New Roman" w:hAnsi="Times New Roman" w:cs="Times New Roman"/>
          <w:sz w:val="24"/>
          <w:szCs w:val="21"/>
        </w:rPr>
        <w:t> </w:t>
      </w:r>
      <w:hyperlink r:id="rId17" w:history="1">
        <w:r w:rsidRPr="00083B55">
          <w:rPr>
            <w:rFonts w:ascii="Times New Roman" w:hAnsi="Times New Roman" w:cs="Times New Roman"/>
            <w:sz w:val="24"/>
            <w:szCs w:val="21"/>
          </w:rPr>
          <w:t>certificate</w:t>
        </w:r>
      </w:hyperlink>
      <w:r>
        <w:rPr>
          <w:rFonts w:ascii="Times New Roman" w:hAnsi="Times New Roman" w:cs="Times New Roman"/>
          <w:sz w:val="24"/>
          <w:szCs w:val="21"/>
        </w:rPr>
        <w:t xml:space="preserve">; </w:t>
      </w:r>
      <w:r w:rsidRPr="00083B55">
        <w:rPr>
          <w:rFonts w:ascii="Times New Roman" w:hAnsi="Times New Roman" w:cs="Times New Roman" w:hint="eastAsia"/>
          <w:sz w:val="24"/>
          <w:szCs w:val="21"/>
        </w:rPr>
        <w:t>f</w:t>
      </w:r>
      <w:r w:rsidRPr="00083B55">
        <w:rPr>
          <w:rFonts w:ascii="Times New Roman" w:hAnsi="Times New Roman" w:cs="Times New Roman"/>
          <w:sz w:val="24"/>
          <w:szCs w:val="21"/>
        </w:rPr>
        <w:t>orest rights circulation</w:t>
      </w:r>
    </w:p>
    <w:p w:rsidR="00A84713" w:rsidRDefault="00976FC6">
      <w:pPr>
        <w:sectPr w:rsidR="00A84713" w:rsidSect="00A84713">
          <w:pgSz w:w="11906" w:h="16838"/>
          <w:pgMar w:top="1440" w:right="1800" w:bottom="1440" w:left="1800" w:header="851" w:footer="992" w:gutter="0"/>
          <w:cols w:space="425"/>
          <w:docGrid w:type="lines" w:linePitch="312"/>
        </w:sectPr>
      </w:pPr>
      <w:r>
        <w:rPr>
          <w:rFonts w:hint="eastAsia"/>
        </w:rPr>
        <w:t xml:space="preserve"> </w:t>
      </w:r>
    </w:p>
    <w:p w:rsidR="00195A7C" w:rsidRDefault="00B44B14" w:rsidP="00A84713">
      <w:pPr>
        <w:ind w:firstLineChars="200" w:firstLine="420"/>
      </w:pPr>
      <w:r>
        <w:rPr>
          <w:rFonts w:hint="eastAsia"/>
        </w:rPr>
        <w:lastRenderedPageBreak/>
        <w:t>2013</w:t>
      </w:r>
      <w:r>
        <w:rPr>
          <w:rFonts w:hint="eastAsia"/>
        </w:rPr>
        <w:t>年初，</w:t>
      </w:r>
      <w:r w:rsidR="00A84713" w:rsidRPr="00A84713">
        <w:rPr>
          <w:rFonts w:hint="eastAsia"/>
        </w:rPr>
        <w:t>国家林业局</w:t>
      </w:r>
      <w:r w:rsidRPr="00B44B14">
        <w:rPr>
          <w:rFonts w:hint="eastAsia"/>
        </w:rPr>
        <w:t>集体林权制度改革监测小组对</w:t>
      </w:r>
      <w:r>
        <w:rPr>
          <w:rFonts w:hint="eastAsia"/>
        </w:rPr>
        <w:t>福建、甘肃、湖南、江西、辽宁、陕西和云南七省进行了随机抽样，抽取了容量为</w:t>
      </w:r>
      <w:r>
        <w:rPr>
          <w:rFonts w:hint="eastAsia"/>
        </w:rPr>
        <w:t>3502</w:t>
      </w:r>
      <w:r>
        <w:rPr>
          <w:rFonts w:hint="eastAsia"/>
        </w:rPr>
        <w:t>户农户的样本，</w:t>
      </w:r>
      <w:r w:rsidR="0071306E">
        <w:rPr>
          <w:rFonts w:hint="eastAsia"/>
        </w:rPr>
        <w:t>对</w:t>
      </w:r>
      <w:r>
        <w:rPr>
          <w:rFonts w:hint="eastAsia"/>
        </w:rPr>
        <w:t>每个农户</w:t>
      </w:r>
      <w:r w:rsidR="0071306E">
        <w:rPr>
          <w:rFonts w:hint="eastAsia"/>
        </w:rPr>
        <w:t>2012</w:t>
      </w:r>
      <w:r w:rsidR="0071306E">
        <w:rPr>
          <w:rFonts w:hint="eastAsia"/>
        </w:rPr>
        <w:t>年的</w:t>
      </w:r>
      <w:r>
        <w:rPr>
          <w:rFonts w:hint="eastAsia"/>
        </w:rPr>
        <w:t>家庭基本情况、集体林权制度改革情况、农户家庭生计情况、林改政策需求四个方面进行了细致的问卷调查。本文</w:t>
      </w:r>
      <w:r w:rsidR="0071306E">
        <w:rPr>
          <w:rFonts w:hint="eastAsia"/>
        </w:rPr>
        <w:t>基于调查中集体林权制度改革情况的数据，对农户林地的特征和林权流转的相关情况进行了描述性统计分析，以期读者能够了解样本所在</w:t>
      </w:r>
      <w:r w:rsidR="0071306E">
        <w:rPr>
          <w:rFonts w:hint="eastAsia"/>
        </w:rPr>
        <w:t>7</w:t>
      </w:r>
      <w:r w:rsidR="0071306E">
        <w:rPr>
          <w:rFonts w:hint="eastAsia"/>
        </w:rPr>
        <w:t>省的集体林权制度改革</w:t>
      </w:r>
      <w:r w:rsidR="00F65B55">
        <w:rPr>
          <w:rFonts w:hint="eastAsia"/>
        </w:rPr>
        <w:t>后农户林地的现状</w:t>
      </w:r>
      <w:r w:rsidR="0071306E">
        <w:rPr>
          <w:rFonts w:hint="eastAsia"/>
        </w:rPr>
        <w:t>，为后续的相关研究的</w:t>
      </w:r>
      <w:proofErr w:type="gramStart"/>
      <w:r w:rsidR="0071306E">
        <w:rPr>
          <w:rFonts w:hint="eastAsia"/>
        </w:rPr>
        <w:t>展开做</w:t>
      </w:r>
      <w:proofErr w:type="gramEnd"/>
      <w:r w:rsidR="0071306E">
        <w:rPr>
          <w:rFonts w:hint="eastAsia"/>
        </w:rPr>
        <w:t>铺垫。</w:t>
      </w:r>
    </w:p>
    <w:p w:rsidR="006D3FFE" w:rsidRDefault="00466EA8" w:rsidP="00A84713">
      <w:pPr>
        <w:ind w:firstLineChars="200" w:firstLine="420"/>
      </w:pPr>
      <w:r>
        <w:rPr>
          <w:rFonts w:hint="eastAsia"/>
        </w:rPr>
        <w:lastRenderedPageBreak/>
        <w:t>调查小组在每个省随机抽取</w:t>
      </w:r>
      <w:r>
        <w:rPr>
          <w:rFonts w:hint="eastAsia"/>
        </w:rPr>
        <w:t>10</w:t>
      </w:r>
      <w:r>
        <w:rPr>
          <w:rFonts w:hint="eastAsia"/>
        </w:rPr>
        <w:t>个县，每个县抽取</w:t>
      </w:r>
      <w:r>
        <w:rPr>
          <w:rFonts w:hint="eastAsia"/>
        </w:rPr>
        <w:t>5</w:t>
      </w:r>
      <w:r>
        <w:rPr>
          <w:rFonts w:hint="eastAsia"/>
        </w:rPr>
        <w:t>个村庄，每个村庄抽取</w:t>
      </w:r>
      <w:r>
        <w:rPr>
          <w:rFonts w:hint="eastAsia"/>
        </w:rPr>
        <w:t>10</w:t>
      </w:r>
      <w:r>
        <w:rPr>
          <w:rFonts w:hint="eastAsia"/>
        </w:rPr>
        <w:t>户农户进行问卷调查（福建省政和县长垅村抽取了</w:t>
      </w:r>
      <w:r>
        <w:rPr>
          <w:rFonts w:hint="eastAsia"/>
        </w:rPr>
        <w:t>12</w:t>
      </w:r>
      <w:r>
        <w:rPr>
          <w:rFonts w:hint="eastAsia"/>
        </w:rPr>
        <w:t>户）。本文涉及</w:t>
      </w:r>
      <w:r w:rsidR="003B2F6F">
        <w:rPr>
          <w:rFonts w:hint="eastAsia"/>
        </w:rPr>
        <w:t>的调查</w:t>
      </w:r>
      <w:r w:rsidR="00F65B55">
        <w:rPr>
          <w:rFonts w:hint="eastAsia"/>
        </w:rPr>
        <w:t>针对</w:t>
      </w:r>
      <w:proofErr w:type="gramStart"/>
      <w:r w:rsidR="007824A1">
        <w:rPr>
          <w:rFonts w:hint="eastAsia"/>
        </w:rPr>
        <w:t>对</w:t>
      </w:r>
      <w:proofErr w:type="gramEnd"/>
      <w:r w:rsidR="00E7469D">
        <w:rPr>
          <w:rFonts w:hint="eastAsia"/>
        </w:rPr>
        <w:t>样本中每个农户</w:t>
      </w:r>
      <w:r w:rsidR="00F65B55">
        <w:rPr>
          <w:rFonts w:hint="eastAsia"/>
        </w:rPr>
        <w:t>每一块地</w:t>
      </w:r>
      <w:r w:rsidR="00CD1B0A">
        <w:rPr>
          <w:rFonts w:hint="eastAsia"/>
        </w:rPr>
        <w:t>的信息展开，调查问卷共统计了每个农户最多</w:t>
      </w:r>
      <w:r w:rsidR="00F65B55">
        <w:rPr>
          <w:rFonts w:hint="eastAsia"/>
        </w:rPr>
        <w:t>12</w:t>
      </w:r>
      <w:r w:rsidR="00F65B55">
        <w:rPr>
          <w:rFonts w:hint="eastAsia"/>
        </w:rPr>
        <w:t>块地的数据。</w:t>
      </w:r>
      <w:r w:rsidR="007F2EFF">
        <w:rPr>
          <w:rFonts w:hint="eastAsia"/>
        </w:rPr>
        <w:t>表</w:t>
      </w:r>
      <w:r w:rsidR="007F2EFF">
        <w:rPr>
          <w:rFonts w:hint="eastAsia"/>
        </w:rPr>
        <w:t>1</w:t>
      </w:r>
      <w:r w:rsidR="007F2EFF">
        <w:rPr>
          <w:rFonts w:hint="eastAsia"/>
        </w:rPr>
        <w:t>给出了平均每户的地块数据和平均每块的面积。总体而言，</w:t>
      </w:r>
      <w:r w:rsidR="0033603A">
        <w:rPr>
          <w:rFonts w:hint="eastAsia"/>
        </w:rPr>
        <w:t>共有</w:t>
      </w:r>
      <w:r w:rsidR="0033603A">
        <w:rPr>
          <w:rFonts w:hint="eastAsia"/>
        </w:rPr>
        <w:t>12282</w:t>
      </w:r>
      <w:r w:rsidR="0033603A">
        <w:rPr>
          <w:rFonts w:hint="eastAsia"/>
        </w:rPr>
        <w:t>块地，</w:t>
      </w:r>
      <w:r w:rsidR="00E7469D">
        <w:rPr>
          <w:rFonts w:hint="eastAsia"/>
        </w:rPr>
        <w:t>每个农户</w:t>
      </w:r>
      <w:r w:rsidR="007F2EFF">
        <w:rPr>
          <w:rFonts w:hint="eastAsia"/>
        </w:rPr>
        <w:t>平均</w:t>
      </w:r>
      <w:r w:rsidR="00E7469D">
        <w:rPr>
          <w:rFonts w:hint="eastAsia"/>
        </w:rPr>
        <w:t>有</w:t>
      </w:r>
      <w:r w:rsidR="00E7469D">
        <w:rPr>
          <w:rFonts w:hint="eastAsia"/>
        </w:rPr>
        <w:t>3.5</w:t>
      </w:r>
      <w:r w:rsidR="00E7469D">
        <w:rPr>
          <w:rFonts w:hint="eastAsia"/>
        </w:rPr>
        <w:t>块地，每块林地为</w:t>
      </w:r>
      <w:r w:rsidR="00E7469D">
        <w:rPr>
          <w:rFonts w:hint="eastAsia"/>
        </w:rPr>
        <w:t>28</w:t>
      </w:r>
      <w:r w:rsidR="00E7469D">
        <w:rPr>
          <w:rFonts w:hint="eastAsia"/>
        </w:rPr>
        <w:t>亩，但各省情况有别</w:t>
      </w:r>
      <w:r w:rsidR="007F2EFF">
        <w:rPr>
          <w:rFonts w:hint="eastAsia"/>
        </w:rPr>
        <w:t>，且农户与农户之间家庭林地差别较大，导致平均林地面积方差很大</w:t>
      </w:r>
      <w:r w:rsidR="00E7469D">
        <w:rPr>
          <w:rFonts w:hint="eastAsia"/>
        </w:rPr>
        <w:t>。</w:t>
      </w:r>
    </w:p>
    <w:p w:rsidR="00EB1C98" w:rsidRPr="007F2EFF" w:rsidRDefault="00EB1C98" w:rsidP="007F2EFF">
      <w:pPr>
        <w:pStyle w:val="a6"/>
        <w:numPr>
          <w:ilvl w:val="0"/>
          <w:numId w:val="20"/>
        </w:numPr>
        <w:ind w:left="0" w:firstLineChars="71" w:firstLine="142"/>
        <w:jc w:val="center"/>
        <w:rPr>
          <w:bCs/>
          <w:sz w:val="20"/>
        </w:rPr>
      </w:pPr>
      <w:r w:rsidRPr="007F2EFF">
        <w:rPr>
          <w:rFonts w:hint="eastAsia"/>
          <w:bCs/>
          <w:sz w:val="20"/>
        </w:rPr>
        <w:t>各省家庭林地平均情况统计</w:t>
      </w:r>
    </w:p>
    <w:tbl>
      <w:tblPr>
        <w:tblW w:w="3843" w:type="dxa"/>
        <w:tblInd w:w="93" w:type="dxa"/>
        <w:tblLook w:val="04A0" w:firstRow="1" w:lastRow="0" w:firstColumn="1" w:lastColumn="0" w:noHBand="0" w:noVBand="1"/>
      </w:tblPr>
      <w:tblGrid>
        <w:gridCol w:w="866"/>
        <w:gridCol w:w="1559"/>
        <w:gridCol w:w="1418"/>
      </w:tblGrid>
      <w:tr w:rsidR="00EB1C98" w:rsidTr="00EB1C98">
        <w:trPr>
          <w:trHeight w:val="315"/>
        </w:trPr>
        <w:tc>
          <w:tcPr>
            <w:tcW w:w="866" w:type="dxa"/>
            <w:tcBorders>
              <w:top w:val="double" w:sz="6" w:space="0" w:color="auto"/>
              <w:left w:val="nil"/>
              <w:bottom w:val="single" w:sz="8" w:space="0" w:color="000000"/>
              <w:right w:val="nil"/>
            </w:tcBorders>
            <w:shd w:val="clear" w:color="auto" w:fill="auto"/>
            <w:noWrap/>
            <w:hideMark/>
          </w:tcPr>
          <w:p w:rsidR="00EB1C98" w:rsidRDefault="00EB1C98">
            <w:pPr>
              <w:rPr>
                <w:rFonts w:ascii="Calibri" w:eastAsia="宋体" w:hAnsi="Calibri" w:cs="宋体"/>
                <w:color w:val="000000"/>
                <w:szCs w:val="21"/>
              </w:rPr>
            </w:pPr>
            <w:r>
              <w:rPr>
                <w:rFonts w:ascii="Calibri" w:hAnsi="Calibri"/>
                <w:color w:val="000000"/>
                <w:szCs w:val="21"/>
              </w:rPr>
              <w:lastRenderedPageBreak/>
              <w:t xml:space="preserve">　</w:t>
            </w:r>
          </w:p>
        </w:tc>
        <w:tc>
          <w:tcPr>
            <w:tcW w:w="1559" w:type="dxa"/>
            <w:tcBorders>
              <w:top w:val="double" w:sz="6" w:space="0" w:color="auto"/>
              <w:left w:val="nil"/>
              <w:bottom w:val="single" w:sz="8" w:space="0" w:color="000000"/>
              <w:right w:val="nil"/>
            </w:tcBorders>
            <w:shd w:val="clear" w:color="auto" w:fill="auto"/>
            <w:noWrap/>
            <w:vAlign w:val="center"/>
            <w:hideMark/>
          </w:tcPr>
          <w:p w:rsidR="00EB1C98" w:rsidRDefault="00EB1C98">
            <w:pPr>
              <w:jc w:val="center"/>
              <w:rPr>
                <w:rFonts w:ascii="宋体" w:eastAsia="宋体" w:hAnsi="宋体" w:cs="宋体"/>
                <w:color w:val="000000"/>
                <w:sz w:val="20"/>
                <w:szCs w:val="20"/>
              </w:rPr>
            </w:pPr>
            <w:r>
              <w:rPr>
                <w:rFonts w:hint="eastAsia"/>
                <w:color w:val="000000"/>
                <w:sz w:val="20"/>
                <w:szCs w:val="20"/>
              </w:rPr>
              <w:t>家庭林地块数</w:t>
            </w:r>
          </w:p>
        </w:tc>
        <w:tc>
          <w:tcPr>
            <w:tcW w:w="1418" w:type="dxa"/>
            <w:tcBorders>
              <w:top w:val="double" w:sz="6" w:space="0" w:color="auto"/>
              <w:left w:val="nil"/>
              <w:bottom w:val="single" w:sz="8" w:space="0" w:color="000000"/>
              <w:right w:val="nil"/>
            </w:tcBorders>
            <w:shd w:val="clear" w:color="auto" w:fill="auto"/>
            <w:noWrap/>
            <w:vAlign w:val="center"/>
            <w:hideMark/>
          </w:tcPr>
          <w:p w:rsidR="00EB1C98" w:rsidRDefault="00EB1C98" w:rsidP="007F2EFF">
            <w:pPr>
              <w:jc w:val="center"/>
              <w:rPr>
                <w:rFonts w:ascii="宋体" w:eastAsia="宋体" w:hAnsi="宋体" w:cs="宋体"/>
                <w:color w:val="000000"/>
                <w:sz w:val="20"/>
                <w:szCs w:val="20"/>
              </w:rPr>
            </w:pPr>
            <w:r>
              <w:rPr>
                <w:rFonts w:hint="eastAsia"/>
                <w:color w:val="000000"/>
                <w:sz w:val="20"/>
                <w:szCs w:val="20"/>
              </w:rPr>
              <w:t>每块面积</w:t>
            </w:r>
            <w:r w:rsidR="007F2EFF">
              <w:rPr>
                <w:rFonts w:hint="eastAsia"/>
                <w:color w:val="000000"/>
                <w:sz w:val="20"/>
                <w:szCs w:val="20"/>
              </w:rPr>
              <w:t>（亩）</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r>
              <w:rPr>
                <w:rFonts w:hint="eastAsia"/>
                <w:color w:val="000000"/>
                <w:sz w:val="20"/>
                <w:szCs w:val="20"/>
              </w:rPr>
              <w:t>福建</w:t>
            </w: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2.84</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34.62</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(1.89)</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(156.52)</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r>
              <w:rPr>
                <w:rFonts w:hint="eastAsia"/>
                <w:color w:val="000000"/>
                <w:sz w:val="20"/>
                <w:szCs w:val="20"/>
              </w:rPr>
              <w:t>甘肃</w:t>
            </w: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3.03</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12.87</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(1.96)</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(21.12)</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r>
              <w:rPr>
                <w:rFonts w:hint="eastAsia"/>
                <w:color w:val="000000"/>
                <w:sz w:val="20"/>
                <w:szCs w:val="20"/>
              </w:rPr>
              <w:t>湖南</w:t>
            </w: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4.19</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16.10</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(3.17)</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(56.23)</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r>
              <w:rPr>
                <w:rFonts w:hint="eastAsia"/>
                <w:color w:val="000000"/>
                <w:sz w:val="20"/>
                <w:szCs w:val="20"/>
              </w:rPr>
              <w:t>江西</w:t>
            </w: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4.49</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24.40</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(2.84)</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(39.97)</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r>
              <w:rPr>
                <w:rFonts w:hint="eastAsia"/>
                <w:color w:val="000000"/>
                <w:sz w:val="20"/>
                <w:szCs w:val="20"/>
              </w:rPr>
              <w:t>辽宁</w:t>
            </w: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2.92</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25.53</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(2.14)</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(41.91)</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r>
              <w:rPr>
                <w:rFonts w:hint="eastAsia"/>
                <w:color w:val="000000"/>
                <w:sz w:val="20"/>
                <w:szCs w:val="20"/>
              </w:rPr>
              <w:t>陕西</w:t>
            </w: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3.41</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57.09</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(2.19)</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(110.12)</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r>
              <w:rPr>
                <w:rFonts w:hint="eastAsia"/>
                <w:color w:val="000000"/>
                <w:sz w:val="20"/>
                <w:szCs w:val="20"/>
              </w:rPr>
              <w:t>云南</w:t>
            </w: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3.65</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25.01</w:t>
            </w:r>
          </w:p>
        </w:tc>
      </w:tr>
      <w:tr w:rsidR="00EB1C98" w:rsidTr="00EB1C98">
        <w:trPr>
          <w:trHeight w:val="270"/>
        </w:trPr>
        <w:tc>
          <w:tcPr>
            <w:tcW w:w="866" w:type="dxa"/>
            <w:tcBorders>
              <w:top w:val="nil"/>
              <w:left w:val="nil"/>
              <w:bottom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p>
        </w:tc>
        <w:tc>
          <w:tcPr>
            <w:tcW w:w="1559"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(2.91)</w:t>
            </w:r>
          </w:p>
        </w:tc>
        <w:tc>
          <w:tcPr>
            <w:tcW w:w="1418" w:type="dxa"/>
            <w:tcBorders>
              <w:top w:val="nil"/>
              <w:left w:val="nil"/>
              <w:bottom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(56.93)</w:t>
            </w:r>
          </w:p>
        </w:tc>
      </w:tr>
      <w:tr w:rsidR="00EB1C98" w:rsidTr="00EB1C98">
        <w:trPr>
          <w:trHeight w:val="285"/>
        </w:trPr>
        <w:tc>
          <w:tcPr>
            <w:tcW w:w="866" w:type="dxa"/>
            <w:tcBorders>
              <w:top w:val="nil"/>
              <w:left w:val="nil"/>
              <w:right w:val="nil"/>
            </w:tcBorders>
            <w:shd w:val="clear" w:color="auto" w:fill="auto"/>
            <w:vAlign w:val="center"/>
            <w:hideMark/>
          </w:tcPr>
          <w:p w:rsidR="00EB1C98" w:rsidRDefault="00EB1C98">
            <w:pPr>
              <w:jc w:val="center"/>
              <w:rPr>
                <w:rFonts w:ascii="宋体" w:eastAsia="宋体" w:hAnsi="宋体" w:cs="宋体"/>
                <w:color w:val="000000"/>
                <w:sz w:val="20"/>
                <w:szCs w:val="20"/>
              </w:rPr>
            </w:pPr>
            <w:r>
              <w:rPr>
                <w:rFonts w:hint="eastAsia"/>
                <w:color w:val="000000"/>
                <w:sz w:val="20"/>
                <w:szCs w:val="20"/>
              </w:rPr>
              <w:t>总体</w:t>
            </w:r>
          </w:p>
        </w:tc>
        <w:tc>
          <w:tcPr>
            <w:tcW w:w="1559" w:type="dxa"/>
            <w:tcBorders>
              <w:top w:val="nil"/>
              <w:left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3.50</w:t>
            </w:r>
          </w:p>
        </w:tc>
        <w:tc>
          <w:tcPr>
            <w:tcW w:w="1418" w:type="dxa"/>
            <w:tcBorders>
              <w:top w:val="nil"/>
              <w:left w:val="nil"/>
              <w:right w:val="nil"/>
            </w:tcBorders>
            <w:shd w:val="clear" w:color="auto" w:fill="auto"/>
            <w:noWrap/>
            <w:vAlign w:val="center"/>
            <w:hideMark/>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28.01</w:t>
            </w:r>
          </w:p>
        </w:tc>
      </w:tr>
      <w:tr w:rsidR="00EB1C98" w:rsidTr="00EB1C98">
        <w:trPr>
          <w:trHeight w:val="285"/>
        </w:trPr>
        <w:tc>
          <w:tcPr>
            <w:tcW w:w="866" w:type="dxa"/>
            <w:tcBorders>
              <w:top w:val="nil"/>
              <w:left w:val="nil"/>
              <w:bottom w:val="double" w:sz="6" w:space="0" w:color="auto"/>
              <w:right w:val="nil"/>
            </w:tcBorders>
            <w:shd w:val="clear" w:color="auto" w:fill="auto"/>
            <w:vAlign w:val="center"/>
          </w:tcPr>
          <w:p w:rsidR="00EB1C98" w:rsidRDefault="00EB1C98">
            <w:pPr>
              <w:jc w:val="center"/>
              <w:rPr>
                <w:color w:val="000000"/>
                <w:sz w:val="20"/>
                <w:szCs w:val="20"/>
              </w:rPr>
            </w:pPr>
          </w:p>
        </w:tc>
        <w:tc>
          <w:tcPr>
            <w:tcW w:w="1559" w:type="dxa"/>
            <w:tcBorders>
              <w:top w:val="nil"/>
              <w:left w:val="nil"/>
              <w:bottom w:val="double" w:sz="6" w:space="0" w:color="auto"/>
              <w:right w:val="nil"/>
            </w:tcBorders>
            <w:shd w:val="clear" w:color="auto" w:fill="auto"/>
            <w:noWrap/>
            <w:vAlign w:val="center"/>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(2.56)</w:t>
            </w:r>
          </w:p>
        </w:tc>
        <w:tc>
          <w:tcPr>
            <w:tcW w:w="1418" w:type="dxa"/>
            <w:tcBorders>
              <w:top w:val="nil"/>
              <w:left w:val="nil"/>
              <w:bottom w:val="double" w:sz="6" w:space="0" w:color="auto"/>
              <w:right w:val="nil"/>
            </w:tcBorders>
            <w:shd w:val="clear" w:color="auto" w:fill="auto"/>
            <w:noWrap/>
            <w:vAlign w:val="center"/>
          </w:tcPr>
          <w:p w:rsidR="00EB1C98" w:rsidRPr="00EB1C98" w:rsidRDefault="00EB1C98" w:rsidP="00EB1C98">
            <w:pPr>
              <w:widowControl/>
              <w:jc w:val="center"/>
              <w:rPr>
                <w:rFonts w:ascii="宋体" w:eastAsia="宋体" w:hAnsi="宋体" w:cs="宋体"/>
                <w:bCs/>
                <w:color w:val="000000"/>
                <w:kern w:val="0"/>
                <w:sz w:val="20"/>
                <w:szCs w:val="21"/>
              </w:rPr>
            </w:pPr>
            <w:r w:rsidRPr="00EB1C98">
              <w:rPr>
                <w:rFonts w:ascii="宋体" w:eastAsia="宋体" w:hAnsi="宋体" w:cs="宋体" w:hint="eastAsia"/>
                <w:bCs/>
                <w:color w:val="000000"/>
                <w:kern w:val="0"/>
                <w:sz w:val="20"/>
                <w:szCs w:val="21"/>
              </w:rPr>
              <w:t>(82.95)</w:t>
            </w:r>
          </w:p>
        </w:tc>
      </w:tr>
    </w:tbl>
    <w:p w:rsidR="00E7469D" w:rsidRDefault="00EB1C98" w:rsidP="00EB1C98">
      <w:r>
        <w:rPr>
          <w:rFonts w:hint="eastAsia"/>
        </w:rPr>
        <w:t>（括号内为标准差）</w:t>
      </w:r>
    </w:p>
    <w:p w:rsidR="007F2EFF" w:rsidRPr="007F2EFF" w:rsidRDefault="007F2EFF" w:rsidP="00EB1C98">
      <w:r>
        <w:rPr>
          <w:rFonts w:hint="eastAsia"/>
        </w:rPr>
        <w:t>下文的统计描述从各省县乡具体情况和样本总体情况、每户</w:t>
      </w:r>
      <w:r>
        <w:rPr>
          <w:rFonts w:hint="eastAsia"/>
        </w:rPr>
        <w:t>12</w:t>
      </w:r>
      <w:r>
        <w:rPr>
          <w:rFonts w:hint="eastAsia"/>
        </w:rPr>
        <w:t>块林地各自的情况和每户林地总体的情况多个维度进行。</w:t>
      </w:r>
    </w:p>
    <w:p w:rsidR="00706517" w:rsidRDefault="00706517" w:rsidP="00706517">
      <w:pPr>
        <w:pStyle w:val="1"/>
        <w:numPr>
          <w:ilvl w:val="0"/>
          <w:numId w:val="2"/>
        </w:numPr>
        <w:spacing w:after="0"/>
      </w:pPr>
      <w:r w:rsidRPr="000E3CED">
        <w:rPr>
          <w:rFonts w:hint="eastAsia"/>
        </w:rPr>
        <w:t>农户林地承包情况分析</w:t>
      </w:r>
    </w:p>
    <w:p w:rsidR="007F2562" w:rsidRDefault="007F2562" w:rsidP="00D576F9">
      <w:pPr>
        <w:pStyle w:val="2"/>
        <w:numPr>
          <w:ilvl w:val="1"/>
          <w:numId w:val="3"/>
        </w:numPr>
      </w:pPr>
      <w:r w:rsidRPr="000E3CED">
        <w:rPr>
          <w:rFonts w:hint="eastAsia"/>
        </w:rPr>
        <w:t>林地类型</w:t>
      </w:r>
    </w:p>
    <w:p w:rsidR="006D3FFE" w:rsidRDefault="004A293C">
      <w:r>
        <w:rPr>
          <w:noProof/>
        </w:rPr>
        <w:drawing>
          <wp:inline distT="0" distB="0" distL="0" distR="0" wp14:anchorId="7A15A810" wp14:editId="2BDD6FAA">
            <wp:extent cx="2619375" cy="230505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A293C" w:rsidRPr="00091A68" w:rsidRDefault="004A293C" w:rsidP="00091A68">
      <w:pPr>
        <w:spacing w:after="240"/>
        <w:jc w:val="center"/>
        <w:rPr>
          <w:sz w:val="20"/>
        </w:rPr>
      </w:pPr>
      <w:r w:rsidRPr="00091A68">
        <w:rPr>
          <w:rFonts w:hint="eastAsia"/>
          <w:bCs/>
          <w:sz w:val="20"/>
        </w:rPr>
        <w:t>图</w:t>
      </w:r>
      <w:r w:rsidRPr="00091A68">
        <w:rPr>
          <w:rFonts w:hint="eastAsia"/>
          <w:bCs/>
          <w:sz w:val="20"/>
        </w:rPr>
        <w:t xml:space="preserve">1 </w:t>
      </w:r>
      <w:r w:rsidRPr="00091A68">
        <w:rPr>
          <w:bCs/>
          <w:sz w:val="20"/>
        </w:rPr>
        <w:t>各省公益林与</w:t>
      </w:r>
      <w:proofErr w:type="gramStart"/>
      <w:r w:rsidRPr="00091A68">
        <w:rPr>
          <w:bCs/>
          <w:sz w:val="20"/>
        </w:rPr>
        <w:t>商品林块数</w:t>
      </w:r>
      <w:proofErr w:type="gramEnd"/>
    </w:p>
    <w:p w:rsidR="00F65B55" w:rsidRDefault="004A293C" w:rsidP="00A84713">
      <w:pPr>
        <w:ind w:firstLineChars="200" w:firstLine="420"/>
      </w:pPr>
      <w:r>
        <w:rPr>
          <w:rFonts w:hint="eastAsia"/>
        </w:rPr>
        <w:t>统计数据以划给农户的块数作为单位。从类型来看，公益林和商品林的总数量分别</w:t>
      </w:r>
      <w:r>
        <w:rPr>
          <w:rFonts w:hint="eastAsia"/>
        </w:rPr>
        <w:lastRenderedPageBreak/>
        <w:t>为</w:t>
      </w:r>
      <w:r w:rsidR="00E962FE">
        <w:rPr>
          <w:rFonts w:hint="eastAsia"/>
        </w:rPr>
        <w:t>4885</w:t>
      </w:r>
      <w:r>
        <w:rPr>
          <w:rFonts w:hint="eastAsia"/>
        </w:rPr>
        <w:t>、</w:t>
      </w:r>
      <w:r w:rsidR="00E962FE">
        <w:rPr>
          <w:rFonts w:hint="eastAsia"/>
        </w:rPr>
        <w:t>7397</w:t>
      </w:r>
      <w:r>
        <w:rPr>
          <w:rFonts w:hint="eastAsia"/>
        </w:rPr>
        <w:t>块，商品林</w:t>
      </w:r>
      <w:r w:rsidR="00E962FE">
        <w:rPr>
          <w:rFonts w:hint="eastAsia"/>
        </w:rPr>
        <w:t>要</w:t>
      </w:r>
      <w:r>
        <w:rPr>
          <w:rFonts w:hint="eastAsia"/>
        </w:rPr>
        <w:t>多一些。各省情况不同，大部分省都是商品林居多，而甘肃和陕西</w:t>
      </w:r>
      <w:r w:rsidR="00EC7FE9">
        <w:rPr>
          <w:rFonts w:hint="eastAsia"/>
        </w:rPr>
        <w:t>则</w:t>
      </w:r>
      <w:r>
        <w:rPr>
          <w:rFonts w:hint="eastAsia"/>
        </w:rPr>
        <w:t>以生态林为主。</w:t>
      </w:r>
      <w:r w:rsidR="000E3CED">
        <w:rPr>
          <w:rFonts w:hint="eastAsia"/>
        </w:rPr>
        <w:t>这与不同地方的生态环境特点是相一致的：</w:t>
      </w:r>
      <w:r>
        <w:rPr>
          <w:rFonts w:hint="eastAsia"/>
        </w:rPr>
        <w:t>福建、江西作为林业产业大省，其商品林的比例</w:t>
      </w:r>
      <w:r w:rsidR="000E3CED">
        <w:rPr>
          <w:rFonts w:hint="eastAsia"/>
        </w:rPr>
        <w:t>能达到</w:t>
      </w:r>
      <w:r w:rsidR="00D576F9">
        <w:rPr>
          <w:rFonts w:hint="eastAsia"/>
        </w:rPr>
        <w:t>85</w:t>
      </w:r>
      <w:r w:rsidR="000E3CED">
        <w:rPr>
          <w:rFonts w:hint="eastAsia"/>
        </w:rPr>
        <w:t>%</w:t>
      </w:r>
      <w:r w:rsidR="00D576F9">
        <w:rPr>
          <w:rFonts w:hint="eastAsia"/>
        </w:rPr>
        <w:t>以上</w:t>
      </w:r>
      <w:r w:rsidR="000E3CED">
        <w:rPr>
          <w:rFonts w:hint="eastAsia"/>
        </w:rPr>
        <w:t>，占据</w:t>
      </w:r>
      <w:r>
        <w:rPr>
          <w:rFonts w:hint="eastAsia"/>
        </w:rPr>
        <w:t>绝对的优势</w:t>
      </w:r>
      <w:r w:rsidR="000E3CED">
        <w:rPr>
          <w:rFonts w:hint="eastAsia"/>
        </w:rPr>
        <w:t>；</w:t>
      </w:r>
      <w:r>
        <w:rPr>
          <w:rFonts w:hint="eastAsia"/>
        </w:rPr>
        <w:t>而辽宁</w:t>
      </w:r>
      <w:r w:rsidR="000E3CED">
        <w:rPr>
          <w:rFonts w:hint="eastAsia"/>
        </w:rPr>
        <w:t>森林覆盖率虽然高，但其</w:t>
      </w:r>
      <w:r>
        <w:rPr>
          <w:rFonts w:hint="eastAsia"/>
        </w:rPr>
        <w:t>所在的东北林区</w:t>
      </w:r>
      <w:r w:rsidR="000E3CED">
        <w:rPr>
          <w:rFonts w:hint="eastAsia"/>
        </w:rPr>
        <w:t>是我国最大的天然林区，公益林的面积要更多一些；甘肃和陕西由于特殊的地理和历史原因，其林地多为退耕林、防护林等的生态</w:t>
      </w:r>
      <w:r w:rsidR="00706517">
        <w:rPr>
          <w:rFonts w:hint="eastAsia"/>
        </w:rPr>
        <w:t>公益</w:t>
      </w:r>
      <w:r w:rsidR="000E3CED">
        <w:rPr>
          <w:rFonts w:hint="eastAsia"/>
        </w:rPr>
        <w:t>林类型。据此在进行研究和政策制定时，</w:t>
      </w:r>
      <w:r>
        <w:rPr>
          <w:rFonts w:hint="eastAsia"/>
        </w:rPr>
        <w:t>具体情况需因地制宜。</w:t>
      </w:r>
    </w:p>
    <w:p w:rsidR="00091A68" w:rsidRDefault="00EC7FE9" w:rsidP="00976FC6">
      <w:pPr>
        <w:pStyle w:val="2"/>
        <w:numPr>
          <w:ilvl w:val="1"/>
          <w:numId w:val="3"/>
        </w:numPr>
      </w:pPr>
      <w:r>
        <w:rPr>
          <w:rFonts w:hint="eastAsia"/>
        </w:rPr>
        <w:t>家庭承包林地时间</w:t>
      </w:r>
    </w:p>
    <w:p w:rsidR="00091A68" w:rsidRPr="00091A68" w:rsidRDefault="00091A68" w:rsidP="007F2EFF">
      <w:pPr>
        <w:pStyle w:val="a6"/>
        <w:numPr>
          <w:ilvl w:val="0"/>
          <w:numId w:val="20"/>
        </w:numPr>
        <w:ind w:left="0" w:firstLineChars="71" w:firstLine="142"/>
        <w:jc w:val="center"/>
        <w:rPr>
          <w:bCs/>
          <w:sz w:val="20"/>
        </w:rPr>
      </w:pPr>
      <w:proofErr w:type="gramStart"/>
      <w:r w:rsidRPr="00091A68">
        <w:rPr>
          <w:rFonts w:hint="eastAsia"/>
          <w:bCs/>
          <w:sz w:val="20"/>
        </w:rPr>
        <w:t>林改前后</w:t>
      </w:r>
      <w:proofErr w:type="gramEnd"/>
      <w:r w:rsidR="00E7469D">
        <w:rPr>
          <w:rFonts w:hint="eastAsia"/>
          <w:bCs/>
          <w:sz w:val="20"/>
        </w:rPr>
        <w:t>得到家庭承包林地的农户统计</w:t>
      </w:r>
    </w:p>
    <w:p w:rsidR="00091A68" w:rsidRPr="00091A68" w:rsidRDefault="00091A68" w:rsidP="00091A68">
      <w:pPr>
        <w:jc w:val="right"/>
        <w:rPr>
          <w:sz w:val="20"/>
        </w:rPr>
      </w:pPr>
      <w:r w:rsidRPr="00091A68">
        <w:rPr>
          <w:rFonts w:hint="eastAsia"/>
          <w:sz w:val="20"/>
        </w:rPr>
        <w:t>（单位：</w:t>
      </w:r>
      <w:r w:rsidR="00E7469D">
        <w:rPr>
          <w:rFonts w:hint="eastAsia"/>
          <w:sz w:val="20"/>
        </w:rPr>
        <w:t>户</w:t>
      </w:r>
      <w:r w:rsidRPr="00091A68">
        <w:rPr>
          <w:rFonts w:hint="eastAsia"/>
          <w:sz w:val="20"/>
        </w:rPr>
        <w:t>）</w:t>
      </w:r>
    </w:p>
    <w:tbl>
      <w:tblPr>
        <w:tblStyle w:val="a5"/>
        <w:tblW w:w="4157" w:type="dxa"/>
        <w:tblLayout w:type="fixed"/>
        <w:tblLook w:val="04A0" w:firstRow="1" w:lastRow="0" w:firstColumn="1" w:lastColumn="0" w:noHBand="0" w:noVBand="1"/>
      </w:tblPr>
      <w:tblGrid>
        <w:gridCol w:w="1029"/>
        <w:gridCol w:w="822"/>
        <w:gridCol w:w="768"/>
        <w:gridCol w:w="769"/>
        <w:gridCol w:w="769"/>
      </w:tblGrid>
      <w:tr w:rsidR="00C76D00" w:rsidRPr="00411D83" w:rsidTr="00C76D0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9" w:type="dxa"/>
            <w:tcBorders>
              <w:top w:val="double" w:sz="4" w:space="0" w:color="auto"/>
            </w:tcBorders>
            <w:shd w:val="clear" w:color="auto" w:fill="auto"/>
            <w:hideMark/>
          </w:tcPr>
          <w:p w:rsidR="00C76D00" w:rsidRPr="00EC7FE9" w:rsidRDefault="00C76D00" w:rsidP="00EC7FE9">
            <w:pPr>
              <w:widowControl/>
              <w:rPr>
                <w:rFonts w:ascii="Calibri" w:eastAsia="宋体" w:hAnsi="Calibri" w:cs="宋体"/>
                <w:color w:val="000000"/>
                <w:kern w:val="0"/>
                <w:sz w:val="20"/>
                <w:szCs w:val="21"/>
              </w:rPr>
            </w:pPr>
            <w:r w:rsidRPr="00EC7FE9">
              <w:rPr>
                <w:rFonts w:ascii="Calibri" w:eastAsia="宋体" w:hAnsi="Calibri" w:cs="宋体"/>
                <w:color w:val="000000"/>
                <w:kern w:val="0"/>
                <w:sz w:val="20"/>
                <w:szCs w:val="21"/>
              </w:rPr>
              <w:t xml:space="preserve">　</w:t>
            </w:r>
          </w:p>
        </w:tc>
        <w:tc>
          <w:tcPr>
            <w:tcW w:w="822" w:type="dxa"/>
            <w:tcBorders>
              <w:top w:val="double" w:sz="4" w:space="0" w:color="auto"/>
            </w:tcBorders>
            <w:shd w:val="clear" w:color="auto" w:fill="auto"/>
          </w:tcPr>
          <w:p w:rsidR="00C76D00" w:rsidRPr="00EC7FE9" w:rsidRDefault="00C76D00" w:rsidP="00195A7C">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EC7FE9">
              <w:rPr>
                <w:rFonts w:ascii="宋体" w:eastAsia="宋体" w:hAnsi="宋体" w:cs="宋体" w:hint="eastAsia"/>
                <w:b w:val="0"/>
                <w:color w:val="000000"/>
                <w:kern w:val="0"/>
                <w:sz w:val="20"/>
                <w:szCs w:val="21"/>
              </w:rPr>
              <w:t>总体</w:t>
            </w:r>
          </w:p>
        </w:tc>
        <w:tc>
          <w:tcPr>
            <w:tcW w:w="768" w:type="dxa"/>
            <w:tcBorders>
              <w:top w:val="double" w:sz="4" w:space="0" w:color="auto"/>
            </w:tcBorders>
            <w:shd w:val="clear" w:color="auto" w:fill="auto"/>
            <w:hideMark/>
          </w:tcPr>
          <w:p w:rsidR="00C76D00" w:rsidRPr="00EC7FE9" w:rsidRDefault="00C76D00" w:rsidP="00EC7FE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EC7FE9">
              <w:rPr>
                <w:rFonts w:ascii="宋体" w:eastAsia="宋体" w:hAnsi="宋体" w:cs="宋体" w:hint="eastAsia"/>
                <w:b w:val="0"/>
                <w:color w:val="000000"/>
                <w:kern w:val="0"/>
                <w:sz w:val="20"/>
                <w:szCs w:val="21"/>
              </w:rPr>
              <w:t>福建</w:t>
            </w:r>
          </w:p>
        </w:tc>
        <w:tc>
          <w:tcPr>
            <w:tcW w:w="769" w:type="dxa"/>
            <w:tcBorders>
              <w:top w:val="double" w:sz="4" w:space="0" w:color="auto"/>
            </w:tcBorders>
            <w:shd w:val="clear" w:color="auto" w:fill="auto"/>
            <w:hideMark/>
          </w:tcPr>
          <w:p w:rsidR="00C76D00" w:rsidRPr="00EC7FE9" w:rsidRDefault="00C76D00" w:rsidP="00EC7FE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EC7FE9">
              <w:rPr>
                <w:rFonts w:ascii="宋体" w:eastAsia="宋体" w:hAnsi="宋体" w:cs="宋体" w:hint="eastAsia"/>
                <w:b w:val="0"/>
                <w:color w:val="000000"/>
                <w:kern w:val="0"/>
                <w:sz w:val="20"/>
                <w:szCs w:val="21"/>
              </w:rPr>
              <w:t>甘肃</w:t>
            </w:r>
          </w:p>
        </w:tc>
        <w:tc>
          <w:tcPr>
            <w:tcW w:w="769" w:type="dxa"/>
            <w:tcBorders>
              <w:top w:val="double" w:sz="4" w:space="0" w:color="auto"/>
            </w:tcBorders>
            <w:shd w:val="clear" w:color="auto" w:fill="auto"/>
            <w:hideMark/>
          </w:tcPr>
          <w:p w:rsidR="00C76D00" w:rsidRPr="00EC7FE9" w:rsidRDefault="00C76D00" w:rsidP="00EC7FE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EC7FE9">
              <w:rPr>
                <w:rFonts w:ascii="宋体" w:eastAsia="宋体" w:hAnsi="宋体" w:cs="宋体" w:hint="eastAsia"/>
                <w:b w:val="0"/>
                <w:color w:val="000000"/>
                <w:kern w:val="0"/>
                <w:sz w:val="20"/>
                <w:szCs w:val="21"/>
              </w:rPr>
              <w:t>湖南</w:t>
            </w:r>
          </w:p>
        </w:tc>
      </w:tr>
      <w:tr w:rsidR="00C76D00" w:rsidRPr="00411D83" w:rsidTr="00C76D00">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029" w:type="dxa"/>
            <w:shd w:val="clear" w:color="auto" w:fill="auto"/>
            <w:hideMark/>
          </w:tcPr>
          <w:p w:rsidR="00C76D00" w:rsidRPr="00EC7FE9" w:rsidRDefault="00C76D00" w:rsidP="00C76D00">
            <w:pPr>
              <w:widowControl/>
              <w:rPr>
                <w:rFonts w:ascii="宋体" w:eastAsia="宋体" w:hAnsi="宋体" w:cs="宋体"/>
                <w:b w:val="0"/>
                <w:color w:val="000000"/>
                <w:kern w:val="0"/>
                <w:sz w:val="20"/>
                <w:szCs w:val="21"/>
              </w:rPr>
            </w:pPr>
            <w:r w:rsidRPr="00411D83">
              <w:rPr>
                <w:rFonts w:ascii="宋体" w:eastAsia="宋体" w:hAnsi="宋体" w:cs="宋体" w:hint="eastAsia"/>
                <w:b w:val="0"/>
                <w:color w:val="000000"/>
                <w:kern w:val="0"/>
                <w:sz w:val="20"/>
                <w:szCs w:val="21"/>
              </w:rPr>
              <w:t>林改前</w:t>
            </w:r>
          </w:p>
        </w:tc>
        <w:tc>
          <w:tcPr>
            <w:tcW w:w="822" w:type="dxa"/>
            <w:shd w:val="clear" w:color="auto" w:fill="auto"/>
          </w:tcPr>
          <w:p w:rsidR="00C76D00" w:rsidRPr="00124051" w:rsidRDefault="00411D83" w:rsidP="00124051">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27</w:t>
            </w:r>
            <w:r w:rsidR="00E962FE">
              <w:rPr>
                <w:rFonts w:ascii="宋体" w:eastAsia="宋体" w:hAnsi="宋体" w:cs="宋体" w:hint="eastAsia"/>
                <w:bCs/>
                <w:color w:val="000000"/>
                <w:kern w:val="0"/>
                <w:sz w:val="20"/>
                <w:szCs w:val="21"/>
              </w:rPr>
              <w:t>06</w:t>
            </w:r>
          </w:p>
        </w:tc>
        <w:tc>
          <w:tcPr>
            <w:tcW w:w="768" w:type="dxa"/>
            <w:shd w:val="clear" w:color="auto" w:fill="auto"/>
            <w:hideMark/>
          </w:tcPr>
          <w:p w:rsidR="00C76D00" w:rsidRPr="00124051" w:rsidRDefault="00C76D00" w:rsidP="00124051">
            <w:pP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41</w:t>
            </w:r>
            <w:r w:rsidR="00E962FE">
              <w:rPr>
                <w:rFonts w:ascii="宋体" w:eastAsia="宋体" w:hAnsi="宋体" w:cs="宋体" w:hint="eastAsia"/>
                <w:bCs/>
                <w:color w:val="000000"/>
                <w:kern w:val="0"/>
                <w:sz w:val="20"/>
                <w:szCs w:val="21"/>
              </w:rPr>
              <w:t>0</w:t>
            </w:r>
          </w:p>
        </w:tc>
        <w:tc>
          <w:tcPr>
            <w:tcW w:w="769" w:type="dxa"/>
            <w:shd w:val="clear" w:color="auto" w:fill="auto"/>
            <w:hideMark/>
          </w:tcPr>
          <w:p w:rsidR="00C76D00" w:rsidRPr="00124051" w:rsidRDefault="00C76D00" w:rsidP="00124051">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32</w:t>
            </w:r>
            <w:r w:rsidR="00E962FE">
              <w:rPr>
                <w:rFonts w:ascii="宋体" w:eastAsia="宋体" w:hAnsi="宋体" w:cs="宋体" w:hint="eastAsia"/>
                <w:bCs/>
                <w:color w:val="000000"/>
                <w:kern w:val="0"/>
                <w:sz w:val="20"/>
                <w:szCs w:val="21"/>
              </w:rPr>
              <w:t>6</w:t>
            </w:r>
          </w:p>
        </w:tc>
        <w:tc>
          <w:tcPr>
            <w:tcW w:w="769" w:type="dxa"/>
            <w:shd w:val="clear" w:color="auto" w:fill="auto"/>
            <w:hideMark/>
          </w:tcPr>
          <w:p w:rsidR="00C76D00" w:rsidRPr="00124051" w:rsidRDefault="00C76D00" w:rsidP="00124051">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417</w:t>
            </w:r>
          </w:p>
        </w:tc>
      </w:tr>
      <w:tr w:rsidR="00C76D00" w:rsidRPr="00411D83" w:rsidTr="00C76D00">
        <w:trPr>
          <w:trHeight w:val="269"/>
        </w:trPr>
        <w:tc>
          <w:tcPr>
            <w:cnfStyle w:val="001000000000" w:firstRow="0" w:lastRow="0" w:firstColumn="1" w:lastColumn="0" w:oddVBand="0" w:evenVBand="0" w:oddHBand="0" w:evenHBand="0" w:firstRowFirstColumn="0" w:firstRowLastColumn="0" w:lastRowFirstColumn="0" w:lastRowLastColumn="0"/>
            <w:tcW w:w="1029" w:type="dxa"/>
            <w:tcBorders>
              <w:bottom w:val="double" w:sz="4" w:space="0" w:color="auto"/>
            </w:tcBorders>
            <w:shd w:val="clear" w:color="auto" w:fill="auto"/>
            <w:hideMark/>
          </w:tcPr>
          <w:p w:rsidR="00C76D00" w:rsidRPr="00EC7FE9" w:rsidRDefault="00C76D00" w:rsidP="00C76D00">
            <w:pPr>
              <w:widowControl/>
              <w:rPr>
                <w:rFonts w:ascii="宋体" w:eastAsia="宋体" w:hAnsi="宋体" w:cs="宋体"/>
                <w:b w:val="0"/>
                <w:color w:val="000000"/>
                <w:kern w:val="0"/>
                <w:sz w:val="20"/>
                <w:szCs w:val="21"/>
              </w:rPr>
            </w:pPr>
            <w:r w:rsidRPr="00411D83">
              <w:rPr>
                <w:rFonts w:ascii="宋体" w:eastAsia="宋体" w:hAnsi="宋体" w:cs="宋体" w:hint="eastAsia"/>
                <w:b w:val="0"/>
                <w:color w:val="000000"/>
                <w:kern w:val="0"/>
                <w:sz w:val="20"/>
                <w:szCs w:val="21"/>
              </w:rPr>
              <w:t>林改后</w:t>
            </w:r>
          </w:p>
        </w:tc>
        <w:tc>
          <w:tcPr>
            <w:tcW w:w="822" w:type="dxa"/>
            <w:tcBorders>
              <w:bottom w:val="double" w:sz="4" w:space="0" w:color="auto"/>
            </w:tcBorders>
            <w:shd w:val="clear" w:color="auto" w:fill="auto"/>
          </w:tcPr>
          <w:p w:rsidR="00C76D00" w:rsidRPr="00124051" w:rsidRDefault="00411D83" w:rsidP="00124051">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19</w:t>
            </w:r>
            <w:r w:rsidR="00E962FE">
              <w:rPr>
                <w:rFonts w:ascii="宋体" w:eastAsia="宋体" w:hAnsi="宋体" w:cs="宋体" w:hint="eastAsia"/>
                <w:bCs/>
                <w:color w:val="000000"/>
                <w:kern w:val="0"/>
                <w:sz w:val="20"/>
                <w:szCs w:val="21"/>
              </w:rPr>
              <w:t>53</w:t>
            </w:r>
          </w:p>
        </w:tc>
        <w:tc>
          <w:tcPr>
            <w:tcW w:w="768" w:type="dxa"/>
            <w:tcBorders>
              <w:bottom w:val="double" w:sz="4" w:space="0" w:color="auto"/>
            </w:tcBorders>
            <w:shd w:val="clear" w:color="auto" w:fill="auto"/>
            <w:hideMark/>
          </w:tcPr>
          <w:p w:rsidR="00C76D00" w:rsidRPr="00124051" w:rsidRDefault="00C76D00" w:rsidP="00124051">
            <w:pP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196</w:t>
            </w:r>
          </w:p>
        </w:tc>
        <w:tc>
          <w:tcPr>
            <w:tcW w:w="769" w:type="dxa"/>
            <w:tcBorders>
              <w:bottom w:val="double" w:sz="4" w:space="0" w:color="auto"/>
            </w:tcBorders>
            <w:shd w:val="clear" w:color="auto" w:fill="auto"/>
            <w:hideMark/>
          </w:tcPr>
          <w:p w:rsidR="00C76D00" w:rsidRPr="00124051" w:rsidRDefault="00C76D00" w:rsidP="00124051">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481</w:t>
            </w:r>
          </w:p>
        </w:tc>
        <w:tc>
          <w:tcPr>
            <w:tcW w:w="769" w:type="dxa"/>
            <w:tcBorders>
              <w:bottom w:val="double" w:sz="4" w:space="0" w:color="auto"/>
            </w:tcBorders>
            <w:shd w:val="clear" w:color="auto" w:fill="auto"/>
            <w:hideMark/>
          </w:tcPr>
          <w:p w:rsidR="00C76D00" w:rsidRPr="00124051" w:rsidRDefault="00C76D00" w:rsidP="00124051">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12</w:t>
            </w:r>
            <w:r w:rsidR="00E962FE">
              <w:rPr>
                <w:rFonts w:ascii="宋体" w:eastAsia="宋体" w:hAnsi="宋体" w:cs="宋体" w:hint="eastAsia"/>
                <w:bCs/>
                <w:color w:val="000000"/>
                <w:kern w:val="0"/>
                <w:sz w:val="20"/>
                <w:szCs w:val="21"/>
              </w:rPr>
              <w:t>2</w:t>
            </w:r>
          </w:p>
        </w:tc>
      </w:tr>
    </w:tbl>
    <w:p w:rsidR="00EC7FE9" w:rsidRDefault="00EC7FE9"/>
    <w:tbl>
      <w:tblPr>
        <w:tblStyle w:val="a5"/>
        <w:tblW w:w="4157" w:type="dxa"/>
        <w:tblLayout w:type="fixed"/>
        <w:tblLook w:val="04A0" w:firstRow="1" w:lastRow="0" w:firstColumn="1" w:lastColumn="0" w:noHBand="0" w:noVBand="1"/>
      </w:tblPr>
      <w:tblGrid>
        <w:gridCol w:w="1029"/>
        <w:gridCol w:w="818"/>
        <w:gridCol w:w="818"/>
        <w:gridCol w:w="746"/>
        <w:gridCol w:w="746"/>
      </w:tblGrid>
      <w:tr w:rsidR="00C76D00" w:rsidRPr="00411D83" w:rsidTr="00C76D0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9" w:type="dxa"/>
            <w:tcBorders>
              <w:top w:val="double" w:sz="4" w:space="0" w:color="auto"/>
            </w:tcBorders>
            <w:shd w:val="clear" w:color="auto" w:fill="auto"/>
            <w:hideMark/>
          </w:tcPr>
          <w:p w:rsidR="00C76D00" w:rsidRPr="00EC7FE9" w:rsidRDefault="00C76D00" w:rsidP="00195A7C">
            <w:pPr>
              <w:widowControl/>
              <w:rPr>
                <w:rFonts w:ascii="Calibri" w:eastAsia="宋体" w:hAnsi="Calibri" w:cs="宋体"/>
                <w:color w:val="000000"/>
                <w:kern w:val="0"/>
                <w:sz w:val="20"/>
                <w:szCs w:val="21"/>
              </w:rPr>
            </w:pPr>
            <w:r w:rsidRPr="00EC7FE9">
              <w:rPr>
                <w:rFonts w:ascii="Calibri" w:eastAsia="宋体" w:hAnsi="Calibri" w:cs="宋体"/>
                <w:color w:val="000000"/>
                <w:kern w:val="0"/>
                <w:sz w:val="20"/>
                <w:szCs w:val="21"/>
              </w:rPr>
              <w:t xml:space="preserve">　</w:t>
            </w:r>
          </w:p>
        </w:tc>
        <w:tc>
          <w:tcPr>
            <w:tcW w:w="818" w:type="dxa"/>
            <w:tcBorders>
              <w:top w:val="double" w:sz="4" w:space="0" w:color="auto"/>
            </w:tcBorders>
            <w:shd w:val="clear" w:color="auto" w:fill="auto"/>
          </w:tcPr>
          <w:p w:rsidR="00C76D00" w:rsidRPr="00411D83" w:rsidRDefault="00C76D00" w:rsidP="00C76D00">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411D83">
              <w:rPr>
                <w:rFonts w:ascii="宋体" w:eastAsia="宋体" w:hAnsi="宋体" w:cs="宋体" w:hint="eastAsia"/>
                <w:b w:val="0"/>
                <w:color w:val="000000"/>
                <w:kern w:val="0"/>
                <w:sz w:val="20"/>
                <w:szCs w:val="21"/>
              </w:rPr>
              <w:t>江西</w:t>
            </w:r>
          </w:p>
        </w:tc>
        <w:tc>
          <w:tcPr>
            <w:tcW w:w="818" w:type="dxa"/>
            <w:tcBorders>
              <w:top w:val="double" w:sz="4" w:space="0" w:color="auto"/>
            </w:tcBorders>
            <w:shd w:val="clear" w:color="auto" w:fill="auto"/>
          </w:tcPr>
          <w:p w:rsidR="00C76D00" w:rsidRPr="00411D83" w:rsidRDefault="00C76D00" w:rsidP="00C76D00">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411D83">
              <w:rPr>
                <w:rFonts w:ascii="宋体" w:eastAsia="宋体" w:hAnsi="宋体" w:cs="宋体" w:hint="eastAsia"/>
                <w:b w:val="0"/>
                <w:color w:val="000000"/>
                <w:kern w:val="0"/>
                <w:sz w:val="20"/>
                <w:szCs w:val="21"/>
              </w:rPr>
              <w:t>辽宁</w:t>
            </w:r>
          </w:p>
        </w:tc>
        <w:tc>
          <w:tcPr>
            <w:tcW w:w="746" w:type="dxa"/>
            <w:tcBorders>
              <w:top w:val="double" w:sz="4" w:space="0" w:color="auto"/>
            </w:tcBorders>
            <w:shd w:val="clear" w:color="auto" w:fill="auto"/>
          </w:tcPr>
          <w:p w:rsidR="00C76D00" w:rsidRPr="00411D83" w:rsidRDefault="00C76D00" w:rsidP="00C76D00">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411D83">
              <w:rPr>
                <w:rFonts w:ascii="宋体" w:eastAsia="宋体" w:hAnsi="宋体" w:cs="宋体" w:hint="eastAsia"/>
                <w:b w:val="0"/>
                <w:color w:val="000000"/>
                <w:kern w:val="0"/>
                <w:sz w:val="20"/>
                <w:szCs w:val="21"/>
              </w:rPr>
              <w:t>陕西</w:t>
            </w:r>
          </w:p>
        </w:tc>
        <w:tc>
          <w:tcPr>
            <w:tcW w:w="746" w:type="dxa"/>
            <w:tcBorders>
              <w:top w:val="double" w:sz="4" w:space="0" w:color="auto"/>
            </w:tcBorders>
            <w:shd w:val="clear" w:color="auto" w:fill="auto"/>
          </w:tcPr>
          <w:p w:rsidR="00C76D00" w:rsidRPr="00411D83" w:rsidRDefault="00C76D00" w:rsidP="00C76D00">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411D83">
              <w:rPr>
                <w:rFonts w:ascii="宋体" w:eastAsia="宋体" w:hAnsi="宋体" w:cs="宋体" w:hint="eastAsia"/>
                <w:b w:val="0"/>
                <w:color w:val="000000"/>
                <w:kern w:val="0"/>
                <w:sz w:val="20"/>
                <w:szCs w:val="21"/>
              </w:rPr>
              <w:t>云南</w:t>
            </w:r>
          </w:p>
        </w:tc>
      </w:tr>
      <w:tr w:rsidR="00C76D00" w:rsidRPr="00411D83" w:rsidTr="00C76D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029" w:type="dxa"/>
            <w:shd w:val="clear" w:color="auto" w:fill="auto"/>
            <w:hideMark/>
          </w:tcPr>
          <w:p w:rsidR="00C76D00" w:rsidRPr="00EC7FE9" w:rsidRDefault="00C76D00" w:rsidP="00C76D00">
            <w:pPr>
              <w:widowControl/>
              <w:rPr>
                <w:rFonts w:ascii="宋体" w:eastAsia="宋体" w:hAnsi="宋体" w:cs="宋体"/>
                <w:b w:val="0"/>
                <w:color w:val="000000"/>
                <w:kern w:val="0"/>
                <w:sz w:val="20"/>
                <w:szCs w:val="21"/>
              </w:rPr>
            </w:pPr>
            <w:r w:rsidRPr="00411D83">
              <w:rPr>
                <w:rFonts w:ascii="宋体" w:eastAsia="宋体" w:hAnsi="宋体" w:cs="宋体" w:hint="eastAsia"/>
                <w:b w:val="0"/>
                <w:color w:val="000000"/>
                <w:kern w:val="0"/>
                <w:sz w:val="20"/>
                <w:szCs w:val="21"/>
              </w:rPr>
              <w:t>林改前</w:t>
            </w:r>
          </w:p>
        </w:tc>
        <w:tc>
          <w:tcPr>
            <w:tcW w:w="818" w:type="dxa"/>
            <w:shd w:val="clear" w:color="auto" w:fill="auto"/>
          </w:tcPr>
          <w:p w:rsidR="00C76D00" w:rsidRPr="00124051" w:rsidRDefault="00C76D00" w:rsidP="00124051">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39</w:t>
            </w:r>
            <w:r w:rsidR="00E962FE">
              <w:rPr>
                <w:rFonts w:ascii="宋体" w:eastAsia="宋体" w:hAnsi="宋体" w:cs="宋体" w:hint="eastAsia"/>
                <w:bCs/>
                <w:color w:val="000000"/>
                <w:kern w:val="0"/>
                <w:sz w:val="20"/>
                <w:szCs w:val="21"/>
              </w:rPr>
              <w:t>2</w:t>
            </w:r>
          </w:p>
        </w:tc>
        <w:tc>
          <w:tcPr>
            <w:tcW w:w="818" w:type="dxa"/>
            <w:shd w:val="clear" w:color="auto" w:fill="auto"/>
          </w:tcPr>
          <w:p w:rsidR="00C76D00" w:rsidRPr="00124051" w:rsidRDefault="00C76D00" w:rsidP="00124051">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35</w:t>
            </w:r>
            <w:r w:rsidR="00E962FE">
              <w:rPr>
                <w:rFonts w:ascii="宋体" w:eastAsia="宋体" w:hAnsi="宋体" w:cs="宋体" w:hint="eastAsia"/>
                <w:bCs/>
                <w:color w:val="000000"/>
                <w:kern w:val="0"/>
                <w:sz w:val="20"/>
                <w:szCs w:val="21"/>
              </w:rPr>
              <w:t>2</w:t>
            </w:r>
          </w:p>
        </w:tc>
        <w:tc>
          <w:tcPr>
            <w:tcW w:w="746" w:type="dxa"/>
            <w:shd w:val="clear" w:color="auto" w:fill="auto"/>
          </w:tcPr>
          <w:p w:rsidR="00C76D00" w:rsidRPr="00124051" w:rsidRDefault="00E962FE" w:rsidP="00124051">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Pr>
                <w:rFonts w:ascii="宋体" w:eastAsia="宋体" w:hAnsi="宋体" w:cs="宋体" w:hint="eastAsia"/>
                <w:bCs/>
                <w:color w:val="000000"/>
                <w:kern w:val="0"/>
                <w:sz w:val="20"/>
                <w:szCs w:val="21"/>
              </w:rPr>
              <w:t>428</w:t>
            </w:r>
          </w:p>
        </w:tc>
        <w:tc>
          <w:tcPr>
            <w:tcW w:w="746" w:type="dxa"/>
            <w:shd w:val="clear" w:color="auto" w:fill="auto"/>
          </w:tcPr>
          <w:p w:rsidR="00C76D00" w:rsidRPr="00124051" w:rsidRDefault="00C76D00" w:rsidP="00124051">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38</w:t>
            </w:r>
            <w:r w:rsidR="00E962FE">
              <w:rPr>
                <w:rFonts w:ascii="宋体" w:eastAsia="宋体" w:hAnsi="宋体" w:cs="宋体" w:hint="eastAsia"/>
                <w:bCs/>
                <w:color w:val="000000"/>
                <w:kern w:val="0"/>
                <w:sz w:val="20"/>
                <w:szCs w:val="21"/>
              </w:rPr>
              <w:t>0</w:t>
            </w:r>
          </w:p>
        </w:tc>
      </w:tr>
      <w:tr w:rsidR="00C76D00" w:rsidRPr="00411D83" w:rsidTr="00C76D00">
        <w:trPr>
          <w:trHeight w:val="261"/>
        </w:trPr>
        <w:tc>
          <w:tcPr>
            <w:cnfStyle w:val="001000000000" w:firstRow="0" w:lastRow="0" w:firstColumn="1" w:lastColumn="0" w:oddVBand="0" w:evenVBand="0" w:oddHBand="0" w:evenHBand="0" w:firstRowFirstColumn="0" w:firstRowLastColumn="0" w:lastRowFirstColumn="0" w:lastRowLastColumn="0"/>
            <w:tcW w:w="1029" w:type="dxa"/>
            <w:tcBorders>
              <w:bottom w:val="double" w:sz="4" w:space="0" w:color="auto"/>
            </w:tcBorders>
            <w:shd w:val="clear" w:color="auto" w:fill="auto"/>
            <w:hideMark/>
          </w:tcPr>
          <w:p w:rsidR="00C76D00" w:rsidRPr="00EC7FE9" w:rsidRDefault="00C76D00" w:rsidP="00C76D00">
            <w:pPr>
              <w:widowControl/>
              <w:rPr>
                <w:rFonts w:ascii="宋体" w:eastAsia="宋体" w:hAnsi="宋体" w:cs="宋体"/>
                <w:b w:val="0"/>
                <w:color w:val="000000"/>
                <w:kern w:val="0"/>
                <w:sz w:val="20"/>
                <w:szCs w:val="21"/>
              </w:rPr>
            </w:pPr>
            <w:r w:rsidRPr="00411D83">
              <w:rPr>
                <w:rFonts w:ascii="宋体" w:eastAsia="宋体" w:hAnsi="宋体" w:cs="宋体" w:hint="eastAsia"/>
                <w:b w:val="0"/>
                <w:color w:val="000000"/>
                <w:kern w:val="0"/>
                <w:sz w:val="20"/>
                <w:szCs w:val="21"/>
              </w:rPr>
              <w:t>林改后</w:t>
            </w:r>
          </w:p>
        </w:tc>
        <w:tc>
          <w:tcPr>
            <w:tcW w:w="818" w:type="dxa"/>
            <w:tcBorders>
              <w:bottom w:val="double" w:sz="4" w:space="0" w:color="auto"/>
            </w:tcBorders>
            <w:shd w:val="clear" w:color="auto" w:fill="auto"/>
          </w:tcPr>
          <w:p w:rsidR="00C76D00" w:rsidRPr="00124051" w:rsidRDefault="00C76D00" w:rsidP="00124051">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21</w:t>
            </w:r>
            <w:r w:rsidR="00E962FE">
              <w:rPr>
                <w:rFonts w:ascii="宋体" w:eastAsia="宋体" w:hAnsi="宋体" w:cs="宋体" w:hint="eastAsia"/>
                <w:bCs/>
                <w:color w:val="000000"/>
                <w:kern w:val="0"/>
                <w:sz w:val="20"/>
                <w:szCs w:val="21"/>
              </w:rPr>
              <w:t>3</w:t>
            </w:r>
          </w:p>
        </w:tc>
        <w:tc>
          <w:tcPr>
            <w:tcW w:w="818" w:type="dxa"/>
            <w:tcBorders>
              <w:bottom w:val="double" w:sz="4" w:space="0" w:color="auto"/>
            </w:tcBorders>
            <w:shd w:val="clear" w:color="auto" w:fill="auto"/>
          </w:tcPr>
          <w:p w:rsidR="00C76D00" w:rsidRPr="00124051" w:rsidRDefault="00C76D00" w:rsidP="00124051">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3</w:t>
            </w:r>
            <w:r w:rsidR="00E962FE">
              <w:rPr>
                <w:rFonts w:ascii="宋体" w:eastAsia="宋体" w:hAnsi="宋体" w:cs="宋体" w:hint="eastAsia"/>
                <w:bCs/>
                <w:color w:val="000000"/>
                <w:kern w:val="0"/>
                <w:sz w:val="20"/>
                <w:szCs w:val="21"/>
              </w:rPr>
              <w:t>19</w:t>
            </w:r>
          </w:p>
        </w:tc>
        <w:tc>
          <w:tcPr>
            <w:tcW w:w="746" w:type="dxa"/>
            <w:tcBorders>
              <w:bottom w:val="double" w:sz="4" w:space="0" w:color="auto"/>
            </w:tcBorders>
            <w:shd w:val="clear" w:color="auto" w:fill="auto"/>
          </w:tcPr>
          <w:p w:rsidR="00C76D00" w:rsidRPr="00124051" w:rsidRDefault="00C76D00" w:rsidP="00124051">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w:t>
            </w:r>
            <w:r w:rsidR="00E962FE">
              <w:rPr>
                <w:rFonts w:ascii="宋体" w:eastAsia="宋体" w:hAnsi="宋体" w:cs="宋体" w:hint="eastAsia"/>
                <w:bCs/>
                <w:color w:val="000000"/>
                <w:kern w:val="0"/>
                <w:sz w:val="20"/>
                <w:szCs w:val="21"/>
              </w:rPr>
              <w:t>12</w:t>
            </w:r>
          </w:p>
        </w:tc>
        <w:tc>
          <w:tcPr>
            <w:tcW w:w="746" w:type="dxa"/>
            <w:tcBorders>
              <w:bottom w:val="double" w:sz="4" w:space="0" w:color="auto"/>
            </w:tcBorders>
            <w:shd w:val="clear" w:color="auto" w:fill="auto"/>
          </w:tcPr>
          <w:p w:rsidR="00C76D00" w:rsidRPr="00124051" w:rsidRDefault="00C76D00" w:rsidP="00124051">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21</w:t>
            </w:r>
            <w:r w:rsidR="00E962FE">
              <w:rPr>
                <w:rFonts w:ascii="宋体" w:eastAsia="宋体" w:hAnsi="宋体" w:cs="宋体" w:hint="eastAsia"/>
                <w:bCs/>
                <w:color w:val="000000"/>
                <w:kern w:val="0"/>
                <w:sz w:val="20"/>
                <w:szCs w:val="21"/>
              </w:rPr>
              <w:t>0</w:t>
            </w:r>
          </w:p>
        </w:tc>
      </w:tr>
    </w:tbl>
    <w:p w:rsidR="00456C8D" w:rsidRDefault="00091A68" w:rsidP="00A84713">
      <w:pPr>
        <w:ind w:firstLineChars="200" w:firstLine="420"/>
      </w:pPr>
      <w:r>
        <w:rPr>
          <w:rFonts w:hint="eastAsia"/>
        </w:rPr>
        <w:t>从</w:t>
      </w:r>
      <w:r w:rsidR="005A6848">
        <w:rPr>
          <w:rFonts w:hint="eastAsia"/>
        </w:rPr>
        <w:t>表</w:t>
      </w:r>
      <w:r w:rsidR="007F2EFF">
        <w:rPr>
          <w:rFonts w:hint="eastAsia"/>
        </w:rPr>
        <w:t>2</w:t>
      </w:r>
      <w:r w:rsidR="005A6848">
        <w:rPr>
          <w:rFonts w:hint="eastAsia"/>
        </w:rPr>
        <w:t>的数据可以看出</w:t>
      </w:r>
      <w:r>
        <w:rPr>
          <w:rFonts w:hint="eastAsia"/>
        </w:rPr>
        <w:t>，</w:t>
      </w:r>
      <w:r w:rsidR="00411D83">
        <w:rPr>
          <w:rFonts w:hint="eastAsia"/>
        </w:rPr>
        <w:t>58</w:t>
      </w:r>
      <w:r>
        <w:rPr>
          <w:rFonts w:hint="eastAsia"/>
        </w:rPr>
        <w:t>%</w:t>
      </w:r>
      <w:r>
        <w:rPr>
          <w:rFonts w:hint="eastAsia"/>
        </w:rPr>
        <w:t>的农户在林改前就</w:t>
      </w:r>
      <w:r w:rsidRPr="00091A68">
        <w:rPr>
          <w:rFonts w:hint="eastAsia"/>
        </w:rPr>
        <w:t>获得了家庭承包林地</w:t>
      </w:r>
      <w:r>
        <w:rPr>
          <w:rFonts w:hint="eastAsia"/>
        </w:rPr>
        <w:t>自己的林地，尤其在福建、湖南、江西等林业大省，更是占到了</w:t>
      </w:r>
      <w:r>
        <w:rPr>
          <w:rFonts w:hint="eastAsia"/>
        </w:rPr>
        <w:t>70%</w:t>
      </w:r>
      <w:r>
        <w:rPr>
          <w:rFonts w:hint="eastAsia"/>
        </w:rPr>
        <w:t>到</w:t>
      </w:r>
      <w:r>
        <w:rPr>
          <w:rFonts w:hint="eastAsia"/>
        </w:rPr>
        <w:t>80%</w:t>
      </w:r>
      <w:r w:rsidR="00411D83">
        <w:rPr>
          <w:rFonts w:hint="eastAsia"/>
        </w:rPr>
        <w:t>，说明在林权改革正式实施之前，</w:t>
      </w:r>
      <w:r w:rsidR="00456C8D">
        <w:rPr>
          <w:rFonts w:hint="eastAsia"/>
        </w:rPr>
        <w:t>样本所在省份的大部分林地已经开始以家庭承包的方式进行经营。</w:t>
      </w:r>
    </w:p>
    <w:p w:rsidR="0072534E" w:rsidRDefault="00EB7B29" w:rsidP="00A84713">
      <w:pPr>
        <w:ind w:firstLineChars="200" w:firstLine="420"/>
      </w:pPr>
      <w:r>
        <w:rPr>
          <w:rFonts w:hint="eastAsia"/>
        </w:rPr>
        <w:t>从</w:t>
      </w:r>
      <w:r>
        <w:rPr>
          <w:rFonts w:hint="eastAsia"/>
        </w:rPr>
        <w:t>12</w:t>
      </w:r>
      <w:r>
        <w:rPr>
          <w:rFonts w:hint="eastAsia"/>
        </w:rPr>
        <w:t>块地的维度，对于拥有多块地的农户，只有</w:t>
      </w:r>
      <w:r>
        <w:rPr>
          <w:rFonts w:hint="eastAsia"/>
        </w:rPr>
        <w:t>33.7%</w:t>
      </w:r>
      <w:r>
        <w:rPr>
          <w:rFonts w:hint="eastAsia"/>
        </w:rPr>
        <w:t>的农户多块地的承包时间不一致，</w:t>
      </w:r>
      <w:r w:rsidR="00E962FE">
        <w:rPr>
          <w:rFonts w:hint="eastAsia"/>
        </w:rPr>
        <w:t>主要集中在甘肃省、陕西省，</w:t>
      </w:r>
      <w:r w:rsidR="00B83E5B">
        <w:rPr>
          <w:rFonts w:hint="eastAsia"/>
        </w:rPr>
        <w:t>在林业较发达的省份，如福建、江西、湖南、云南，这个比例要更小，均在</w:t>
      </w:r>
      <w:r w:rsidR="00B83E5B">
        <w:rPr>
          <w:rFonts w:hint="eastAsia"/>
        </w:rPr>
        <w:t>20%</w:t>
      </w:r>
      <w:r w:rsidR="00B83E5B">
        <w:rPr>
          <w:rFonts w:hint="eastAsia"/>
        </w:rPr>
        <w:t>以下，尤其是湖南，只有</w:t>
      </w:r>
      <w:r w:rsidR="00B83E5B">
        <w:rPr>
          <w:rFonts w:hint="eastAsia"/>
        </w:rPr>
        <w:t>8%</w:t>
      </w:r>
      <w:r w:rsidR="00B83E5B">
        <w:rPr>
          <w:rFonts w:hint="eastAsia"/>
        </w:rPr>
        <w:t>的农户</w:t>
      </w:r>
      <w:proofErr w:type="gramStart"/>
      <w:r w:rsidR="00B83E5B">
        <w:rPr>
          <w:rFonts w:hint="eastAsia"/>
        </w:rPr>
        <w:t>在林改前后</w:t>
      </w:r>
      <w:proofErr w:type="gramEnd"/>
      <w:r w:rsidR="00B83E5B">
        <w:rPr>
          <w:rFonts w:hint="eastAsia"/>
        </w:rPr>
        <w:t>承包的土地块数有变动。这说明土地分配基本上是一次性完成的，</w:t>
      </w:r>
      <w:r w:rsidR="002D5265">
        <w:rPr>
          <w:rFonts w:hint="eastAsia"/>
        </w:rPr>
        <w:t>对大部分农户而言，</w:t>
      </w:r>
      <w:r w:rsidR="00B83E5B">
        <w:rPr>
          <w:rFonts w:hint="eastAsia"/>
        </w:rPr>
        <w:t>林改</w:t>
      </w:r>
      <w:r w:rsidR="002D5265">
        <w:rPr>
          <w:rFonts w:hint="eastAsia"/>
        </w:rPr>
        <w:t>并没有造成</w:t>
      </w:r>
      <w:r w:rsidR="00B83E5B">
        <w:rPr>
          <w:rFonts w:hint="eastAsia"/>
        </w:rPr>
        <w:t>在林改前就得到承包地的农户已有林地的</w:t>
      </w:r>
      <w:r w:rsidR="002D5265">
        <w:rPr>
          <w:rFonts w:hint="eastAsia"/>
        </w:rPr>
        <w:t>流失或改变。</w:t>
      </w:r>
    </w:p>
    <w:p w:rsidR="002D5265" w:rsidRDefault="002D5265" w:rsidP="00976FC6">
      <w:pPr>
        <w:pStyle w:val="2"/>
        <w:numPr>
          <w:ilvl w:val="1"/>
          <w:numId w:val="3"/>
        </w:numPr>
      </w:pPr>
      <w:r>
        <w:rPr>
          <w:rFonts w:hint="eastAsia"/>
        </w:rPr>
        <w:lastRenderedPageBreak/>
        <w:t>获得方式</w:t>
      </w:r>
    </w:p>
    <w:p w:rsidR="000E0B42" w:rsidRDefault="00243FE8" w:rsidP="00A84713">
      <w:pPr>
        <w:ind w:firstLineChars="200" w:firstLine="420"/>
      </w:pPr>
      <w:r>
        <w:rPr>
          <w:rFonts w:hint="eastAsia"/>
        </w:rPr>
        <w:t>表</w:t>
      </w:r>
      <w:r w:rsidR="007F2EFF">
        <w:rPr>
          <w:rFonts w:hint="eastAsia"/>
        </w:rPr>
        <w:t>3</w:t>
      </w:r>
      <w:r>
        <w:rPr>
          <w:rFonts w:hint="eastAsia"/>
        </w:rPr>
        <w:t>给出了</w:t>
      </w:r>
      <w:r w:rsidR="00926DD6" w:rsidRPr="00926DD6">
        <w:rPr>
          <w:rFonts w:hint="eastAsia"/>
        </w:rPr>
        <w:t>不同分配方式的林地块数占</w:t>
      </w:r>
      <w:proofErr w:type="gramStart"/>
      <w:r w:rsidR="00926DD6" w:rsidRPr="00926DD6">
        <w:rPr>
          <w:rFonts w:hint="eastAsia"/>
        </w:rPr>
        <w:lastRenderedPageBreak/>
        <w:t>林地总块数</w:t>
      </w:r>
      <w:proofErr w:type="gramEnd"/>
      <w:r w:rsidR="00926DD6" w:rsidRPr="00926DD6">
        <w:rPr>
          <w:rFonts w:hint="eastAsia"/>
        </w:rPr>
        <w:t>的比例</w:t>
      </w:r>
      <w:r w:rsidR="00926DD6">
        <w:rPr>
          <w:rFonts w:hint="eastAsia"/>
        </w:rPr>
        <w:t>，表中包括</w:t>
      </w:r>
      <w:r w:rsidR="00926DD6">
        <w:rPr>
          <w:rFonts w:hint="eastAsia"/>
        </w:rPr>
        <w:t>7</w:t>
      </w:r>
      <w:r w:rsidR="00926DD6">
        <w:rPr>
          <w:rFonts w:hint="eastAsia"/>
        </w:rPr>
        <w:t>各省各自的分布信息和总体的分布信息，对</w:t>
      </w:r>
      <w:r w:rsidR="00706517">
        <w:rPr>
          <w:rFonts w:hint="eastAsia"/>
        </w:rPr>
        <w:t>每个省</w:t>
      </w:r>
      <w:r w:rsidR="00926DD6">
        <w:rPr>
          <w:rFonts w:hint="eastAsia"/>
        </w:rPr>
        <w:t>圈出了占比前两位的分配方式。</w:t>
      </w:r>
    </w:p>
    <w:p w:rsidR="00243FE8" w:rsidRDefault="00243FE8">
      <w:pPr>
        <w:sectPr w:rsidR="00243FE8" w:rsidSect="00A84713">
          <w:type w:val="continuous"/>
          <w:pgSz w:w="11906" w:h="16838"/>
          <w:pgMar w:top="1440" w:right="1800" w:bottom="1440" w:left="1800" w:header="851" w:footer="992" w:gutter="0"/>
          <w:cols w:num="2" w:space="425"/>
          <w:docGrid w:type="lines" w:linePitch="312"/>
        </w:sectPr>
      </w:pPr>
    </w:p>
    <w:p w:rsidR="009874A6" w:rsidRPr="00243FE8" w:rsidRDefault="00243FE8" w:rsidP="007F2EFF">
      <w:pPr>
        <w:pStyle w:val="a6"/>
        <w:numPr>
          <w:ilvl w:val="0"/>
          <w:numId w:val="20"/>
        </w:numPr>
        <w:ind w:left="0" w:firstLineChars="71" w:firstLine="142"/>
        <w:jc w:val="center"/>
        <w:rPr>
          <w:bCs/>
          <w:sz w:val="20"/>
        </w:rPr>
      </w:pPr>
      <w:r w:rsidRPr="00243FE8">
        <w:rPr>
          <w:rFonts w:hint="eastAsia"/>
          <w:bCs/>
          <w:sz w:val="20"/>
        </w:rPr>
        <w:lastRenderedPageBreak/>
        <w:t>各省不同分配方式的林地块数占</w:t>
      </w:r>
      <w:proofErr w:type="gramStart"/>
      <w:r w:rsidRPr="00243FE8">
        <w:rPr>
          <w:rFonts w:hint="eastAsia"/>
          <w:bCs/>
          <w:sz w:val="20"/>
        </w:rPr>
        <w:t>林地总块数</w:t>
      </w:r>
      <w:proofErr w:type="gramEnd"/>
      <w:r w:rsidRPr="00243FE8">
        <w:rPr>
          <w:rFonts w:hint="eastAsia"/>
          <w:bCs/>
          <w:sz w:val="20"/>
        </w:rPr>
        <w:t>的比例</w:t>
      </w:r>
    </w:p>
    <w:p w:rsidR="00243FE8" w:rsidRPr="00243FE8" w:rsidRDefault="00243FE8" w:rsidP="00243FE8">
      <w:pPr>
        <w:jc w:val="right"/>
        <w:rPr>
          <w:bCs/>
          <w:sz w:val="20"/>
        </w:rPr>
      </w:pPr>
      <w:r w:rsidRPr="00243FE8">
        <w:rPr>
          <w:rFonts w:hint="eastAsia"/>
          <w:bCs/>
          <w:sz w:val="20"/>
        </w:rPr>
        <w:t>单位（</w:t>
      </w:r>
      <w:r w:rsidRPr="00243FE8">
        <w:rPr>
          <w:rFonts w:hint="eastAsia"/>
          <w:bCs/>
          <w:sz w:val="20"/>
        </w:rPr>
        <w:t>%</w:t>
      </w:r>
      <w:r w:rsidRPr="00243FE8">
        <w:rPr>
          <w:rFonts w:hint="eastAsia"/>
          <w:bCs/>
          <w:sz w:val="20"/>
        </w:rPr>
        <w:t>）</w:t>
      </w:r>
    </w:p>
    <w:p w:rsidR="00E007ED" w:rsidRDefault="00E007ED" w:rsidP="000E0B42">
      <w:pPr>
        <w:widowControl/>
        <w:jc w:val="left"/>
        <w:rPr>
          <w:rFonts w:ascii="宋体" w:eastAsia="宋体" w:hAnsi="宋体" w:cs="宋体"/>
          <w:color w:val="000000"/>
          <w:kern w:val="0"/>
          <w:sz w:val="22"/>
        </w:rPr>
        <w:sectPr w:rsidR="00E007ED" w:rsidSect="00243FE8">
          <w:type w:val="continuous"/>
          <w:pgSz w:w="11906" w:h="16838"/>
          <w:pgMar w:top="1440" w:right="1800" w:bottom="1440" w:left="1800" w:header="851" w:footer="992" w:gutter="0"/>
          <w:cols w:space="425"/>
          <w:docGrid w:type="lines" w:linePitch="312"/>
        </w:sectPr>
      </w:pPr>
    </w:p>
    <w:tbl>
      <w:tblPr>
        <w:tblStyle w:val="a5"/>
        <w:tblW w:w="8432" w:type="dxa"/>
        <w:tblLook w:val="04A0" w:firstRow="1" w:lastRow="0" w:firstColumn="1" w:lastColumn="0" w:noHBand="0" w:noVBand="1"/>
      </w:tblPr>
      <w:tblGrid>
        <w:gridCol w:w="744"/>
        <w:gridCol w:w="946"/>
        <w:gridCol w:w="966"/>
        <w:gridCol w:w="966"/>
        <w:gridCol w:w="966"/>
        <w:gridCol w:w="966"/>
        <w:gridCol w:w="946"/>
        <w:gridCol w:w="966"/>
        <w:gridCol w:w="966"/>
      </w:tblGrid>
      <w:tr w:rsidR="009874A6" w:rsidRPr="000E0B42" w:rsidTr="009874A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44" w:type="dxa"/>
            <w:tcBorders>
              <w:top w:val="double" w:sz="4" w:space="0" w:color="auto"/>
            </w:tcBorders>
            <w:shd w:val="clear" w:color="auto" w:fill="auto"/>
            <w:noWrap/>
            <w:hideMark/>
          </w:tcPr>
          <w:p w:rsidR="000E0B42" w:rsidRPr="000E0B42" w:rsidRDefault="000E0B42" w:rsidP="00E007ED">
            <w:pPr>
              <w:widowControl/>
              <w:jc w:val="center"/>
              <w:rPr>
                <w:rFonts w:ascii="宋体" w:eastAsia="宋体" w:hAnsi="宋体" w:cs="宋体"/>
                <w:color w:val="000000"/>
                <w:kern w:val="0"/>
                <w:sz w:val="22"/>
              </w:rPr>
            </w:pPr>
          </w:p>
        </w:tc>
        <w:tc>
          <w:tcPr>
            <w:tcW w:w="946" w:type="dxa"/>
            <w:tcBorders>
              <w:top w:val="double" w:sz="4" w:space="0" w:color="auto"/>
            </w:tcBorders>
            <w:shd w:val="clear" w:color="auto" w:fill="auto"/>
            <w:noWrap/>
            <w:hideMark/>
          </w:tcPr>
          <w:p w:rsidR="000E0B42" w:rsidRPr="000E0B42" w:rsidRDefault="000E0B42" w:rsidP="009874A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0E0B42">
              <w:rPr>
                <w:rFonts w:ascii="宋体" w:eastAsia="宋体" w:hAnsi="宋体" w:cs="宋体" w:hint="eastAsia"/>
                <w:b w:val="0"/>
                <w:color w:val="000000"/>
                <w:kern w:val="0"/>
                <w:sz w:val="20"/>
                <w:szCs w:val="21"/>
              </w:rPr>
              <w:t>自留山</w:t>
            </w:r>
          </w:p>
        </w:tc>
        <w:tc>
          <w:tcPr>
            <w:tcW w:w="966" w:type="dxa"/>
            <w:tcBorders>
              <w:top w:val="double" w:sz="4" w:space="0" w:color="auto"/>
            </w:tcBorders>
            <w:shd w:val="clear" w:color="auto" w:fill="auto"/>
            <w:noWrap/>
            <w:hideMark/>
          </w:tcPr>
          <w:p w:rsidR="000E0B42" w:rsidRPr="000E0B42" w:rsidRDefault="000E0B42" w:rsidP="009874A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proofErr w:type="gramStart"/>
            <w:r w:rsidRPr="000E0B42">
              <w:rPr>
                <w:rFonts w:ascii="宋体" w:eastAsia="宋体" w:hAnsi="宋体" w:cs="宋体" w:hint="eastAsia"/>
                <w:b w:val="0"/>
                <w:color w:val="000000"/>
                <w:kern w:val="0"/>
                <w:sz w:val="20"/>
                <w:szCs w:val="21"/>
              </w:rPr>
              <w:t>原责任</w:t>
            </w:r>
            <w:proofErr w:type="gramEnd"/>
            <w:r w:rsidRPr="000E0B42">
              <w:rPr>
                <w:rFonts w:ascii="宋体" w:eastAsia="宋体" w:hAnsi="宋体" w:cs="宋体" w:hint="eastAsia"/>
                <w:b w:val="0"/>
                <w:color w:val="000000"/>
                <w:kern w:val="0"/>
                <w:sz w:val="20"/>
                <w:szCs w:val="21"/>
              </w:rPr>
              <w:t>山确权承包</w:t>
            </w:r>
          </w:p>
        </w:tc>
        <w:tc>
          <w:tcPr>
            <w:tcW w:w="966" w:type="dxa"/>
            <w:tcBorders>
              <w:top w:val="double" w:sz="4" w:space="0" w:color="auto"/>
            </w:tcBorders>
            <w:shd w:val="clear" w:color="auto" w:fill="auto"/>
            <w:noWrap/>
            <w:hideMark/>
          </w:tcPr>
          <w:p w:rsidR="000E0B42" w:rsidRPr="000E0B42" w:rsidRDefault="000E0B42" w:rsidP="009874A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0E0B42">
              <w:rPr>
                <w:rFonts w:ascii="宋体" w:eastAsia="宋体" w:hAnsi="宋体" w:cs="宋体" w:hint="eastAsia"/>
                <w:b w:val="0"/>
                <w:color w:val="000000"/>
                <w:kern w:val="0"/>
                <w:sz w:val="20"/>
                <w:szCs w:val="21"/>
              </w:rPr>
              <w:t>“谁造谁有”承包</w:t>
            </w:r>
          </w:p>
        </w:tc>
        <w:tc>
          <w:tcPr>
            <w:tcW w:w="966" w:type="dxa"/>
            <w:tcBorders>
              <w:top w:val="double" w:sz="4" w:space="0" w:color="auto"/>
            </w:tcBorders>
            <w:shd w:val="clear" w:color="auto" w:fill="auto"/>
            <w:noWrap/>
            <w:hideMark/>
          </w:tcPr>
          <w:p w:rsidR="000E0B42" w:rsidRPr="000E0B42" w:rsidRDefault="000E0B42" w:rsidP="009874A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0E0B42">
              <w:rPr>
                <w:rFonts w:ascii="宋体" w:eastAsia="宋体" w:hAnsi="宋体" w:cs="宋体" w:hint="eastAsia"/>
                <w:b w:val="0"/>
                <w:color w:val="000000"/>
                <w:kern w:val="0"/>
                <w:sz w:val="20"/>
                <w:szCs w:val="21"/>
              </w:rPr>
              <w:t>按人均分、承包到户</w:t>
            </w:r>
          </w:p>
        </w:tc>
        <w:tc>
          <w:tcPr>
            <w:tcW w:w="966" w:type="dxa"/>
            <w:tcBorders>
              <w:top w:val="double" w:sz="4" w:space="0" w:color="auto"/>
            </w:tcBorders>
            <w:shd w:val="clear" w:color="auto" w:fill="auto"/>
            <w:noWrap/>
            <w:hideMark/>
          </w:tcPr>
          <w:p w:rsidR="000E0B42" w:rsidRPr="000E0B42" w:rsidRDefault="000E0B42" w:rsidP="009874A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0E0B42">
              <w:rPr>
                <w:rFonts w:ascii="宋体" w:eastAsia="宋体" w:hAnsi="宋体" w:cs="宋体" w:hint="eastAsia"/>
                <w:b w:val="0"/>
                <w:color w:val="000000"/>
                <w:kern w:val="0"/>
                <w:sz w:val="20"/>
                <w:szCs w:val="21"/>
              </w:rPr>
              <w:t>招标拍卖等</w:t>
            </w:r>
          </w:p>
        </w:tc>
        <w:tc>
          <w:tcPr>
            <w:tcW w:w="946" w:type="dxa"/>
            <w:tcBorders>
              <w:top w:val="double" w:sz="4" w:space="0" w:color="auto"/>
            </w:tcBorders>
            <w:shd w:val="clear" w:color="auto" w:fill="auto"/>
            <w:noWrap/>
            <w:hideMark/>
          </w:tcPr>
          <w:p w:rsidR="000E0B42" w:rsidRPr="000E0B42" w:rsidRDefault="000E0B42" w:rsidP="009874A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0E0B42">
              <w:rPr>
                <w:rFonts w:ascii="宋体" w:eastAsia="宋体" w:hAnsi="宋体" w:cs="宋体" w:hint="eastAsia"/>
                <w:b w:val="0"/>
                <w:color w:val="000000"/>
                <w:kern w:val="0"/>
                <w:sz w:val="20"/>
                <w:szCs w:val="21"/>
              </w:rPr>
              <w:t>退耕地</w:t>
            </w:r>
          </w:p>
        </w:tc>
        <w:tc>
          <w:tcPr>
            <w:tcW w:w="966" w:type="dxa"/>
            <w:tcBorders>
              <w:top w:val="double" w:sz="4" w:space="0" w:color="auto"/>
            </w:tcBorders>
            <w:shd w:val="clear" w:color="auto" w:fill="auto"/>
            <w:noWrap/>
            <w:hideMark/>
          </w:tcPr>
          <w:p w:rsidR="000E0B42" w:rsidRPr="000E0B42" w:rsidRDefault="000E0B42" w:rsidP="009874A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0E0B42">
              <w:rPr>
                <w:rFonts w:ascii="宋体" w:eastAsia="宋体" w:hAnsi="宋体" w:cs="宋体" w:hint="eastAsia"/>
                <w:b w:val="0"/>
                <w:color w:val="000000"/>
                <w:kern w:val="0"/>
                <w:sz w:val="20"/>
                <w:szCs w:val="21"/>
              </w:rPr>
              <w:t>流转获得</w:t>
            </w:r>
          </w:p>
        </w:tc>
        <w:tc>
          <w:tcPr>
            <w:tcW w:w="966" w:type="dxa"/>
            <w:tcBorders>
              <w:top w:val="double" w:sz="4" w:space="0" w:color="auto"/>
            </w:tcBorders>
            <w:shd w:val="clear" w:color="auto" w:fill="auto"/>
            <w:noWrap/>
            <w:hideMark/>
          </w:tcPr>
          <w:p w:rsidR="000E0B42" w:rsidRPr="000E0B42" w:rsidRDefault="000E0B42" w:rsidP="009874A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0E0B42">
              <w:rPr>
                <w:rFonts w:ascii="宋体" w:eastAsia="宋体" w:hAnsi="宋体" w:cs="宋体" w:hint="eastAsia"/>
                <w:b w:val="0"/>
                <w:color w:val="000000"/>
                <w:kern w:val="0"/>
                <w:sz w:val="20"/>
                <w:szCs w:val="21"/>
              </w:rPr>
              <w:t>其他方式获得</w:t>
            </w:r>
          </w:p>
        </w:tc>
      </w:tr>
      <w:tr w:rsidR="00E007ED" w:rsidRPr="009874A6" w:rsidTr="009874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44" w:type="dxa"/>
            <w:shd w:val="clear" w:color="auto" w:fill="auto"/>
            <w:hideMark/>
          </w:tcPr>
          <w:p w:rsidR="000E0B42" w:rsidRPr="000E0B42" w:rsidRDefault="000E0B42" w:rsidP="000E0B42">
            <w:pPr>
              <w:widowControl/>
              <w:rPr>
                <w:rFonts w:ascii="宋体" w:eastAsia="宋体" w:hAnsi="宋体" w:cs="宋体"/>
                <w:b w:val="0"/>
                <w:bCs w:val="0"/>
                <w:color w:val="000000"/>
                <w:kern w:val="0"/>
                <w:sz w:val="20"/>
                <w:szCs w:val="21"/>
              </w:rPr>
            </w:pPr>
            <w:r w:rsidRPr="000E0B42">
              <w:rPr>
                <w:rFonts w:ascii="宋体" w:eastAsia="宋体" w:hAnsi="宋体" w:cs="宋体" w:hint="eastAsia"/>
                <w:b w:val="0"/>
                <w:bCs w:val="0"/>
                <w:color w:val="000000"/>
                <w:kern w:val="0"/>
                <w:sz w:val="20"/>
                <w:szCs w:val="21"/>
              </w:rPr>
              <w:t>福建</w:t>
            </w:r>
          </w:p>
        </w:tc>
        <w:tc>
          <w:tcPr>
            <w:tcW w:w="94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31.5%</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12.2%</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16.2%</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23.7%</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6.2%</w:t>
            </w:r>
          </w:p>
        </w:tc>
        <w:tc>
          <w:tcPr>
            <w:tcW w:w="94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1.7%</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4.0%</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4.6%</w:t>
            </w:r>
          </w:p>
        </w:tc>
      </w:tr>
      <w:tr w:rsidR="009874A6" w:rsidRPr="000E0B42" w:rsidTr="009874A6">
        <w:trPr>
          <w:trHeight w:val="285"/>
        </w:trPr>
        <w:tc>
          <w:tcPr>
            <w:cnfStyle w:val="001000000000" w:firstRow="0" w:lastRow="0" w:firstColumn="1" w:lastColumn="0" w:oddVBand="0" w:evenVBand="0" w:oddHBand="0" w:evenHBand="0" w:firstRowFirstColumn="0" w:firstRowLastColumn="0" w:lastRowFirstColumn="0" w:lastRowLastColumn="0"/>
            <w:tcW w:w="744" w:type="dxa"/>
            <w:shd w:val="clear" w:color="auto" w:fill="auto"/>
            <w:hideMark/>
          </w:tcPr>
          <w:p w:rsidR="000E0B42" w:rsidRPr="000E0B42" w:rsidRDefault="000E0B42" w:rsidP="000E0B42">
            <w:pPr>
              <w:widowControl/>
              <w:rPr>
                <w:rFonts w:ascii="宋体" w:eastAsia="宋体" w:hAnsi="宋体" w:cs="宋体"/>
                <w:b w:val="0"/>
                <w:bCs w:val="0"/>
                <w:color w:val="000000"/>
                <w:kern w:val="0"/>
                <w:sz w:val="20"/>
                <w:szCs w:val="21"/>
              </w:rPr>
            </w:pPr>
            <w:r w:rsidRPr="000E0B42">
              <w:rPr>
                <w:rFonts w:ascii="宋体" w:eastAsia="宋体" w:hAnsi="宋体" w:cs="宋体" w:hint="eastAsia"/>
                <w:b w:val="0"/>
                <w:bCs w:val="0"/>
                <w:color w:val="000000"/>
                <w:kern w:val="0"/>
                <w:sz w:val="20"/>
                <w:szCs w:val="21"/>
              </w:rPr>
              <w:t>甘肃</w:t>
            </w:r>
          </w:p>
        </w:tc>
        <w:tc>
          <w:tcPr>
            <w:tcW w:w="94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1.1%</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1.7%</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0.0%</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58.3%</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0.2%</w:t>
            </w:r>
          </w:p>
        </w:tc>
        <w:tc>
          <w:tcPr>
            <w:tcW w:w="94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38.5%</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0.1%</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0.1%</w:t>
            </w:r>
          </w:p>
        </w:tc>
      </w:tr>
      <w:tr w:rsidR="00E007ED" w:rsidRPr="009874A6" w:rsidTr="009874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44" w:type="dxa"/>
            <w:shd w:val="clear" w:color="auto" w:fill="auto"/>
            <w:hideMark/>
          </w:tcPr>
          <w:p w:rsidR="000E0B42" w:rsidRPr="000E0B42" w:rsidRDefault="000E0B42" w:rsidP="000E0B42">
            <w:pPr>
              <w:widowControl/>
              <w:rPr>
                <w:rFonts w:ascii="宋体" w:eastAsia="宋体" w:hAnsi="宋体" w:cs="宋体"/>
                <w:b w:val="0"/>
                <w:bCs w:val="0"/>
                <w:color w:val="000000"/>
                <w:kern w:val="0"/>
                <w:sz w:val="20"/>
                <w:szCs w:val="21"/>
              </w:rPr>
            </w:pPr>
            <w:r w:rsidRPr="000E0B42">
              <w:rPr>
                <w:rFonts w:ascii="宋体" w:eastAsia="宋体" w:hAnsi="宋体" w:cs="宋体" w:hint="eastAsia"/>
                <w:b w:val="0"/>
                <w:bCs w:val="0"/>
                <w:color w:val="000000"/>
                <w:kern w:val="0"/>
                <w:sz w:val="20"/>
                <w:szCs w:val="21"/>
              </w:rPr>
              <w:t>湖南</w:t>
            </w:r>
          </w:p>
        </w:tc>
        <w:tc>
          <w:tcPr>
            <w:tcW w:w="94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14.0%</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926DD6">
              <w:rPr>
                <w:rFonts w:ascii="宋体" w:eastAsia="宋体" w:hAnsi="宋体" w:cs="宋体" w:hint="eastAsia"/>
                <w:bCs/>
                <w:color w:val="000000"/>
                <w:kern w:val="0"/>
                <w:sz w:val="20"/>
                <w:szCs w:val="21"/>
                <w:bdr w:val="single" w:sz="4" w:space="0" w:color="auto"/>
              </w:rPr>
              <w:t>40.5%</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0.6%</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926DD6">
              <w:rPr>
                <w:rFonts w:ascii="宋体" w:eastAsia="宋体" w:hAnsi="宋体" w:cs="宋体" w:hint="eastAsia"/>
                <w:bCs/>
                <w:color w:val="000000"/>
                <w:kern w:val="0"/>
                <w:sz w:val="20"/>
                <w:szCs w:val="21"/>
                <w:bdr w:val="single" w:sz="4" w:space="0" w:color="auto"/>
              </w:rPr>
              <w:t>33.9%</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0.0%</w:t>
            </w:r>
          </w:p>
        </w:tc>
        <w:tc>
          <w:tcPr>
            <w:tcW w:w="94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4.3%</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2.5%</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4.1%</w:t>
            </w:r>
          </w:p>
        </w:tc>
      </w:tr>
      <w:tr w:rsidR="009874A6" w:rsidRPr="000E0B42" w:rsidTr="009874A6">
        <w:trPr>
          <w:trHeight w:val="285"/>
        </w:trPr>
        <w:tc>
          <w:tcPr>
            <w:cnfStyle w:val="001000000000" w:firstRow="0" w:lastRow="0" w:firstColumn="1" w:lastColumn="0" w:oddVBand="0" w:evenVBand="0" w:oddHBand="0" w:evenHBand="0" w:firstRowFirstColumn="0" w:firstRowLastColumn="0" w:lastRowFirstColumn="0" w:lastRowLastColumn="0"/>
            <w:tcW w:w="744" w:type="dxa"/>
            <w:shd w:val="clear" w:color="auto" w:fill="auto"/>
            <w:hideMark/>
          </w:tcPr>
          <w:p w:rsidR="000E0B42" w:rsidRPr="000E0B42" w:rsidRDefault="000E0B42" w:rsidP="000E0B42">
            <w:pPr>
              <w:widowControl/>
              <w:rPr>
                <w:rFonts w:ascii="宋体" w:eastAsia="宋体" w:hAnsi="宋体" w:cs="宋体"/>
                <w:b w:val="0"/>
                <w:bCs w:val="0"/>
                <w:color w:val="000000"/>
                <w:kern w:val="0"/>
                <w:sz w:val="20"/>
                <w:szCs w:val="21"/>
              </w:rPr>
            </w:pPr>
            <w:r w:rsidRPr="000E0B42">
              <w:rPr>
                <w:rFonts w:ascii="宋体" w:eastAsia="宋体" w:hAnsi="宋体" w:cs="宋体" w:hint="eastAsia"/>
                <w:b w:val="0"/>
                <w:bCs w:val="0"/>
                <w:color w:val="000000"/>
                <w:kern w:val="0"/>
                <w:sz w:val="20"/>
                <w:szCs w:val="21"/>
              </w:rPr>
              <w:t>江西</w:t>
            </w:r>
          </w:p>
        </w:tc>
        <w:tc>
          <w:tcPr>
            <w:tcW w:w="94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39.9%</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35.6%</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1.3%</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14.4%</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1.0%</w:t>
            </w:r>
          </w:p>
        </w:tc>
        <w:tc>
          <w:tcPr>
            <w:tcW w:w="94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2.5%</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4.0%</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1.3%</w:t>
            </w:r>
          </w:p>
        </w:tc>
      </w:tr>
      <w:tr w:rsidR="00E007ED" w:rsidRPr="009874A6" w:rsidTr="009874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44" w:type="dxa"/>
            <w:shd w:val="clear" w:color="auto" w:fill="auto"/>
            <w:hideMark/>
          </w:tcPr>
          <w:p w:rsidR="000E0B42" w:rsidRPr="000E0B42" w:rsidRDefault="000E0B42" w:rsidP="000E0B42">
            <w:pPr>
              <w:widowControl/>
              <w:rPr>
                <w:rFonts w:ascii="宋体" w:eastAsia="宋体" w:hAnsi="宋体" w:cs="宋体"/>
                <w:b w:val="0"/>
                <w:bCs w:val="0"/>
                <w:color w:val="000000"/>
                <w:kern w:val="0"/>
                <w:sz w:val="20"/>
                <w:szCs w:val="21"/>
              </w:rPr>
            </w:pPr>
            <w:r w:rsidRPr="000E0B42">
              <w:rPr>
                <w:rFonts w:ascii="宋体" w:eastAsia="宋体" w:hAnsi="宋体" w:cs="宋体" w:hint="eastAsia"/>
                <w:b w:val="0"/>
                <w:bCs w:val="0"/>
                <w:color w:val="000000"/>
                <w:kern w:val="0"/>
                <w:sz w:val="20"/>
                <w:szCs w:val="21"/>
              </w:rPr>
              <w:t>辽宁</w:t>
            </w:r>
          </w:p>
        </w:tc>
        <w:tc>
          <w:tcPr>
            <w:tcW w:w="94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27.1%</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8.8%</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8.8%</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33.1%</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10.6%</w:t>
            </w:r>
          </w:p>
        </w:tc>
        <w:tc>
          <w:tcPr>
            <w:tcW w:w="94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6.2%</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3.2%</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2.1%</w:t>
            </w:r>
          </w:p>
        </w:tc>
      </w:tr>
      <w:tr w:rsidR="009874A6" w:rsidRPr="000E0B42" w:rsidTr="009874A6">
        <w:trPr>
          <w:trHeight w:val="285"/>
        </w:trPr>
        <w:tc>
          <w:tcPr>
            <w:cnfStyle w:val="001000000000" w:firstRow="0" w:lastRow="0" w:firstColumn="1" w:lastColumn="0" w:oddVBand="0" w:evenVBand="0" w:oddHBand="0" w:evenHBand="0" w:firstRowFirstColumn="0" w:firstRowLastColumn="0" w:lastRowFirstColumn="0" w:lastRowLastColumn="0"/>
            <w:tcW w:w="744" w:type="dxa"/>
            <w:shd w:val="clear" w:color="auto" w:fill="auto"/>
            <w:hideMark/>
          </w:tcPr>
          <w:p w:rsidR="000E0B42" w:rsidRPr="000E0B42" w:rsidRDefault="000E0B42" w:rsidP="000E0B42">
            <w:pPr>
              <w:widowControl/>
              <w:rPr>
                <w:rFonts w:ascii="宋体" w:eastAsia="宋体" w:hAnsi="宋体" w:cs="宋体"/>
                <w:b w:val="0"/>
                <w:bCs w:val="0"/>
                <w:color w:val="000000"/>
                <w:kern w:val="0"/>
                <w:sz w:val="20"/>
                <w:szCs w:val="21"/>
              </w:rPr>
            </w:pPr>
            <w:r w:rsidRPr="000E0B42">
              <w:rPr>
                <w:rFonts w:ascii="宋体" w:eastAsia="宋体" w:hAnsi="宋体" w:cs="宋体" w:hint="eastAsia"/>
                <w:b w:val="0"/>
                <w:bCs w:val="0"/>
                <w:color w:val="000000"/>
                <w:kern w:val="0"/>
                <w:sz w:val="20"/>
                <w:szCs w:val="21"/>
              </w:rPr>
              <w:t>陕西</w:t>
            </w:r>
          </w:p>
        </w:tc>
        <w:tc>
          <w:tcPr>
            <w:tcW w:w="94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17.8%</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3.7%</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1.3%</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23.5%</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4.4%</w:t>
            </w:r>
          </w:p>
        </w:tc>
        <w:tc>
          <w:tcPr>
            <w:tcW w:w="94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35.5%</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0.3%</w:t>
            </w:r>
          </w:p>
        </w:tc>
        <w:tc>
          <w:tcPr>
            <w:tcW w:w="966" w:type="dxa"/>
            <w:shd w:val="clear" w:color="auto" w:fill="auto"/>
            <w:noWrap/>
            <w:hideMark/>
          </w:tcPr>
          <w:p w:rsidR="000E0B42" w:rsidRPr="000E0B42" w:rsidRDefault="000E0B42"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13.4%</w:t>
            </w:r>
          </w:p>
        </w:tc>
      </w:tr>
      <w:tr w:rsidR="00E007ED" w:rsidRPr="009874A6" w:rsidTr="009874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44" w:type="dxa"/>
            <w:shd w:val="clear" w:color="auto" w:fill="auto"/>
            <w:hideMark/>
          </w:tcPr>
          <w:p w:rsidR="000E0B42" w:rsidRPr="000E0B42" w:rsidRDefault="000E0B42" w:rsidP="000E0B42">
            <w:pPr>
              <w:widowControl/>
              <w:rPr>
                <w:rFonts w:ascii="宋体" w:eastAsia="宋体" w:hAnsi="宋体" w:cs="宋体"/>
                <w:b w:val="0"/>
                <w:bCs w:val="0"/>
                <w:color w:val="000000"/>
                <w:kern w:val="0"/>
                <w:sz w:val="20"/>
                <w:szCs w:val="21"/>
              </w:rPr>
            </w:pPr>
            <w:r w:rsidRPr="000E0B42">
              <w:rPr>
                <w:rFonts w:ascii="宋体" w:eastAsia="宋体" w:hAnsi="宋体" w:cs="宋体" w:hint="eastAsia"/>
                <w:b w:val="0"/>
                <w:bCs w:val="0"/>
                <w:color w:val="000000"/>
                <w:kern w:val="0"/>
                <w:sz w:val="20"/>
                <w:szCs w:val="21"/>
              </w:rPr>
              <w:t>云南</w:t>
            </w:r>
          </w:p>
        </w:tc>
        <w:tc>
          <w:tcPr>
            <w:tcW w:w="94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30.2%</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26.5%</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1.6%</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22.6%</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1.9%</w:t>
            </w:r>
          </w:p>
        </w:tc>
        <w:tc>
          <w:tcPr>
            <w:tcW w:w="94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12.4%</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1.6%</w:t>
            </w:r>
          </w:p>
        </w:tc>
        <w:tc>
          <w:tcPr>
            <w:tcW w:w="966" w:type="dxa"/>
            <w:shd w:val="clear" w:color="auto" w:fill="auto"/>
            <w:noWrap/>
            <w:hideMark/>
          </w:tcPr>
          <w:p w:rsidR="000E0B42" w:rsidRPr="000E0B42" w:rsidRDefault="000E0B42" w:rsidP="009874A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0E0B42">
              <w:rPr>
                <w:rFonts w:ascii="宋体" w:eastAsia="宋体" w:hAnsi="宋体" w:cs="宋体" w:hint="eastAsia"/>
                <w:bCs/>
                <w:color w:val="000000"/>
                <w:kern w:val="0"/>
                <w:sz w:val="20"/>
                <w:szCs w:val="21"/>
              </w:rPr>
              <w:t>3.1%</w:t>
            </w:r>
          </w:p>
        </w:tc>
      </w:tr>
      <w:tr w:rsidR="009874A6" w:rsidRPr="009874A6" w:rsidTr="009874A6">
        <w:trPr>
          <w:trHeight w:val="285"/>
        </w:trPr>
        <w:tc>
          <w:tcPr>
            <w:cnfStyle w:val="001000000000" w:firstRow="0" w:lastRow="0" w:firstColumn="1" w:lastColumn="0" w:oddVBand="0" w:evenVBand="0" w:oddHBand="0" w:evenHBand="0" w:firstRowFirstColumn="0" w:firstRowLastColumn="0" w:lastRowFirstColumn="0" w:lastRowLastColumn="0"/>
            <w:tcW w:w="744" w:type="dxa"/>
            <w:tcBorders>
              <w:bottom w:val="double" w:sz="4" w:space="0" w:color="auto"/>
            </w:tcBorders>
            <w:shd w:val="clear" w:color="auto" w:fill="auto"/>
            <w:noWrap/>
            <w:hideMark/>
          </w:tcPr>
          <w:p w:rsidR="00E007ED" w:rsidRPr="009874A6" w:rsidRDefault="00E007ED" w:rsidP="009874A6">
            <w:pPr>
              <w:widowControl/>
              <w:rPr>
                <w:rFonts w:ascii="宋体" w:eastAsia="宋体" w:hAnsi="宋体" w:cs="宋体"/>
                <w:b w:val="0"/>
                <w:bCs w:val="0"/>
                <w:color w:val="000000"/>
                <w:kern w:val="0"/>
                <w:sz w:val="20"/>
                <w:szCs w:val="21"/>
              </w:rPr>
            </w:pPr>
            <w:r w:rsidRPr="009874A6">
              <w:rPr>
                <w:rFonts w:ascii="宋体" w:eastAsia="宋体" w:hAnsi="宋体" w:cs="宋体" w:hint="eastAsia"/>
                <w:b w:val="0"/>
                <w:bCs w:val="0"/>
                <w:color w:val="000000"/>
                <w:kern w:val="0"/>
                <w:sz w:val="20"/>
                <w:szCs w:val="21"/>
              </w:rPr>
              <w:t>总</w:t>
            </w:r>
          </w:p>
        </w:tc>
        <w:tc>
          <w:tcPr>
            <w:tcW w:w="946" w:type="dxa"/>
            <w:tcBorders>
              <w:bottom w:val="double" w:sz="4" w:space="0" w:color="auto"/>
            </w:tcBorders>
            <w:shd w:val="clear" w:color="auto" w:fill="auto"/>
            <w:noWrap/>
            <w:hideMark/>
          </w:tcPr>
          <w:p w:rsidR="00E007ED" w:rsidRPr="009874A6" w:rsidRDefault="00E007ED"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22.9%</w:t>
            </w:r>
          </w:p>
        </w:tc>
        <w:tc>
          <w:tcPr>
            <w:tcW w:w="966" w:type="dxa"/>
            <w:tcBorders>
              <w:bottom w:val="double" w:sz="4" w:space="0" w:color="auto"/>
            </w:tcBorders>
            <w:shd w:val="clear" w:color="auto" w:fill="auto"/>
            <w:noWrap/>
            <w:hideMark/>
          </w:tcPr>
          <w:p w:rsidR="00E007ED" w:rsidRPr="009874A6" w:rsidRDefault="00E007ED"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9874A6">
              <w:rPr>
                <w:rFonts w:ascii="宋体" w:eastAsia="宋体" w:hAnsi="宋体" w:cs="宋体" w:hint="eastAsia"/>
                <w:bCs/>
                <w:color w:val="000000"/>
                <w:kern w:val="0"/>
                <w:sz w:val="20"/>
                <w:szCs w:val="21"/>
              </w:rPr>
              <w:t>16.8%</w:t>
            </w:r>
          </w:p>
        </w:tc>
        <w:tc>
          <w:tcPr>
            <w:tcW w:w="966" w:type="dxa"/>
            <w:tcBorders>
              <w:bottom w:val="double" w:sz="4" w:space="0" w:color="auto"/>
            </w:tcBorders>
            <w:shd w:val="clear" w:color="auto" w:fill="auto"/>
            <w:noWrap/>
            <w:hideMark/>
          </w:tcPr>
          <w:p w:rsidR="00E007ED" w:rsidRPr="009874A6" w:rsidRDefault="00E007ED"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9874A6">
              <w:rPr>
                <w:rFonts w:ascii="宋体" w:eastAsia="宋体" w:hAnsi="宋体" w:cs="宋体" w:hint="eastAsia"/>
                <w:bCs/>
                <w:color w:val="000000"/>
                <w:kern w:val="0"/>
                <w:sz w:val="20"/>
                <w:szCs w:val="21"/>
              </w:rPr>
              <w:t>4.3%</w:t>
            </w:r>
          </w:p>
        </w:tc>
        <w:tc>
          <w:tcPr>
            <w:tcW w:w="966" w:type="dxa"/>
            <w:tcBorders>
              <w:bottom w:val="double" w:sz="4" w:space="0" w:color="auto"/>
            </w:tcBorders>
            <w:shd w:val="clear" w:color="auto" w:fill="auto"/>
            <w:noWrap/>
            <w:hideMark/>
          </w:tcPr>
          <w:p w:rsidR="00E007ED" w:rsidRPr="009874A6" w:rsidRDefault="00E007ED"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243FE8">
              <w:rPr>
                <w:rFonts w:ascii="宋体" w:eastAsia="宋体" w:hAnsi="宋体" w:cs="宋体" w:hint="eastAsia"/>
                <w:bCs/>
                <w:color w:val="000000"/>
                <w:kern w:val="0"/>
                <w:sz w:val="20"/>
                <w:szCs w:val="21"/>
                <w:bdr w:val="single" w:sz="4" w:space="0" w:color="auto"/>
              </w:rPr>
              <w:t>29.9%</w:t>
            </w:r>
          </w:p>
        </w:tc>
        <w:tc>
          <w:tcPr>
            <w:tcW w:w="966" w:type="dxa"/>
            <w:tcBorders>
              <w:bottom w:val="double" w:sz="4" w:space="0" w:color="auto"/>
            </w:tcBorders>
            <w:shd w:val="clear" w:color="auto" w:fill="auto"/>
            <w:noWrap/>
            <w:hideMark/>
          </w:tcPr>
          <w:p w:rsidR="00E007ED" w:rsidRPr="009874A6" w:rsidRDefault="00E007ED"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9874A6">
              <w:rPr>
                <w:rFonts w:ascii="宋体" w:eastAsia="宋体" w:hAnsi="宋体" w:cs="宋体" w:hint="eastAsia"/>
                <w:bCs/>
                <w:color w:val="000000"/>
                <w:kern w:val="0"/>
                <w:sz w:val="20"/>
                <w:szCs w:val="21"/>
              </w:rPr>
              <w:t>3.7%</w:t>
            </w:r>
          </w:p>
        </w:tc>
        <w:tc>
          <w:tcPr>
            <w:tcW w:w="946" w:type="dxa"/>
            <w:tcBorders>
              <w:bottom w:val="double" w:sz="4" w:space="0" w:color="auto"/>
            </w:tcBorders>
            <w:shd w:val="clear" w:color="auto" w:fill="auto"/>
            <w:noWrap/>
            <w:hideMark/>
          </w:tcPr>
          <w:p w:rsidR="00E007ED" w:rsidRPr="009874A6" w:rsidRDefault="00E007ED"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9874A6">
              <w:rPr>
                <w:rFonts w:ascii="宋体" w:eastAsia="宋体" w:hAnsi="宋体" w:cs="宋体" w:hint="eastAsia"/>
                <w:bCs/>
                <w:color w:val="000000"/>
                <w:kern w:val="0"/>
                <w:sz w:val="20"/>
                <w:szCs w:val="21"/>
              </w:rPr>
              <w:t>15.8%</w:t>
            </w:r>
          </w:p>
        </w:tc>
        <w:tc>
          <w:tcPr>
            <w:tcW w:w="966" w:type="dxa"/>
            <w:tcBorders>
              <w:bottom w:val="double" w:sz="4" w:space="0" w:color="auto"/>
            </w:tcBorders>
            <w:shd w:val="clear" w:color="auto" w:fill="auto"/>
            <w:noWrap/>
            <w:hideMark/>
          </w:tcPr>
          <w:p w:rsidR="00E007ED" w:rsidRPr="009874A6" w:rsidRDefault="00E007ED"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9874A6">
              <w:rPr>
                <w:rFonts w:ascii="宋体" w:eastAsia="宋体" w:hAnsi="宋体" w:cs="宋体" w:hint="eastAsia"/>
                <w:bCs/>
                <w:color w:val="000000"/>
                <w:kern w:val="0"/>
                <w:sz w:val="20"/>
                <w:szCs w:val="21"/>
              </w:rPr>
              <w:t>2.2%</w:t>
            </w:r>
          </w:p>
        </w:tc>
        <w:tc>
          <w:tcPr>
            <w:tcW w:w="966" w:type="dxa"/>
            <w:tcBorders>
              <w:bottom w:val="double" w:sz="4" w:space="0" w:color="auto"/>
            </w:tcBorders>
            <w:shd w:val="clear" w:color="auto" w:fill="auto"/>
            <w:noWrap/>
            <w:hideMark/>
          </w:tcPr>
          <w:p w:rsidR="00E007ED" w:rsidRPr="009874A6" w:rsidRDefault="00E007ED" w:rsidP="009874A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9874A6">
              <w:rPr>
                <w:rFonts w:ascii="宋体" w:eastAsia="宋体" w:hAnsi="宋体" w:cs="宋体" w:hint="eastAsia"/>
                <w:bCs/>
                <w:color w:val="000000"/>
                <w:kern w:val="0"/>
                <w:sz w:val="20"/>
                <w:szCs w:val="21"/>
              </w:rPr>
              <w:t>4.5%</w:t>
            </w:r>
          </w:p>
        </w:tc>
      </w:tr>
    </w:tbl>
    <w:p w:rsidR="00E007ED" w:rsidRDefault="00E007ED">
      <w:pPr>
        <w:sectPr w:rsidR="00E007ED" w:rsidSect="00E007ED">
          <w:type w:val="continuous"/>
          <w:pgSz w:w="11906" w:h="16838"/>
          <w:pgMar w:top="1440" w:right="1800" w:bottom="1440" w:left="1800" w:header="851" w:footer="992" w:gutter="0"/>
          <w:cols w:space="425"/>
          <w:docGrid w:type="lines" w:linePitch="312"/>
        </w:sectPr>
      </w:pPr>
    </w:p>
    <w:p w:rsidR="000E0B42" w:rsidRPr="004A293C" w:rsidRDefault="00A84713" w:rsidP="00A84713">
      <w:pPr>
        <w:ind w:firstLineChars="200" w:firstLine="420"/>
      </w:pPr>
      <w:r>
        <w:rPr>
          <w:rFonts w:hint="eastAsia"/>
        </w:rPr>
        <w:lastRenderedPageBreak/>
        <w:t>可以看到，不管是分省信息还是总体而言，按人均分、承包到户是最常用最基本的分配方式。而其他的方式</w:t>
      </w:r>
      <w:r w:rsidR="00926DD6">
        <w:rPr>
          <w:rFonts w:hint="eastAsia"/>
        </w:rPr>
        <w:t>根据各省不同的情况各有差别。从表中可以看出，对于如福建、湖南、江西、云南等林业比较发达的省份，农民大多在林改前就参与既有林地的经营，农户承包的多为</w:t>
      </w:r>
      <w:r w:rsidR="00E02727">
        <w:rPr>
          <w:rFonts w:hint="eastAsia"/>
        </w:rPr>
        <w:t>自留山和</w:t>
      </w:r>
      <w:proofErr w:type="gramStart"/>
      <w:r w:rsidR="00E02727">
        <w:rPr>
          <w:rFonts w:hint="eastAsia"/>
        </w:rPr>
        <w:t>原责任</w:t>
      </w:r>
      <w:proofErr w:type="gramEnd"/>
      <w:r w:rsidR="00E02727">
        <w:rPr>
          <w:rFonts w:hint="eastAsia"/>
        </w:rPr>
        <w:t>山；而对于甘肃和陕西，由于特殊的地理和历史情况，土地沙漠化等原因造成原有林地破坏严重，现在农户分到林地多为退耕地，分配方式较单一，自留山、</w:t>
      </w:r>
      <w:proofErr w:type="gramStart"/>
      <w:r w:rsidR="00E02727">
        <w:rPr>
          <w:rFonts w:hint="eastAsia"/>
        </w:rPr>
        <w:t>原责任</w:t>
      </w:r>
      <w:proofErr w:type="gramEnd"/>
      <w:r w:rsidR="00E02727">
        <w:rPr>
          <w:rFonts w:hint="eastAsia"/>
        </w:rPr>
        <w:t>山和其他方式的占比很小。</w:t>
      </w:r>
    </w:p>
    <w:p w:rsidR="00F65B55" w:rsidRDefault="00E5141F" w:rsidP="00976FC6">
      <w:pPr>
        <w:pStyle w:val="1"/>
        <w:numPr>
          <w:ilvl w:val="0"/>
          <w:numId w:val="2"/>
        </w:numPr>
      </w:pPr>
      <w:r>
        <w:rPr>
          <w:rFonts w:hint="eastAsia"/>
        </w:rPr>
        <w:t>权证</w:t>
      </w:r>
      <w:r w:rsidR="00F65B55">
        <w:rPr>
          <w:rFonts w:hint="eastAsia"/>
        </w:rPr>
        <w:t>发放情况分析</w:t>
      </w:r>
    </w:p>
    <w:p w:rsidR="00E02727" w:rsidRDefault="00E02727" w:rsidP="00976FC6">
      <w:pPr>
        <w:pStyle w:val="2"/>
        <w:numPr>
          <w:ilvl w:val="1"/>
          <w:numId w:val="2"/>
        </w:numPr>
      </w:pPr>
      <w:r>
        <w:rPr>
          <w:rFonts w:hint="eastAsia"/>
        </w:rPr>
        <w:t>农户</w:t>
      </w:r>
      <w:r w:rsidR="00E5141F">
        <w:rPr>
          <w:rFonts w:hint="eastAsia"/>
        </w:rPr>
        <w:t>获得林权证情况</w:t>
      </w:r>
    </w:p>
    <w:p w:rsidR="00F5496B" w:rsidRPr="00F5496B" w:rsidRDefault="00F5496B" w:rsidP="00A84713">
      <w:pPr>
        <w:ind w:firstLineChars="200" w:firstLine="420"/>
      </w:pPr>
      <w:r>
        <w:rPr>
          <w:rFonts w:hint="eastAsia"/>
        </w:rPr>
        <w:t>总体而言，调查所在的</w:t>
      </w:r>
      <w:r>
        <w:rPr>
          <w:rFonts w:hint="eastAsia"/>
        </w:rPr>
        <w:t>7</w:t>
      </w:r>
      <w:r>
        <w:rPr>
          <w:rFonts w:hint="eastAsia"/>
        </w:rPr>
        <w:t>省的林权证发放是比较理想的，有</w:t>
      </w:r>
      <w:r>
        <w:rPr>
          <w:rFonts w:hint="eastAsia"/>
        </w:rPr>
        <w:t>8</w:t>
      </w:r>
      <w:r w:rsidR="0033603A">
        <w:rPr>
          <w:rFonts w:hint="eastAsia"/>
        </w:rPr>
        <w:t>7.9</w:t>
      </w:r>
      <w:r>
        <w:rPr>
          <w:rFonts w:hint="eastAsia"/>
        </w:rPr>
        <w:t>%</w:t>
      </w:r>
      <w:r>
        <w:rPr>
          <w:rFonts w:hint="eastAsia"/>
        </w:rPr>
        <w:t>的家庭承包林地都有林权证。</w:t>
      </w:r>
      <w:r w:rsidR="00A84713">
        <w:rPr>
          <w:rFonts w:hint="eastAsia"/>
        </w:rPr>
        <w:t>但林权证发放情况各省之间有别。从图</w:t>
      </w:r>
      <w:r w:rsidR="00A84713">
        <w:rPr>
          <w:rFonts w:hint="eastAsia"/>
        </w:rPr>
        <w:t>2</w:t>
      </w:r>
      <w:r w:rsidR="00A84713">
        <w:rPr>
          <w:rFonts w:hint="eastAsia"/>
        </w:rPr>
        <w:t>可以看出，对于林业较发达的湖南、江西等省份，林权证的发放比例能达到</w:t>
      </w:r>
      <w:r w:rsidR="00A84713">
        <w:rPr>
          <w:rFonts w:hint="eastAsia"/>
        </w:rPr>
        <w:t>9</w:t>
      </w:r>
      <w:r w:rsidR="0033603A">
        <w:rPr>
          <w:rFonts w:hint="eastAsia"/>
        </w:rPr>
        <w:t>5</w:t>
      </w:r>
      <w:r w:rsidR="00A84713">
        <w:rPr>
          <w:rFonts w:hint="eastAsia"/>
        </w:rPr>
        <w:t>%</w:t>
      </w:r>
      <w:r w:rsidR="00A84713">
        <w:rPr>
          <w:rFonts w:hint="eastAsia"/>
        </w:rPr>
        <w:t>以上，与之相对比的是，福建作为林业发达地区，却有</w:t>
      </w:r>
      <w:r w:rsidR="0033603A">
        <w:rPr>
          <w:rFonts w:hint="eastAsia"/>
        </w:rPr>
        <w:t>36</w:t>
      </w:r>
      <w:r w:rsidR="00A84713">
        <w:rPr>
          <w:rFonts w:hint="eastAsia"/>
        </w:rPr>
        <w:t>%</w:t>
      </w:r>
      <w:r w:rsidR="00A84713">
        <w:rPr>
          <w:rFonts w:hint="eastAsia"/>
        </w:rPr>
        <w:t>左右的林地没有林权证。这是由于林权证发放政策是由各省独自</w:t>
      </w:r>
      <w:r w:rsidR="00706517">
        <w:rPr>
          <w:rFonts w:hint="eastAsia"/>
        </w:rPr>
        <w:t>制</w:t>
      </w:r>
      <w:r w:rsidR="00706517">
        <w:rPr>
          <w:rFonts w:hint="eastAsia"/>
        </w:rPr>
        <w:lastRenderedPageBreak/>
        <w:t>定</w:t>
      </w:r>
      <w:r w:rsidR="00A84713">
        <w:rPr>
          <w:rFonts w:hint="eastAsia"/>
        </w:rPr>
        <w:t>的，导致了权证发放情况参差不齐，有部分扣证不发的情况产生。</w:t>
      </w:r>
    </w:p>
    <w:p w:rsidR="00E5141F" w:rsidRDefault="00F5496B">
      <w:r>
        <w:rPr>
          <w:noProof/>
        </w:rPr>
        <w:drawing>
          <wp:inline distT="0" distB="0" distL="0" distR="0" wp14:anchorId="69119E5A" wp14:editId="63F4DB7A">
            <wp:extent cx="2505075" cy="19050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496B" w:rsidRPr="00A84713" w:rsidRDefault="00F5496B" w:rsidP="00A84713">
      <w:pPr>
        <w:spacing w:after="240"/>
        <w:jc w:val="center"/>
        <w:rPr>
          <w:sz w:val="20"/>
        </w:rPr>
      </w:pPr>
      <w:r w:rsidRPr="00091A68">
        <w:rPr>
          <w:rFonts w:hint="eastAsia"/>
          <w:bCs/>
          <w:sz w:val="20"/>
        </w:rPr>
        <w:t>图</w:t>
      </w:r>
      <w:r>
        <w:rPr>
          <w:rFonts w:hint="eastAsia"/>
          <w:bCs/>
          <w:sz w:val="20"/>
        </w:rPr>
        <w:t>2</w:t>
      </w:r>
      <w:r w:rsidRPr="00091A68">
        <w:rPr>
          <w:rFonts w:hint="eastAsia"/>
          <w:bCs/>
          <w:sz w:val="20"/>
        </w:rPr>
        <w:t xml:space="preserve"> </w:t>
      </w:r>
      <w:r w:rsidRPr="00091A68">
        <w:rPr>
          <w:bCs/>
          <w:sz w:val="20"/>
        </w:rPr>
        <w:t>各省</w:t>
      </w:r>
      <w:r>
        <w:rPr>
          <w:rFonts w:hint="eastAsia"/>
          <w:bCs/>
          <w:sz w:val="20"/>
        </w:rPr>
        <w:t>有林权证和无林权证林地</w:t>
      </w:r>
      <w:r w:rsidRPr="00091A68">
        <w:rPr>
          <w:bCs/>
          <w:sz w:val="20"/>
        </w:rPr>
        <w:t>块数</w:t>
      </w:r>
    </w:p>
    <w:p w:rsidR="00424A0E" w:rsidRDefault="00424A0E" w:rsidP="00A84713">
      <w:pPr>
        <w:ind w:firstLineChars="200" w:firstLine="420"/>
      </w:pPr>
      <w:r>
        <w:rPr>
          <w:rFonts w:hint="eastAsia"/>
        </w:rPr>
        <w:t>在调查数据发现，</w:t>
      </w:r>
      <w:r w:rsidR="00BA764E">
        <w:rPr>
          <w:rFonts w:hint="eastAsia"/>
        </w:rPr>
        <w:t>在有林权证的农户中间</w:t>
      </w:r>
      <w:r>
        <w:rPr>
          <w:rFonts w:hint="eastAsia"/>
        </w:rPr>
        <w:t>，</w:t>
      </w:r>
      <w:r w:rsidR="00BA764E">
        <w:rPr>
          <w:rFonts w:hint="eastAsia"/>
        </w:rPr>
        <w:t>有且农户的</w:t>
      </w:r>
      <w:r>
        <w:rPr>
          <w:rFonts w:hint="eastAsia"/>
        </w:rPr>
        <w:t>林权证在</w:t>
      </w:r>
      <w:r w:rsidR="00BA764E">
        <w:rPr>
          <w:rFonts w:hint="eastAsia"/>
        </w:rPr>
        <w:t>村级政府</w:t>
      </w:r>
      <w:r>
        <w:rPr>
          <w:rFonts w:hint="eastAsia"/>
        </w:rPr>
        <w:t>存放，并没有发放到农户手中。这种情况</w:t>
      </w:r>
      <w:r w:rsidR="00B302C0">
        <w:rPr>
          <w:rFonts w:hint="eastAsia"/>
        </w:rPr>
        <w:t>在陕西、甘肃、辽宁个别出现，</w:t>
      </w:r>
      <w:r w:rsidR="00BA764E">
        <w:rPr>
          <w:rFonts w:hint="eastAsia"/>
        </w:rPr>
        <w:t>且</w:t>
      </w:r>
      <w:r>
        <w:rPr>
          <w:rFonts w:hint="eastAsia"/>
        </w:rPr>
        <w:t>多为某个村庄普遍存在的现象，如</w:t>
      </w:r>
      <w:proofErr w:type="gramStart"/>
      <w:r w:rsidR="00B302C0" w:rsidRPr="00DD403D">
        <w:rPr>
          <w:rFonts w:hint="eastAsia"/>
        </w:rPr>
        <w:t>甘肃省南峡</w:t>
      </w:r>
      <w:r w:rsidRPr="00DD403D">
        <w:rPr>
          <w:rFonts w:hint="eastAsia"/>
        </w:rPr>
        <w:t>村</w:t>
      </w:r>
      <w:proofErr w:type="gramEnd"/>
      <w:r w:rsidR="00BA764E">
        <w:rPr>
          <w:rFonts w:hint="eastAsia"/>
        </w:rPr>
        <w:t>。</w:t>
      </w:r>
      <w:r w:rsidR="00552635">
        <w:rPr>
          <w:rFonts w:hint="eastAsia"/>
        </w:rPr>
        <w:t>在分析具体数据时发现</w:t>
      </w:r>
      <w:r w:rsidR="00BA764E">
        <w:rPr>
          <w:rFonts w:hint="eastAsia"/>
        </w:rPr>
        <w:t>，这些村的林地多为村小组集体经营。</w:t>
      </w:r>
      <w:r w:rsidR="00552635">
        <w:rPr>
          <w:rFonts w:hint="eastAsia"/>
        </w:rPr>
        <w:t>从改革监测小组的报告中了解到，一些村庄存在</w:t>
      </w:r>
      <w:r w:rsidR="00552635" w:rsidRPr="00A84713">
        <w:t>“</w:t>
      </w:r>
      <w:r w:rsidR="00552635" w:rsidRPr="00A84713">
        <w:t>以股代改</w:t>
      </w:r>
      <w:r w:rsidR="00552635" w:rsidRPr="00A84713">
        <w:t>”</w:t>
      </w:r>
      <w:r w:rsidR="00552635" w:rsidRPr="00A84713">
        <w:t>、</w:t>
      </w:r>
      <w:r w:rsidR="00552635" w:rsidRPr="00A84713">
        <w:t>“</w:t>
      </w:r>
      <w:r w:rsidR="00552635" w:rsidRPr="00A84713">
        <w:t>以卖代改</w:t>
      </w:r>
      <w:r w:rsidR="00552635" w:rsidRPr="00A84713">
        <w:t>”</w:t>
      </w:r>
      <w:r w:rsidR="00552635" w:rsidRPr="00A84713">
        <w:t>的</w:t>
      </w:r>
      <w:r w:rsidR="00552635" w:rsidRPr="00A84713">
        <w:rPr>
          <w:rFonts w:hint="eastAsia"/>
        </w:rPr>
        <w:t>现象</w:t>
      </w:r>
      <w:r w:rsidR="00552635">
        <w:rPr>
          <w:rFonts w:hint="eastAsia"/>
        </w:rPr>
        <w:t>，</w:t>
      </w:r>
      <w:r w:rsidR="00552635" w:rsidRPr="00552635">
        <w:t>未经村民统一，或者违背农民意愿，对集体林地实施股份制承包、联户承包、招投标拍卖承包。</w:t>
      </w:r>
    </w:p>
    <w:p w:rsidR="00F51DB1" w:rsidRPr="007F2EFF" w:rsidRDefault="00F51DB1" w:rsidP="007F2EFF">
      <w:pPr>
        <w:pStyle w:val="a6"/>
        <w:numPr>
          <w:ilvl w:val="0"/>
          <w:numId w:val="20"/>
        </w:numPr>
        <w:ind w:left="0" w:firstLineChars="71" w:firstLine="142"/>
        <w:jc w:val="center"/>
        <w:rPr>
          <w:bCs/>
          <w:sz w:val="20"/>
        </w:rPr>
      </w:pPr>
      <w:r w:rsidRPr="007F2EFF">
        <w:rPr>
          <w:rFonts w:hint="eastAsia"/>
          <w:bCs/>
          <w:sz w:val="20"/>
        </w:rPr>
        <w:t>不认为林权证重要农户所在村庄举例</w:t>
      </w:r>
    </w:p>
    <w:tbl>
      <w:tblPr>
        <w:tblStyle w:val="a5"/>
        <w:tblW w:w="4219" w:type="dxa"/>
        <w:tblLook w:val="04A0" w:firstRow="1" w:lastRow="0" w:firstColumn="1" w:lastColumn="0" w:noHBand="0" w:noVBand="1"/>
      </w:tblPr>
      <w:tblGrid>
        <w:gridCol w:w="817"/>
        <w:gridCol w:w="1418"/>
        <w:gridCol w:w="1134"/>
        <w:gridCol w:w="850"/>
      </w:tblGrid>
      <w:tr w:rsidR="00F51DB1" w:rsidRPr="00A7265A" w:rsidTr="0024150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17" w:type="dxa"/>
            <w:tcBorders>
              <w:top w:val="double" w:sz="4" w:space="0" w:color="auto"/>
            </w:tcBorders>
            <w:shd w:val="clear" w:color="auto" w:fill="auto"/>
            <w:noWrap/>
            <w:hideMark/>
          </w:tcPr>
          <w:p w:rsidR="00A7265A" w:rsidRPr="00A7265A" w:rsidRDefault="00A7265A" w:rsidP="00F51DB1">
            <w:pPr>
              <w:widowControl/>
              <w:jc w:val="center"/>
              <w:rPr>
                <w:rFonts w:ascii="宋体" w:eastAsia="宋体" w:hAnsi="宋体" w:cs="宋体"/>
                <w:b w:val="0"/>
                <w:bCs w:val="0"/>
                <w:color w:val="000000"/>
                <w:kern w:val="0"/>
                <w:sz w:val="20"/>
                <w:szCs w:val="21"/>
              </w:rPr>
            </w:pPr>
          </w:p>
        </w:tc>
        <w:tc>
          <w:tcPr>
            <w:tcW w:w="1418" w:type="dxa"/>
            <w:tcBorders>
              <w:top w:val="double" w:sz="4" w:space="0" w:color="auto"/>
              <w:bottom w:val="single" w:sz="4" w:space="0" w:color="auto"/>
            </w:tcBorders>
            <w:shd w:val="clear" w:color="auto" w:fill="auto"/>
            <w:noWrap/>
            <w:hideMark/>
          </w:tcPr>
          <w:p w:rsidR="00A7265A" w:rsidRPr="00A7265A" w:rsidRDefault="00A7265A" w:rsidP="00F51DB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kern w:val="0"/>
                <w:sz w:val="20"/>
                <w:szCs w:val="21"/>
              </w:rPr>
            </w:pPr>
            <w:r w:rsidRPr="00A7265A">
              <w:rPr>
                <w:rFonts w:ascii="宋体" w:eastAsia="宋体" w:hAnsi="宋体" w:cs="宋体" w:hint="eastAsia"/>
                <w:b w:val="0"/>
                <w:bCs w:val="0"/>
                <w:color w:val="000000"/>
                <w:kern w:val="0"/>
                <w:sz w:val="20"/>
                <w:szCs w:val="21"/>
              </w:rPr>
              <w:t>不认为林权证</w:t>
            </w:r>
            <w:r w:rsidRPr="00A7265A">
              <w:rPr>
                <w:rFonts w:ascii="宋体" w:eastAsia="宋体" w:hAnsi="宋体" w:cs="宋体" w:hint="eastAsia"/>
                <w:b w:val="0"/>
                <w:bCs w:val="0"/>
                <w:color w:val="000000"/>
                <w:kern w:val="0"/>
                <w:sz w:val="20"/>
                <w:szCs w:val="21"/>
              </w:rPr>
              <w:lastRenderedPageBreak/>
              <w:t>重要农户比例</w:t>
            </w:r>
          </w:p>
        </w:tc>
        <w:tc>
          <w:tcPr>
            <w:tcW w:w="1134" w:type="dxa"/>
            <w:tcBorders>
              <w:top w:val="double" w:sz="4" w:space="0" w:color="auto"/>
            </w:tcBorders>
            <w:shd w:val="clear" w:color="auto" w:fill="auto"/>
            <w:noWrap/>
            <w:hideMark/>
          </w:tcPr>
          <w:p w:rsidR="00A7265A" w:rsidRPr="00A7265A" w:rsidRDefault="00A7265A" w:rsidP="00F51DB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kern w:val="0"/>
                <w:sz w:val="20"/>
                <w:szCs w:val="21"/>
              </w:rPr>
            </w:pPr>
            <w:r w:rsidRPr="00A7265A">
              <w:rPr>
                <w:rFonts w:ascii="宋体" w:eastAsia="宋体" w:hAnsi="宋体" w:cs="宋体" w:hint="eastAsia"/>
                <w:b w:val="0"/>
                <w:bCs w:val="0"/>
                <w:color w:val="000000"/>
                <w:kern w:val="0"/>
                <w:sz w:val="20"/>
                <w:szCs w:val="21"/>
              </w:rPr>
              <w:lastRenderedPageBreak/>
              <w:t>林权证发</w:t>
            </w:r>
            <w:r w:rsidRPr="00A7265A">
              <w:rPr>
                <w:rFonts w:ascii="宋体" w:eastAsia="宋体" w:hAnsi="宋体" w:cs="宋体" w:hint="eastAsia"/>
                <w:b w:val="0"/>
                <w:bCs w:val="0"/>
                <w:color w:val="000000"/>
                <w:kern w:val="0"/>
                <w:sz w:val="20"/>
                <w:szCs w:val="21"/>
              </w:rPr>
              <w:lastRenderedPageBreak/>
              <w:t>放情况</w:t>
            </w:r>
          </w:p>
        </w:tc>
        <w:tc>
          <w:tcPr>
            <w:tcW w:w="850" w:type="dxa"/>
            <w:tcBorders>
              <w:top w:val="double" w:sz="4" w:space="0" w:color="auto"/>
            </w:tcBorders>
            <w:shd w:val="clear" w:color="auto" w:fill="auto"/>
            <w:noWrap/>
            <w:hideMark/>
          </w:tcPr>
          <w:p w:rsidR="00A7265A" w:rsidRPr="00A7265A" w:rsidRDefault="00A7265A" w:rsidP="00F51DB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000000"/>
                <w:kern w:val="0"/>
                <w:sz w:val="20"/>
                <w:szCs w:val="21"/>
              </w:rPr>
            </w:pPr>
            <w:r w:rsidRPr="00A7265A">
              <w:rPr>
                <w:rFonts w:ascii="宋体" w:eastAsia="宋体" w:hAnsi="宋体" w:cs="宋体" w:hint="eastAsia"/>
                <w:b w:val="0"/>
                <w:bCs w:val="0"/>
                <w:color w:val="000000"/>
                <w:kern w:val="0"/>
                <w:sz w:val="20"/>
                <w:szCs w:val="21"/>
              </w:rPr>
              <w:lastRenderedPageBreak/>
              <w:t>林地类</w:t>
            </w:r>
            <w:r w:rsidRPr="00A7265A">
              <w:rPr>
                <w:rFonts w:ascii="宋体" w:eastAsia="宋体" w:hAnsi="宋体" w:cs="宋体" w:hint="eastAsia"/>
                <w:b w:val="0"/>
                <w:bCs w:val="0"/>
                <w:color w:val="000000"/>
                <w:kern w:val="0"/>
                <w:sz w:val="20"/>
                <w:szCs w:val="21"/>
              </w:rPr>
              <w:lastRenderedPageBreak/>
              <w:t>型</w:t>
            </w:r>
          </w:p>
        </w:tc>
      </w:tr>
      <w:tr w:rsidR="00F51DB1" w:rsidRPr="00A7265A" w:rsidTr="0024150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noWrap/>
            <w:hideMark/>
          </w:tcPr>
          <w:p w:rsidR="00A7265A" w:rsidRPr="00A7265A" w:rsidRDefault="00A7265A" w:rsidP="00F51DB1">
            <w:pPr>
              <w:widowControl/>
              <w:jc w:val="center"/>
              <w:rPr>
                <w:rFonts w:ascii="宋体" w:eastAsia="宋体" w:hAnsi="宋体" w:cs="宋体"/>
                <w:b w:val="0"/>
                <w:bCs w:val="0"/>
                <w:color w:val="000000"/>
                <w:kern w:val="0"/>
                <w:sz w:val="20"/>
                <w:szCs w:val="21"/>
              </w:rPr>
            </w:pPr>
            <w:r w:rsidRPr="00A7265A">
              <w:rPr>
                <w:rFonts w:ascii="宋体" w:eastAsia="宋体" w:hAnsi="宋体" w:cs="宋体" w:hint="eastAsia"/>
                <w:b w:val="0"/>
                <w:bCs w:val="0"/>
                <w:color w:val="000000"/>
                <w:kern w:val="0"/>
                <w:sz w:val="20"/>
                <w:szCs w:val="21"/>
              </w:rPr>
              <w:lastRenderedPageBreak/>
              <w:t>陕西波洛池村</w:t>
            </w:r>
          </w:p>
        </w:tc>
        <w:tc>
          <w:tcPr>
            <w:tcW w:w="1418" w:type="dxa"/>
            <w:tcBorders>
              <w:top w:val="single" w:sz="4" w:space="0" w:color="auto"/>
            </w:tcBorders>
            <w:shd w:val="clear" w:color="auto" w:fill="auto"/>
            <w:noWrap/>
            <w:hideMark/>
          </w:tcPr>
          <w:p w:rsidR="00A7265A" w:rsidRPr="00A7265A" w:rsidRDefault="00A7265A" w:rsidP="00F51DB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A7265A">
              <w:rPr>
                <w:rFonts w:ascii="宋体" w:eastAsia="宋体" w:hAnsi="宋体" w:cs="宋体" w:hint="eastAsia"/>
                <w:bCs/>
                <w:color w:val="000000"/>
                <w:kern w:val="0"/>
                <w:sz w:val="20"/>
                <w:szCs w:val="21"/>
              </w:rPr>
              <w:t>60%</w:t>
            </w:r>
          </w:p>
        </w:tc>
        <w:tc>
          <w:tcPr>
            <w:tcW w:w="1134" w:type="dxa"/>
            <w:shd w:val="clear" w:color="auto" w:fill="auto"/>
            <w:noWrap/>
            <w:hideMark/>
          </w:tcPr>
          <w:p w:rsidR="00A7265A" w:rsidRPr="00A7265A" w:rsidRDefault="00A7265A" w:rsidP="00F51DB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A7265A">
              <w:rPr>
                <w:rFonts w:ascii="宋体" w:eastAsia="宋体" w:hAnsi="宋体" w:cs="宋体" w:hint="eastAsia"/>
                <w:bCs/>
                <w:color w:val="000000"/>
                <w:kern w:val="0"/>
                <w:sz w:val="20"/>
                <w:szCs w:val="21"/>
              </w:rPr>
              <w:t>均未发放</w:t>
            </w:r>
          </w:p>
        </w:tc>
        <w:tc>
          <w:tcPr>
            <w:tcW w:w="850" w:type="dxa"/>
            <w:shd w:val="clear" w:color="auto" w:fill="auto"/>
            <w:noWrap/>
            <w:hideMark/>
          </w:tcPr>
          <w:p w:rsidR="00A7265A" w:rsidRPr="00A7265A" w:rsidRDefault="00A7265A" w:rsidP="00F51DB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A7265A">
              <w:rPr>
                <w:rFonts w:ascii="宋体" w:eastAsia="宋体" w:hAnsi="宋体" w:cs="宋体" w:hint="eastAsia"/>
                <w:bCs/>
                <w:color w:val="000000"/>
                <w:kern w:val="0"/>
                <w:sz w:val="20"/>
                <w:szCs w:val="21"/>
              </w:rPr>
              <w:t>公益林</w:t>
            </w:r>
          </w:p>
        </w:tc>
      </w:tr>
      <w:tr w:rsidR="00F51DB1" w:rsidRPr="00A7265A" w:rsidTr="00241502">
        <w:trPr>
          <w:trHeight w:val="27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noWrap/>
            <w:hideMark/>
          </w:tcPr>
          <w:p w:rsidR="00A7265A" w:rsidRPr="00A7265A" w:rsidRDefault="00A7265A" w:rsidP="00F51DB1">
            <w:pPr>
              <w:widowControl/>
              <w:jc w:val="center"/>
              <w:rPr>
                <w:rFonts w:ascii="宋体" w:eastAsia="宋体" w:hAnsi="宋体" w:cs="宋体"/>
                <w:b w:val="0"/>
                <w:bCs w:val="0"/>
                <w:color w:val="000000"/>
                <w:kern w:val="0"/>
                <w:sz w:val="20"/>
                <w:szCs w:val="21"/>
              </w:rPr>
            </w:pPr>
            <w:r w:rsidRPr="00A7265A">
              <w:rPr>
                <w:rFonts w:ascii="宋体" w:eastAsia="宋体" w:hAnsi="宋体" w:cs="宋体" w:hint="eastAsia"/>
                <w:b w:val="0"/>
                <w:bCs w:val="0"/>
                <w:color w:val="000000"/>
                <w:kern w:val="0"/>
                <w:sz w:val="20"/>
                <w:szCs w:val="21"/>
              </w:rPr>
              <w:t>福建梧店村</w:t>
            </w:r>
          </w:p>
        </w:tc>
        <w:tc>
          <w:tcPr>
            <w:tcW w:w="1418" w:type="dxa"/>
            <w:shd w:val="clear" w:color="auto" w:fill="auto"/>
            <w:noWrap/>
            <w:hideMark/>
          </w:tcPr>
          <w:p w:rsidR="00A7265A" w:rsidRPr="00A7265A" w:rsidRDefault="00A7265A" w:rsidP="00F51DB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A7265A">
              <w:rPr>
                <w:rFonts w:ascii="宋体" w:eastAsia="宋体" w:hAnsi="宋体" w:cs="宋体" w:hint="eastAsia"/>
                <w:bCs/>
                <w:color w:val="000000"/>
                <w:kern w:val="0"/>
                <w:sz w:val="20"/>
                <w:szCs w:val="21"/>
              </w:rPr>
              <w:t>40%</w:t>
            </w:r>
          </w:p>
        </w:tc>
        <w:tc>
          <w:tcPr>
            <w:tcW w:w="1134" w:type="dxa"/>
            <w:shd w:val="clear" w:color="auto" w:fill="auto"/>
            <w:noWrap/>
            <w:hideMark/>
          </w:tcPr>
          <w:p w:rsidR="00A7265A" w:rsidRPr="00A7265A" w:rsidRDefault="00A7265A" w:rsidP="00F51DB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A7265A">
              <w:rPr>
                <w:rFonts w:ascii="宋体" w:eastAsia="宋体" w:hAnsi="宋体" w:cs="宋体" w:hint="eastAsia"/>
                <w:bCs/>
                <w:color w:val="000000"/>
                <w:kern w:val="0"/>
                <w:sz w:val="20"/>
                <w:szCs w:val="21"/>
              </w:rPr>
              <w:t>均未发放</w:t>
            </w:r>
          </w:p>
        </w:tc>
        <w:tc>
          <w:tcPr>
            <w:tcW w:w="850" w:type="dxa"/>
            <w:shd w:val="clear" w:color="auto" w:fill="auto"/>
            <w:noWrap/>
            <w:hideMark/>
          </w:tcPr>
          <w:p w:rsidR="00A7265A" w:rsidRPr="00A7265A" w:rsidRDefault="00A7265A" w:rsidP="00F51DB1">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A7265A">
              <w:rPr>
                <w:rFonts w:ascii="宋体" w:eastAsia="宋体" w:hAnsi="宋体" w:cs="宋体" w:hint="eastAsia"/>
                <w:bCs/>
                <w:color w:val="000000"/>
                <w:kern w:val="0"/>
                <w:sz w:val="20"/>
                <w:szCs w:val="21"/>
              </w:rPr>
              <w:t>商品林</w:t>
            </w:r>
          </w:p>
        </w:tc>
      </w:tr>
      <w:tr w:rsidR="00F51DB1" w:rsidRPr="00A7265A" w:rsidTr="0024150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17" w:type="dxa"/>
            <w:tcBorders>
              <w:bottom w:val="double" w:sz="4" w:space="0" w:color="auto"/>
            </w:tcBorders>
            <w:shd w:val="clear" w:color="auto" w:fill="auto"/>
            <w:noWrap/>
            <w:hideMark/>
          </w:tcPr>
          <w:p w:rsidR="00A7265A" w:rsidRPr="00A7265A" w:rsidRDefault="00A7265A" w:rsidP="00F51DB1">
            <w:pPr>
              <w:widowControl/>
              <w:jc w:val="center"/>
              <w:rPr>
                <w:rFonts w:ascii="宋体" w:eastAsia="宋体" w:hAnsi="宋体" w:cs="宋体"/>
                <w:b w:val="0"/>
                <w:bCs w:val="0"/>
                <w:color w:val="000000"/>
                <w:kern w:val="0"/>
                <w:sz w:val="20"/>
                <w:szCs w:val="21"/>
              </w:rPr>
            </w:pPr>
            <w:r w:rsidRPr="00A7265A">
              <w:rPr>
                <w:rFonts w:ascii="宋体" w:eastAsia="宋体" w:hAnsi="宋体" w:cs="宋体" w:hint="eastAsia"/>
                <w:b w:val="0"/>
                <w:bCs w:val="0"/>
                <w:color w:val="000000"/>
                <w:kern w:val="0"/>
                <w:sz w:val="20"/>
                <w:szCs w:val="21"/>
              </w:rPr>
              <w:t>甘肃白杨村</w:t>
            </w:r>
          </w:p>
        </w:tc>
        <w:tc>
          <w:tcPr>
            <w:tcW w:w="1418" w:type="dxa"/>
            <w:tcBorders>
              <w:bottom w:val="double" w:sz="4" w:space="0" w:color="auto"/>
            </w:tcBorders>
            <w:shd w:val="clear" w:color="auto" w:fill="auto"/>
            <w:noWrap/>
            <w:hideMark/>
          </w:tcPr>
          <w:p w:rsidR="00A7265A" w:rsidRPr="00A7265A" w:rsidRDefault="00A7265A" w:rsidP="00F51DB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A7265A">
              <w:rPr>
                <w:rFonts w:ascii="宋体" w:eastAsia="宋体" w:hAnsi="宋体" w:cs="宋体" w:hint="eastAsia"/>
                <w:bCs/>
                <w:color w:val="000000"/>
                <w:kern w:val="0"/>
                <w:sz w:val="20"/>
                <w:szCs w:val="21"/>
              </w:rPr>
              <w:t>40%</w:t>
            </w:r>
          </w:p>
        </w:tc>
        <w:tc>
          <w:tcPr>
            <w:tcW w:w="1134" w:type="dxa"/>
            <w:tcBorders>
              <w:bottom w:val="double" w:sz="4" w:space="0" w:color="auto"/>
            </w:tcBorders>
            <w:shd w:val="clear" w:color="auto" w:fill="auto"/>
            <w:noWrap/>
            <w:hideMark/>
          </w:tcPr>
          <w:p w:rsidR="00A7265A" w:rsidRPr="00A7265A" w:rsidRDefault="00A7265A" w:rsidP="00F51DB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A7265A">
              <w:rPr>
                <w:rFonts w:ascii="宋体" w:eastAsia="宋体" w:hAnsi="宋体" w:cs="宋体" w:hint="eastAsia"/>
                <w:bCs/>
                <w:color w:val="000000"/>
                <w:kern w:val="0"/>
                <w:sz w:val="20"/>
                <w:szCs w:val="21"/>
              </w:rPr>
              <w:t>已发放</w:t>
            </w:r>
          </w:p>
        </w:tc>
        <w:tc>
          <w:tcPr>
            <w:tcW w:w="850" w:type="dxa"/>
            <w:tcBorders>
              <w:bottom w:val="double" w:sz="4" w:space="0" w:color="auto"/>
            </w:tcBorders>
            <w:shd w:val="clear" w:color="auto" w:fill="auto"/>
            <w:noWrap/>
            <w:hideMark/>
          </w:tcPr>
          <w:p w:rsidR="00A7265A" w:rsidRPr="00A7265A" w:rsidRDefault="00A7265A" w:rsidP="00F51DB1">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A7265A">
              <w:rPr>
                <w:rFonts w:ascii="宋体" w:eastAsia="宋体" w:hAnsi="宋体" w:cs="宋体" w:hint="eastAsia"/>
                <w:bCs/>
                <w:color w:val="000000"/>
                <w:kern w:val="0"/>
                <w:sz w:val="20"/>
                <w:szCs w:val="21"/>
              </w:rPr>
              <w:t>公益林</w:t>
            </w:r>
          </w:p>
        </w:tc>
      </w:tr>
    </w:tbl>
    <w:p w:rsidR="00A84713" w:rsidRDefault="00A84713" w:rsidP="00A84713">
      <w:pPr>
        <w:ind w:firstLineChars="200" w:firstLine="420"/>
      </w:pPr>
      <w:r>
        <w:rPr>
          <w:rFonts w:hint="eastAsia"/>
        </w:rPr>
        <w:t>有</w:t>
      </w:r>
      <w:r>
        <w:rPr>
          <w:rFonts w:hint="eastAsia"/>
        </w:rPr>
        <w:t>3335</w:t>
      </w:r>
      <w:r>
        <w:rPr>
          <w:rFonts w:hint="eastAsia"/>
        </w:rPr>
        <w:t>户农户觉得林权证对于他们而言是很重要的，占了</w:t>
      </w:r>
      <w:r w:rsidR="00706517">
        <w:rPr>
          <w:rFonts w:hint="eastAsia"/>
        </w:rPr>
        <w:t>所有</w:t>
      </w:r>
      <w:r w:rsidR="00706517">
        <w:rPr>
          <w:rFonts w:hint="eastAsia"/>
        </w:rPr>
        <w:t>3502</w:t>
      </w:r>
      <w:r w:rsidR="00706517">
        <w:rPr>
          <w:rFonts w:hint="eastAsia"/>
        </w:rPr>
        <w:t>户农户中的</w:t>
      </w:r>
      <w:r>
        <w:rPr>
          <w:rFonts w:hint="eastAsia"/>
        </w:rPr>
        <w:t>绝大多数。对林权证重要性持否定或怀疑态度的农户中，有一部分呈现村镇集中性，且大部分</w:t>
      </w:r>
      <w:proofErr w:type="gramStart"/>
      <w:r>
        <w:rPr>
          <w:rFonts w:hint="eastAsia"/>
        </w:rPr>
        <w:t>占以下</w:t>
      </w:r>
      <w:proofErr w:type="gramEnd"/>
      <w:r>
        <w:rPr>
          <w:rFonts w:hint="eastAsia"/>
        </w:rPr>
        <w:t>两个原因中的一个或全部：经营的林地为商品林；林权证没有发放或存放在村小组。如表</w:t>
      </w:r>
      <w:r w:rsidR="007F2EFF">
        <w:rPr>
          <w:rFonts w:hint="eastAsia"/>
        </w:rPr>
        <w:t>4</w:t>
      </w:r>
      <w:r>
        <w:rPr>
          <w:rFonts w:hint="eastAsia"/>
        </w:rPr>
        <w:t>举例的几个村庄。</w:t>
      </w:r>
    </w:p>
    <w:p w:rsidR="00F5496B" w:rsidRDefault="00F51DB1" w:rsidP="00976FC6">
      <w:pPr>
        <w:pStyle w:val="2"/>
        <w:numPr>
          <w:ilvl w:val="1"/>
          <w:numId w:val="2"/>
        </w:numPr>
      </w:pPr>
      <w:r>
        <w:rPr>
          <w:rFonts w:hint="eastAsia"/>
        </w:rPr>
        <w:t>农户对所在村确权情况的评估</w:t>
      </w:r>
    </w:p>
    <w:p w:rsidR="00124051" w:rsidRDefault="00124051" w:rsidP="007F2EFF">
      <w:pPr>
        <w:pStyle w:val="a6"/>
        <w:numPr>
          <w:ilvl w:val="0"/>
          <w:numId w:val="20"/>
        </w:numPr>
        <w:ind w:left="0" w:firstLineChars="71" w:firstLine="142"/>
        <w:jc w:val="center"/>
        <w:rPr>
          <w:bCs/>
          <w:sz w:val="20"/>
        </w:rPr>
      </w:pPr>
      <w:r w:rsidRPr="00124051">
        <w:rPr>
          <w:rFonts w:hint="eastAsia"/>
          <w:bCs/>
          <w:sz w:val="20"/>
        </w:rPr>
        <w:t>农户对所在村确权情况的评估</w:t>
      </w:r>
    </w:p>
    <w:p w:rsidR="00124051" w:rsidRDefault="00124051" w:rsidP="00124051">
      <w:pPr>
        <w:jc w:val="right"/>
        <w:rPr>
          <w:bCs/>
          <w:sz w:val="20"/>
        </w:rPr>
      </w:pPr>
      <w:r>
        <w:rPr>
          <w:rFonts w:hint="eastAsia"/>
          <w:bCs/>
          <w:sz w:val="20"/>
        </w:rPr>
        <w:t>（单位：户）</w:t>
      </w:r>
    </w:p>
    <w:tbl>
      <w:tblPr>
        <w:tblStyle w:val="a5"/>
        <w:tblpPr w:leftFromText="180" w:rightFromText="180" w:vertAnchor="text" w:horzAnchor="margin" w:tblpY="87"/>
        <w:tblW w:w="4077" w:type="dxa"/>
        <w:tblLook w:val="04A0" w:firstRow="1" w:lastRow="0" w:firstColumn="1" w:lastColumn="0" w:noHBand="0" w:noVBand="1"/>
      </w:tblPr>
      <w:tblGrid>
        <w:gridCol w:w="816"/>
        <w:gridCol w:w="802"/>
        <w:gridCol w:w="758"/>
        <w:gridCol w:w="801"/>
        <w:gridCol w:w="900"/>
      </w:tblGrid>
      <w:tr w:rsidR="00552635" w:rsidRPr="00F51DB1" w:rsidTr="007F2EF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16" w:type="dxa"/>
            <w:tcBorders>
              <w:top w:val="double" w:sz="4" w:space="0" w:color="auto"/>
            </w:tcBorders>
            <w:shd w:val="clear" w:color="auto" w:fill="auto"/>
            <w:noWrap/>
            <w:hideMark/>
          </w:tcPr>
          <w:p w:rsidR="00552635" w:rsidRPr="00F51DB1" w:rsidRDefault="00552635" w:rsidP="007F2EFF">
            <w:pPr>
              <w:widowControl/>
              <w:jc w:val="center"/>
              <w:rPr>
                <w:rFonts w:ascii="宋体" w:eastAsia="宋体" w:hAnsi="宋体" w:cs="宋体"/>
                <w:color w:val="000000"/>
                <w:kern w:val="0"/>
                <w:sz w:val="22"/>
              </w:rPr>
            </w:pPr>
          </w:p>
        </w:tc>
        <w:tc>
          <w:tcPr>
            <w:tcW w:w="1560" w:type="dxa"/>
            <w:gridSpan w:val="2"/>
            <w:tcBorders>
              <w:top w:val="double" w:sz="4" w:space="0" w:color="auto"/>
            </w:tcBorders>
            <w:shd w:val="clear" w:color="auto" w:fill="auto"/>
            <w:noWrap/>
            <w:hideMark/>
          </w:tcPr>
          <w:p w:rsidR="00552635" w:rsidRPr="00F51DB1" w:rsidRDefault="00552635" w:rsidP="007F2EF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是否对所有林地确权</w:t>
            </w:r>
          </w:p>
        </w:tc>
        <w:tc>
          <w:tcPr>
            <w:tcW w:w="1701" w:type="dxa"/>
            <w:gridSpan w:val="2"/>
            <w:tcBorders>
              <w:top w:val="double" w:sz="4" w:space="0" w:color="auto"/>
            </w:tcBorders>
            <w:shd w:val="clear" w:color="auto" w:fill="auto"/>
            <w:noWrap/>
            <w:hideMark/>
          </w:tcPr>
          <w:p w:rsidR="00552635" w:rsidRPr="00F51DB1" w:rsidRDefault="00552635" w:rsidP="007F2EF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是否全部核发林权证</w:t>
            </w:r>
          </w:p>
        </w:tc>
      </w:tr>
      <w:tr w:rsidR="00552635" w:rsidRPr="00F51DB1" w:rsidTr="007F2E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16" w:type="dxa"/>
            <w:tcBorders>
              <w:bottom w:val="single" w:sz="8" w:space="0" w:color="000000" w:themeColor="text1"/>
            </w:tcBorders>
            <w:shd w:val="clear" w:color="auto" w:fill="auto"/>
            <w:noWrap/>
            <w:hideMark/>
          </w:tcPr>
          <w:p w:rsidR="00552635" w:rsidRPr="00F51DB1" w:rsidRDefault="00552635" w:rsidP="007F2EFF">
            <w:pPr>
              <w:widowControl/>
              <w:jc w:val="center"/>
              <w:rPr>
                <w:rFonts w:ascii="宋体" w:eastAsia="宋体" w:hAnsi="宋体" w:cs="宋体"/>
                <w:color w:val="000000"/>
                <w:kern w:val="0"/>
                <w:sz w:val="22"/>
              </w:rPr>
            </w:pPr>
          </w:p>
        </w:tc>
        <w:tc>
          <w:tcPr>
            <w:tcW w:w="802" w:type="dxa"/>
            <w:tcBorders>
              <w:bottom w:val="single" w:sz="8" w:space="0" w:color="000000" w:themeColor="text1"/>
            </w:tcBorders>
            <w:shd w:val="clear" w:color="auto" w:fill="auto"/>
            <w:noWrap/>
            <w:hideMark/>
          </w:tcPr>
          <w:p w:rsidR="00552635" w:rsidRPr="00F51DB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F51DB1">
              <w:rPr>
                <w:rFonts w:ascii="宋体" w:eastAsia="宋体" w:hAnsi="宋体" w:cs="宋体" w:hint="eastAsia"/>
                <w:bCs/>
                <w:color w:val="000000"/>
                <w:kern w:val="0"/>
                <w:sz w:val="20"/>
                <w:szCs w:val="21"/>
              </w:rPr>
              <w:t>是</w:t>
            </w:r>
          </w:p>
        </w:tc>
        <w:tc>
          <w:tcPr>
            <w:tcW w:w="758" w:type="dxa"/>
            <w:tcBorders>
              <w:bottom w:val="single" w:sz="8" w:space="0" w:color="000000" w:themeColor="text1"/>
            </w:tcBorders>
            <w:shd w:val="clear" w:color="auto" w:fill="auto"/>
            <w:noWrap/>
            <w:hideMark/>
          </w:tcPr>
          <w:p w:rsidR="00552635" w:rsidRPr="00F51DB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F51DB1">
              <w:rPr>
                <w:rFonts w:ascii="宋体" w:eastAsia="宋体" w:hAnsi="宋体" w:cs="宋体" w:hint="eastAsia"/>
                <w:bCs/>
                <w:color w:val="000000"/>
                <w:kern w:val="0"/>
                <w:sz w:val="20"/>
                <w:szCs w:val="21"/>
              </w:rPr>
              <w:t>否</w:t>
            </w:r>
          </w:p>
        </w:tc>
        <w:tc>
          <w:tcPr>
            <w:tcW w:w="801" w:type="dxa"/>
            <w:tcBorders>
              <w:bottom w:val="single" w:sz="8" w:space="0" w:color="000000" w:themeColor="text1"/>
            </w:tcBorders>
            <w:shd w:val="clear" w:color="auto" w:fill="auto"/>
            <w:noWrap/>
            <w:hideMark/>
          </w:tcPr>
          <w:p w:rsidR="00552635" w:rsidRPr="00F51DB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F51DB1">
              <w:rPr>
                <w:rFonts w:ascii="宋体" w:eastAsia="宋体" w:hAnsi="宋体" w:cs="宋体" w:hint="eastAsia"/>
                <w:bCs/>
                <w:color w:val="000000"/>
                <w:kern w:val="0"/>
                <w:sz w:val="20"/>
                <w:szCs w:val="21"/>
              </w:rPr>
              <w:t>是</w:t>
            </w:r>
          </w:p>
        </w:tc>
        <w:tc>
          <w:tcPr>
            <w:tcW w:w="900" w:type="dxa"/>
            <w:tcBorders>
              <w:bottom w:val="single" w:sz="8" w:space="0" w:color="000000" w:themeColor="text1"/>
            </w:tcBorders>
            <w:shd w:val="clear" w:color="auto" w:fill="auto"/>
            <w:noWrap/>
            <w:hideMark/>
          </w:tcPr>
          <w:p w:rsidR="00552635" w:rsidRPr="00F51DB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F51DB1">
              <w:rPr>
                <w:rFonts w:ascii="宋体" w:eastAsia="宋体" w:hAnsi="宋体" w:cs="宋体" w:hint="eastAsia"/>
                <w:bCs/>
                <w:color w:val="000000"/>
                <w:kern w:val="0"/>
                <w:sz w:val="20"/>
                <w:szCs w:val="21"/>
              </w:rPr>
              <w:t>否</w:t>
            </w:r>
          </w:p>
        </w:tc>
      </w:tr>
      <w:tr w:rsidR="00552635" w:rsidRPr="00F51DB1" w:rsidTr="007F2EFF">
        <w:trPr>
          <w:trHeight w:val="285"/>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000000" w:themeColor="text1"/>
            </w:tcBorders>
            <w:shd w:val="clear" w:color="auto" w:fill="auto"/>
            <w:hideMark/>
          </w:tcPr>
          <w:p w:rsidR="00552635" w:rsidRPr="00F51DB1" w:rsidRDefault="00552635" w:rsidP="007F2EFF">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福建</w:t>
            </w:r>
          </w:p>
        </w:tc>
        <w:tc>
          <w:tcPr>
            <w:tcW w:w="802" w:type="dxa"/>
            <w:tcBorders>
              <w:top w:val="single" w:sz="8" w:space="0" w:color="000000" w:themeColor="text1"/>
            </w:tcBorders>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438</w:t>
            </w:r>
          </w:p>
        </w:tc>
        <w:tc>
          <w:tcPr>
            <w:tcW w:w="758" w:type="dxa"/>
            <w:tcBorders>
              <w:top w:val="single" w:sz="8" w:space="0" w:color="000000" w:themeColor="text1"/>
            </w:tcBorders>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62</w:t>
            </w:r>
          </w:p>
        </w:tc>
        <w:tc>
          <w:tcPr>
            <w:tcW w:w="801" w:type="dxa"/>
            <w:tcBorders>
              <w:top w:val="single" w:sz="8" w:space="0" w:color="000000" w:themeColor="text1"/>
            </w:tcBorders>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321</w:t>
            </w:r>
          </w:p>
        </w:tc>
        <w:tc>
          <w:tcPr>
            <w:tcW w:w="900" w:type="dxa"/>
            <w:tcBorders>
              <w:top w:val="single" w:sz="8" w:space="0" w:color="000000" w:themeColor="text1"/>
            </w:tcBorders>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181</w:t>
            </w:r>
          </w:p>
        </w:tc>
      </w:tr>
      <w:tr w:rsidR="00552635" w:rsidRPr="00F51DB1" w:rsidTr="007F2E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16" w:type="dxa"/>
            <w:shd w:val="clear" w:color="auto" w:fill="auto"/>
            <w:hideMark/>
          </w:tcPr>
          <w:p w:rsidR="00552635" w:rsidRPr="00F51DB1" w:rsidRDefault="00552635" w:rsidP="007F2EFF">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甘肃</w:t>
            </w:r>
          </w:p>
        </w:tc>
        <w:tc>
          <w:tcPr>
            <w:tcW w:w="802" w:type="dxa"/>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500</w:t>
            </w:r>
          </w:p>
        </w:tc>
        <w:tc>
          <w:tcPr>
            <w:tcW w:w="758" w:type="dxa"/>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0</w:t>
            </w:r>
          </w:p>
        </w:tc>
        <w:tc>
          <w:tcPr>
            <w:tcW w:w="801" w:type="dxa"/>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497</w:t>
            </w:r>
          </w:p>
        </w:tc>
        <w:tc>
          <w:tcPr>
            <w:tcW w:w="900" w:type="dxa"/>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3</w:t>
            </w:r>
          </w:p>
        </w:tc>
      </w:tr>
      <w:tr w:rsidR="00552635" w:rsidRPr="00F51DB1" w:rsidTr="007F2EFF">
        <w:trPr>
          <w:trHeight w:val="285"/>
        </w:trPr>
        <w:tc>
          <w:tcPr>
            <w:cnfStyle w:val="001000000000" w:firstRow="0" w:lastRow="0" w:firstColumn="1" w:lastColumn="0" w:oddVBand="0" w:evenVBand="0" w:oddHBand="0" w:evenHBand="0" w:firstRowFirstColumn="0" w:firstRowLastColumn="0" w:lastRowFirstColumn="0" w:lastRowLastColumn="0"/>
            <w:tcW w:w="816" w:type="dxa"/>
            <w:shd w:val="clear" w:color="auto" w:fill="auto"/>
            <w:hideMark/>
          </w:tcPr>
          <w:p w:rsidR="00552635" w:rsidRPr="00F51DB1" w:rsidRDefault="00552635" w:rsidP="007F2EFF">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湖南</w:t>
            </w:r>
          </w:p>
        </w:tc>
        <w:tc>
          <w:tcPr>
            <w:tcW w:w="802" w:type="dxa"/>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484</w:t>
            </w:r>
          </w:p>
        </w:tc>
        <w:tc>
          <w:tcPr>
            <w:tcW w:w="758" w:type="dxa"/>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15</w:t>
            </w:r>
          </w:p>
        </w:tc>
        <w:tc>
          <w:tcPr>
            <w:tcW w:w="801" w:type="dxa"/>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457</w:t>
            </w:r>
          </w:p>
        </w:tc>
        <w:tc>
          <w:tcPr>
            <w:tcW w:w="900" w:type="dxa"/>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43</w:t>
            </w:r>
          </w:p>
        </w:tc>
      </w:tr>
      <w:tr w:rsidR="00552635" w:rsidRPr="00F51DB1" w:rsidTr="007F2E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16" w:type="dxa"/>
            <w:shd w:val="clear" w:color="auto" w:fill="auto"/>
            <w:hideMark/>
          </w:tcPr>
          <w:p w:rsidR="00552635" w:rsidRPr="00F51DB1" w:rsidRDefault="00552635" w:rsidP="007F2EFF">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江西</w:t>
            </w:r>
          </w:p>
        </w:tc>
        <w:tc>
          <w:tcPr>
            <w:tcW w:w="802" w:type="dxa"/>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481</w:t>
            </w:r>
          </w:p>
        </w:tc>
        <w:tc>
          <w:tcPr>
            <w:tcW w:w="758" w:type="dxa"/>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19</w:t>
            </w:r>
          </w:p>
        </w:tc>
        <w:tc>
          <w:tcPr>
            <w:tcW w:w="801" w:type="dxa"/>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476</w:t>
            </w:r>
          </w:p>
        </w:tc>
        <w:tc>
          <w:tcPr>
            <w:tcW w:w="900" w:type="dxa"/>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24</w:t>
            </w:r>
          </w:p>
        </w:tc>
      </w:tr>
      <w:tr w:rsidR="00552635" w:rsidRPr="00F51DB1" w:rsidTr="007F2EFF">
        <w:trPr>
          <w:trHeight w:val="285"/>
        </w:trPr>
        <w:tc>
          <w:tcPr>
            <w:cnfStyle w:val="001000000000" w:firstRow="0" w:lastRow="0" w:firstColumn="1" w:lastColumn="0" w:oddVBand="0" w:evenVBand="0" w:oddHBand="0" w:evenHBand="0" w:firstRowFirstColumn="0" w:firstRowLastColumn="0" w:lastRowFirstColumn="0" w:lastRowLastColumn="0"/>
            <w:tcW w:w="816" w:type="dxa"/>
            <w:shd w:val="clear" w:color="auto" w:fill="auto"/>
            <w:hideMark/>
          </w:tcPr>
          <w:p w:rsidR="00552635" w:rsidRPr="00F51DB1" w:rsidRDefault="00552635" w:rsidP="007F2EFF">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辽宁</w:t>
            </w:r>
          </w:p>
        </w:tc>
        <w:tc>
          <w:tcPr>
            <w:tcW w:w="802" w:type="dxa"/>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479</w:t>
            </w:r>
          </w:p>
        </w:tc>
        <w:tc>
          <w:tcPr>
            <w:tcW w:w="758" w:type="dxa"/>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21</w:t>
            </w:r>
          </w:p>
        </w:tc>
        <w:tc>
          <w:tcPr>
            <w:tcW w:w="801" w:type="dxa"/>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325</w:t>
            </w:r>
          </w:p>
        </w:tc>
        <w:tc>
          <w:tcPr>
            <w:tcW w:w="900" w:type="dxa"/>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175</w:t>
            </w:r>
          </w:p>
        </w:tc>
      </w:tr>
      <w:tr w:rsidR="00552635" w:rsidRPr="00F51DB1" w:rsidTr="007F2E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16" w:type="dxa"/>
            <w:shd w:val="clear" w:color="auto" w:fill="auto"/>
            <w:hideMark/>
          </w:tcPr>
          <w:p w:rsidR="00552635" w:rsidRPr="00F51DB1" w:rsidRDefault="00552635" w:rsidP="007F2EFF">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陕西</w:t>
            </w:r>
          </w:p>
        </w:tc>
        <w:tc>
          <w:tcPr>
            <w:tcW w:w="802" w:type="dxa"/>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494</w:t>
            </w:r>
          </w:p>
        </w:tc>
        <w:tc>
          <w:tcPr>
            <w:tcW w:w="758" w:type="dxa"/>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6</w:t>
            </w:r>
          </w:p>
        </w:tc>
        <w:tc>
          <w:tcPr>
            <w:tcW w:w="801" w:type="dxa"/>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472</w:t>
            </w:r>
          </w:p>
        </w:tc>
        <w:tc>
          <w:tcPr>
            <w:tcW w:w="900" w:type="dxa"/>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28</w:t>
            </w:r>
          </w:p>
        </w:tc>
      </w:tr>
      <w:tr w:rsidR="00552635" w:rsidRPr="00F51DB1" w:rsidTr="007F2EFF">
        <w:trPr>
          <w:trHeight w:val="285"/>
        </w:trPr>
        <w:tc>
          <w:tcPr>
            <w:cnfStyle w:val="001000000000" w:firstRow="0" w:lastRow="0" w:firstColumn="1" w:lastColumn="0" w:oddVBand="0" w:evenVBand="0" w:oddHBand="0" w:evenHBand="0" w:firstRowFirstColumn="0" w:firstRowLastColumn="0" w:lastRowFirstColumn="0" w:lastRowLastColumn="0"/>
            <w:tcW w:w="816" w:type="dxa"/>
            <w:shd w:val="clear" w:color="auto" w:fill="auto"/>
            <w:hideMark/>
          </w:tcPr>
          <w:p w:rsidR="00552635" w:rsidRPr="00F51DB1" w:rsidRDefault="00552635" w:rsidP="007F2EFF">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云南</w:t>
            </w:r>
          </w:p>
        </w:tc>
        <w:tc>
          <w:tcPr>
            <w:tcW w:w="802" w:type="dxa"/>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497</w:t>
            </w:r>
          </w:p>
        </w:tc>
        <w:tc>
          <w:tcPr>
            <w:tcW w:w="758" w:type="dxa"/>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1</w:t>
            </w:r>
          </w:p>
        </w:tc>
        <w:tc>
          <w:tcPr>
            <w:tcW w:w="801" w:type="dxa"/>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463</w:t>
            </w:r>
          </w:p>
        </w:tc>
        <w:tc>
          <w:tcPr>
            <w:tcW w:w="900" w:type="dxa"/>
            <w:shd w:val="clear" w:color="auto" w:fill="auto"/>
            <w:noWrap/>
            <w:hideMark/>
          </w:tcPr>
          <w:p w:rsidR="00552635" w:rsidRPr="00124051" w:rsidRDefault="00552635" w:rsidP="007F2EF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6</w:t>
            </w:r>
          </w:p>
        </w:tc>
      </w:tr>
      <w:tr w:rsidR="00552635" w:rsidRPr="00F51DB1" w:rsidTr="007F2E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16" w:type="dxa"/>
            <w:tcBorders>
              <w:bottom w:val="double" w:sz="4" w:space="0" w:color="auto"/>
            </w:tcBorders>
            <w:shd w:val="clear" w:color="auto" w:fill="auto"/>
            <w:hideMark/>
          </w:tcPr>
          <w:p w:rsidR="00552635" w:rsidRPr="00F51DB1" w:rsidRDefault="00552635" w:rsidP="007F2EFF">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总体</w:t>
            </w:r>
          </w:p>
        </w:tc>
        <w:tc>
          <w:tcPr>
            <w:tcW w:w="802" w:type="dxa"/>
            <w:tcBorders>
              <w:bottom w:val="double" w:sz="4" w:space="0" w:color="auto"/>
            </w:tcBorders>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3373</w:t>
            </w:r>
          </w:p>
        </w:tc>
        <w:tc>
          <w:tcPr>
            <w:tcW w:w="758" w:type="dxa"/>
            <w:tcBorders>
              <w:bottom w:val="double" w:sz="4" w:space="0" w:color="auto"/>
            </w:tcBorders>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124</w:t>
            </w:r>
          </w:p>
        </w:tc>
        <w:tc>
          <w:tcPr>
            <w:tcW w:w="801" w:type="dxa"/>
            <w:tcBorders>
              <w:bottom w:val="double" w:sz="4" w:space="0" w:color="auto"/>
            </w:tcBorders>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3011</w:t>
            </w:r>
          </w:p>
        </w:tc>
        <w:tc>
          <w:tcPr>
            <w:tcW w:w="900" w:type="dxa"/>
            <w:tcBorders>
              <w:bottom w:val="double" w:sz="4" w:space="0" w:color="auto"/>
            </w:tcBorders>
            <w:shd w:val="clear" w:color="auto" w:fill="auto"/>
            <w:noWrap/>
            <w:hideMark/>
          </w:tcPr>
          <w:p w:rsidR="00552635" w:rsidRPr="00124051" w:rsidRDefault="00552635" w:rsidP="007F2EF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sidRPr="00124051">
              <w:rPr>
                <w:rFonts w:ascii="宋体" w:eastAsia="宋体" w:hAnsi="宋体" w:cs="宋体" w:hint="eastAsia"/>
                <w:bCs/>
                <w:color w:val="000000"/>
                <w:kern w:val="0"/>
                <w:sz w:val="20"/>
                <w:szCs w:val="21"/>
              </w:rPr>
              <w:t>460</w:t>
            </w:r>
          </w:p>
        </w:tc>
      </w:tr>
    </w:tbl>
    <w:p w:rsidR="00E5141F" w:rsidRDefault="00A84713" w:rsidP="00552635">
      <w:pPr>
        <w:ind w:firstLineChars="200" w:firstLine="420"/>
      </w:pPr>
      <w:r>
        <w:rPr>
          <w:rFonts w:hint="eastAsia"/>
        </w:rPr>
        <w:t>表</w:t>
      </w:r>
      <w:r w:rsidR="007F2EFF">
        <w:rPr>
          <w:rFonts w:hint="eastAsia"/>
        </w:rPr>
        <w:t>5</w:t>
      </w:r>
      <w:r w:rsidR="00124051">
        <w:rPr>
          <w:rFonts w:hint="eastAsia"/>
        </w:rPr>
        <w:t>是对农户进行访谈得到的农户对所在村林地确权情况的评估。表中数字为选择相应项的农户的数目。</w:t>
      </w:r>
    </w:p>
    <w:p w:rsidR="00124051" w:rsidRPr="00124051" w:rsidRDefault="00124051" w:rsidP="00A84713">
      <w:pPr>
        <w:ind w:firstLineChars="200" w:firstLine="420"/>
      </w:pPr>
      <w:r>
        <w:rPr>
          <w:rFonts w:hint="eastAsia"/>
        </w:rPr>
        <w:t>表中数据一个明显的特点是，认为林地已经确权的农户数量总是大于认为已经全部</w:t>
      </w:r>
      <w:proofErr w:type="gramStart"/>
      <w:r>
        <w:rPr>
          <w:rFonts w:hint="eastAsia"/>
        </w:rPr>
        <w:t>核发放</w:t>
      </w:r>
      <w:proofErr w:type="gramEnd"/>
      <w:r>
        <w:rPr>
          <w:rFonts w:hint="eastAsia"/>
        </w:rPr>
        <w:t>林权证的农户数量。由此可以看出农户对于林地确权的定义尚不清晰，许多农户所理解的确权可能只是得到了承包土地并能在其上经营。</w:t>
      </w:r>
    </w:p>
    <w:p w:rsidR="00E5141F" w:rsidRDefault="00124051" w:rsidP="00976FC6">
      <w:pPr>
        <w:pStyle w:val="2"/>
        <w:numPr>
          <w:ilvl w:val="1"/>
          <w:numId w:val="2"/>
        </w:numPr>
      </w:pPr>
      <w:r>
        <w:rPr>
          <w:rFonts w:hint="eastAsia"/>
        </w:rPr>
        <w:t>其他</w:t>
      </w:r>
      <w:r w:rsidR="00E5141F">
        <w:rPr>
          <w:rFonts w:hint="eastAsia"/>
        </w:rPr>
        <w:t>林权相关情况调查</w:t>
      </w:r>
    </w:p>
    <w:p w:rsidR="0006774A" w:rsidRDefault="0006774A" w:rsidP="007F2EFF">
      <w:pPr>
        <w:pStyle w:val="a6"/>
        <w:numPr>
          <w:ilvl w:val="0"/>
          <w:numId w:val="20"/>
        </w:numPr>
        <w:ind w:left="0" w:firstLineChars="71" w:firstLine="142"/>
        <w:jc w:val="center"/>
        <w:rPr>
          <w:bCs/>
          <w:sz w:val="20"/>
        </w:rPr>
      </w:pPr>
      <w:r>
        <w:rPr>
          <w:rFonts w:hint="eastAsia"/>
          <w:bCs/>
          <w:sz w:val="20"/>
        </w:rPr>
        <w:t>农户林权纠纷及调解情况比例</w:t>
      </w:r>
    </w:p>
    <w:p w:rsidR="0006774A" w:rsidRPr="0006774A" w:rsidRDefault="0006774A" w:rsidP="0006774A">
      <w:pPr>
        <w:jc w:val="right"/>
        <w:rPr>
          <w:bCs/>
          <w:sz w:val="20"/>
        </w:rPr>
      </w:pPr>
      <w:r>
        <w:rPr>
          <w:rFonts w:hint="eastAsia"/>
          <w:bCs/>
          <w:sz w:val="20"/>
        </w:rPr>
        <w:lastRenderedPageBreak/>
        <w:t>（单位：</w:t>
      </w:r>
      <w:r>
        <w:rPr>
          <w:rFonts w:hint="eastAsia"/>
          <w:bCs/>
          <w:sz w:val="20"/>
        </w:rPr>
        <w:t>%</w:t>
      </w:r>
      <w:r>
        <w:rPr>
          <w:rFonts w:hint="eastAsia"/>
          <w:bCs/>
          <w:sz w:val="20"/>
        </w:rPr>
        <w:t>）</w:t>
      </w:r>
    </w:p>
    <w:tbl>
      <w:tblPr>
        <w:tblStyle w:val="a5"/>
        <w:tblW w:w="3882" w:type="dxa"/>
        <w:jc w:val="center"/>
        <w:tblInd w:w="-525" w:type="dxa"/>
        <w:tblLook w:val="04A0" w:firstRow="1" w:lastRow="0" w:firstColumn="1" w:lastColumn="0" w:noHBand="0" w:noVBand="1"/>
      </w:tblPr>
      <w:tblGrid>
        <w:gridCol w:w="680"/>
        <w:gridCol w:w="1559"/>
        <w:gridCol w:w="1643"/>
      </w:tblGrid>
      <w:tr w:rsidR="0006774A" w:rsidRPr="00EC222D" w:rsidTr="0006774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80" w:type="dxa"/>
            <w:tcBorders>
              <w:top w:val="double" w:sz="4" w:space="0" w:color="auto"/>
            </w:tcBorders>
            <w:shd w:val="clear" w:color="auto" w:fill="auto"/>
            <w:noWrap/>
            <w:hideMark/>
          </w:tcPr>
          <w:p w:rsidR="0006774A" w:rsidRPr="00EC222D" w:rsidRDefault="0006774A" w:rsidP="00195A7C">
            <w:pPr>
              <w:widowControl/>
              <w:jc w:val="center"/>
              <w:rPr>
                <w:rFonts w:ascii="宋体" w:eastAsia="宋体" w:hAnsi="宋体" w:cs="宋体"/>
                <w:color w:val="000000"/>
                <w:kern w:val="0"/>
                <w:sz w:val="20"/>
                <w:szCs w:val="21"/>
              </w:rPr>
            </w:pPr>
          </w:p>
        </w:tc>
        <w:tc>
          <w:tcPr>
            <w:tcW w:w="1559" w:type="dxa"/>
            <w:tcBorders>
              <w:top w:val="double" w:sz="4" w:space="0" w:color="auto"/>
            </w:tcBorders>
            <w:shd w:val="clear" w:color="auto" w:fill="auto"/>
            <w:noWrap/>
            <w:hideMark/>
          </w:tcPr>
          <w:p w:rsidR="0006774A" w:rsidRPr="00EC222D" w:rsidRDefault="0006774A" w:rsidP="00195A7C">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EC222D">
              <w:rPr>
                <w:rFonts w:ascii="宋体" w:eastAsia="宋体" w:hAnsi="宋体" w:cs="宋体" w:hint="eastAsia"/>
                <w:b w:val="0"/>
                <w:color w:val="000000"/>
                <w:kern w:val="0"/>
                <w:sz w:val="20"/>
                <w:szCs w:val="21"/>
              </w:rPr>
              <w:t>有林权纠纷</w:t>
            </w:r>
          </w:p>
        </w:tc>
        <w:tc>
          <w:tcPr>
            <w:tcW w:w="1643" w:type="dxa"/>
            <w:tcBorders>
              <w:top w:val="double" w:sz="4" w:space="0" w:color="auto"/>
            </w:tcBorders>
            <w:shd w:val="clear" w:color="auto" w:fill="auto"/>
            <w:noWrap/>
            <w:hideMark/>
          </w:tcPr>
          <w:p w:rsidR="0006774A" w:rsidRPr="00EC222D" w:rsidRDefault="0006774A" w:rsidP="00195A7C">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EC222D">
              <w:rPr>
                <w:rFonts w:ascii="宋体" w:eastAsia="宋体" w:hAnsi="宋体" w:cs="宋体" w:hint="eastAsia"/>
                <w:b w:val="0"/>
                <w:color w:val="000000"/>
                <w:kern w:val="0"/>
                <w:sz w:val="20"/>
                <w:szCs w:val="21"/>
              </w:rPr>
              <w:t>不满意调解结果</w:t>
            </w:r>
          </w:p>
        </w:tc>
      </w:tr>
      <w:tr w:rsidR="0006774A" w:rsidRPr="00EC222D" w:rsidTr="0006774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80" w:type="dxa"/>
            <w:shd w:val="clear" w:color="auto" w:fill="auto"/>
            <w:hideMark/>
          </w:tcPr>
          <w:p w:rsidR="0006774A" w:rsidRPr="00EC222D" w:rsidRDefault="0006774A" w:rsidP="00195A7C">
            <w:pPr>
              <w:widowControl/>
              <w:jc w:val="center"/>
              <w:rPr>
                <w:rFonts w:ascii="宋体" w:eastAsia="宋体" w:hAnsi="宋体" w:cs="宋体"/>
                <w:b w:val="0"/>
                <w:color w:val="000000"/>
                <w:kern w:val="0"/>
                <w:sz w:val="20"/>
                <w:szCs w:val="21"/>
              </w:rPr>
            </w:pPr>
            <w:r w:rsidRPr="00EC222D">
              <w:rPr>
                <w:rFonts w:ascii="宋体" w:eastAsia="宋体" w:hAnsi="宋体" w:cs="宋体" w:hint="eastAsia"/>
                <w:b w:val="0"/>
                <w:color w:val="000000"/>
                <w:kern w:val="0"/>
                <w:sz w:val="20"/>
                <w:szCs w:val="21"/>
              </w:rPr>
              <w:t>福建</w:t>
            </w:r>
          </w:p>
        </w:tc>
        <w:tc>
          <w:tcPr>
            <w:tcW w:w="1559" w:type="dxa"/>
            <w:shd w:val="clear" w:color="auto" w:fill="auto"/>
            <w:noWrap/>
            <w:hideMark/>
          </w:tcPr>
          <w:p w:rsidR="0006774A" w:rsidRPr="00EC222D" w:rsidRDefault="0006774A" w:rsidP="00195A7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bdr w:val="single" w:sz="4" w:space="0" w:color="auto"/>
              </w:rPr>
              <w:t>9.7%</w:t>
            </w:r>
          </w:p>
        </w:tc>
        <w:tc>
          <w:tcPr>
            <w:tcW w:w="1643" w:type="dxa"/>
            <w:shd w:val="clear" w:color="auto" w:fill="auto"/>
            <w:noWrap/>
            <w:hideMark/>
          </w:tcPr>
          <w:p w:rsidR="0006774A" w:rsidRPr="00EC222D" w:rsidRDefault="0006774A" w:rsidP="00195A7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bdr w:val="single" w:sz="4" w:space="0" w:color="auto"/>
              </w:rPr>
              <w:t>63.0%</w:t>
            </w:r>
          </w:p>
        </w:tc>
      </w:tr>
      <w:tr w:rsidR="0006774A" w:rsidRPr="00EC222D" w:rsidTr="0006774A">
        <w:trPr>
          <w:trHeight w:val="285"/>
          <w:jc w:val="center"/>
        </w:trPr>
        <w:tc>
          <w:tcPr>
            <w:cnfStyle w:val="001000000000" w:firstRow="0" w:lastRow="0" w:firstColumn="1" w:lastColumn="0" w:oddVBand="0" w:evenVBand="0" w:oddHBand="0" w:evenHBand="0" w:firstRowFirstColumn="0" w:firstRowLastColumn="0" w:lastRowFirstColumn="0" w:lastRowLastColumn="0"/>
            <w:tcW w:w="680" w:type="dxa"/>
            <w:shd w:val="clear" w:color="auto" w:fill="auto"/>
            <w:hideMark/>
          </w:tcPr>
          <w:p w:rsidR="0006774A" w:rsidRPr="00EC222D" w:rsidRDefault="0006774A" w:rsidP="00195A7C">
            <w:pPr>
              <w:widowControl/>
              <w:jc w:val="center"/>
              <w:rPr>
                <w:rFonts w:ascii="宋体" w:eastAsia="宋体" w:hAnsi="宋体" w:cs="宋体"/>
                <w:b w:val="0"/>
                <w:color w:val="000000"/>
                <w:kern w:val="0"/>
                <w:sz w:val="20"/>
                <w:szCs w:val="21"/>
              </w:rPr>
            </w:pPr>
            <w:r w:rsidRPr="00EC222D">
              <w:rPr>
                <w:rFonts w:ascii="宋体" w:eastAsia="宋体" w:hAnsi="宋体" w:cs="宋体" w:hint="eastAsia"/>
                <w:b w:val="0"/>
                <w:color w:val="000000"/>
                <w:kern w:val="0"/>
                <w:sz w:val="20"/>
                <w:szCs w:val="21"/>
              </w:rPr>
              <w:t>甘肃</w:t>
            </w:r>
          </w:p>
        </w:tc>
        <w:tc>
          <w:tcPr>
            <w:tcW w:w="1559" w:type="dxa"/>
            <w:shd w:val="clear" w:color="auto" w:fill="auto"/>
            <w:noWrap/>
            <w:hideMark/>
          </w:tcPr>
          <w:p w:rsidR="0006774A" w:rsidRPr="00EC222D" w:rsidRDefault="0006774A" w:rsidP="00195A7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rPr>
              <w:t>0.4%</w:t>
            </w:r>
          </w:p>
        </w:tc>
        <w:tc>
          <w:tcPr>
            <w:tcW w:w="1643" w:type="dxa"/>
            <w:shd w:val="clear" w:color="auto" w:fill="auto"/>
            <w:noWrap/>
            <w:hideMark/>
          </w:tcPr>
          <w:p w:rsidR="0006774A" w:rsidRPr="00EC222D" w:rsidRDefault="0006774A" w:rsidP="00195A7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rPr>
              <w:t>50.0%</w:t>
            </w:r>
          </w:p>
        </w:tc>
      </w:tr>
      <w:tr w:rsidR="0006774A" w:rsidRPr="00EC222D" w:rsidTr="0006774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80" w:type="dxa"/>
            <w:shd w:val="clear" w:color="auto" w:fill="auto"/>
            <w:hideMark/>
          </w:tcPr>
          <w:p w:rsidR="0006774A" w:rsidRPr="00EC222D" w:rsidRDefault="0006774A" w:rsidP="00195A7C">
            <w:pPr>
              <w:widowControl/>
              <w:jc w:val="center"/>
              <w:rPr>
                <w:rFonts w:ascii="宋体" w:eastAsia="宋体" w:hAnsi="宋体" w:cs="宋体"/>
                <w:b w:val="0"/>
                <w:color w:val="000000"/>
                <w:kern w:val="0"/>
                <w:sz w:val="20"/>
                <w:szCs w:val="21"/>
              </w:rPr>
            </w:pPr>
            <w:r w:rsidRPr="00EC222D">
              <w:rPr>
                <w:rFonts w:ascii="宋体" w:eastAsia="宋体" w:hAnsi="宋体" w:cs="宋体" w:hint="eastAsia"/>
                <w:b w:val="0"/>
                <w:color w:val="000000"/>
                <w:kern w:val="0"/>
                <w:sz w:val="20"/>
                <w:szCs w:val="21"/>
              </w:rPr>
              <w:t>湖南</w:t>
            </w:r>
          </w:p>
        </w:tc>
        <w:tc>
          <w:tcPr>
            <w:tcW w:w="1559" w:type="dxa"/>
            <w:shd w:val="clear" w:color="auto" w:fill="auto"/>
            <w:noWrap/>
            <w:hideMark/>
          </w:tcPr>
          <w:p w:rsidR="0006774A" w:rsidRPr="00EC222D" w:rsidRDefault="0006774A" w:rsidP="00195A7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bdr w:val="single" w:sz="4" w:space="0" w:color="auto"/>
              </w:rPr>
              <w:t>4.4%</w:t>
            </w:r>
          </w:p>
        </w:tc>
        <w:tc>
          <w:tcPr>
            <w:tcW w:w="1643" w:type="dxa"/>
            <w:shd w:val="clear" w:color="auto" w:fill="auto"/>
            <w:noWrap/>
            <w:hideMark/>
          </w:tcPr>
          <w:p w:rsidR="0006774A" w:rsidRPr="00EC222D" w:rsidRDefault="0006774A" w:rsidP="00195A7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bdr w:val="single" w:sz="4" w:space="0" w:color="auto"/>
              </w:rPr>
              <w:t>63.2%</w:t>
            </w:r>
          </w:p>
        </w:tc>
      </w:tr>
      <w:tr w:rsidR="0006774A" w:rsidRPr="00EC222D" w:rsidTr="0006774A">
        <w:trPr>
          <w:trHeight w:val="285"/>
          <w:jc w:val="center"/>
        </w:trPr>
        <w:tc>
          <w:tcPr>
            <w:cnfStyle w:val="001000000000" w:firstRow="0" w:lastRow="0" w:firstColumn="1" w:lastColumn="0" w:oddVBand="0" w:evenVBand="0" w:oddHBand="0" w:evenHBand="0" w:firstRowFirstColumn="0" w:firstRowLastColumn="0" w:lastRowFirstColumn="0" w:lastRowLastColumn="0"/>
            <w:tcW w:w="680" w:type="dxa"/>
            <w:shd w:val="clear" w:color="auto" w:fill="auto"/>
            <w:hideMark/>
          </w:tcPr>
          <w:p w:rsidR="0006774A" w:rsidRPr="00EC222D" w:rsidRDefault="0006774A" w:rsidP="00195A7C">
            <w:pPr>
              <w:widowControl/>
              <w:jc w:val="center"/>
              <w:rPr>
                <w:rFonts w:ascii="宋体" w:eastAsia="宋体" w:hAnsi="宋体" w:cs="宋体"/>
                <w:b w:val="0"/>
                <w:color w:val="000000"/>
                <w:kern w:val="0"/>
                <w:sz w:val="20"/>
                <w:szCs w:val="21"/>
              </w:rPr>
            </w:pPr>
            <w:r w:rsidRPr="00EC222D">
              <w:rPr>
                <w:rFonts w:ascii="宋体" w:eastAsia="宋体" w:hAnsi="宋体" w:cs="宋体" w:hint="eastAsia"/>
                <w:b w:val="0"/>
                <w:color w:val="000000"/>
                <w:kern w:val="0"/>
                <w:sz w:val="20"/>
                <w:szCs w:val="21"/>
              </w:rPr>
              <w:t>江西</w:t>
            </w:r>
          </w:p>
        </w:tc>
        <w:tc>
          <w:tcPr>
            <w:tcW w:w="1559" w:type="dxa"/>
            <w:shd w:val="clear" w:color="auto" w:fill="auto"/>
            <w:noWrap/>
            <w:hideMark/>
          </w:tcPr>
          <w:p w:rsidR="0006774A" w:rsidRPr="00EC222D" w:rsidRDefault="0006774A" w:rsidP="00195A7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bdr w:val="single" w:sz="4" w:space="0" w:color="auto"/>
              </w:rPr>
              <w:t>6.4%</w:t>
            </w:r>
          </w:p>
        </w:tc>
        <w:tc>
          <w:tcPr>
            <w:tcW w:w="1643" w:type="dxa"/>
            <w:shd w:val="clear" w:color="auto" w:fill="auto"/>
            <w:noWrap/>
            <w:hideMark/>
          </w:tcPr>
          <w:p w:rsidR="0006774A" w:rsidRPr="00EC222D" w:rsidRDefault="0006774A" w:rsidP="00195A7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bdr w:val="single" w:sz="4" w:space="0" w:color="auto"/>
              </w:rPr>
              <w:t>60.0%</w:t>
            </w:r>
          </w:p>
        </w:tc>
      </w:tr>
      <w:tr w:rsidR="0006774A" w:rsidRPr="00EC222D" w:rsidTr="0006774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80" w:type="dxa"/>
            <w:shd w:val="clear" w:color="auto" w:fill="auto"/>
            <w:hideMark/>
          </w:tcPr>
          <w:p w:rsidR="0006774A" w:rsidRPr="00EC222D" w:rsidRDefault="0006774A" w:rsidP="00195A7C">
            <w:pPr>
              <w:widowControl/>
              <w:jc w:val="center"/>
              <w:rPr>
                <w:rFonts w:ascii="宋体" w:eastAsia="宋体" w:hAnsi="宋体" w:cs="宋体"/>
                <w:b w:val="0"/>
                <w:color w:val="000000"/>
                <w:kern w:val="0"/>
                <w:sz w:val="20"/>
                <w:szCs w:val="21"/>
              </w:rPr>
            </w:pPr>
            <w:r w:rsidRPr="00EC222D">
              <w:rPr>
                <w:rFonts w:ascii="宋体" w:eastAsia="宋体" w:hAnsi="宋体" w:cs="宋体" w:hint="eastAsia"/>
                <w:b w:val="0"/>
                <w:color w:val="000000"/>
                <w:kern w:val="0"/>
                <w:sz w:val="20"/>
                <w:szCs w:val="21"/>
              </w:rPr>
              <w:t>辽宁</w:t>
            </w:r>
          </w:p>
        </w:tc>
        <w:tc>
          <w:tcPr>
            <w:tcW w:w="1559" w:type="dxa"/>
            <w:shd w:val="clear" w:color="auto" w:fill="auto"/>
            <w:noWrap/>
            <w:hideMark/>
          </w:tcPr>
          <w:p w:rsidR="0006774A" w:rsidRPr="00EC222D" w:rsidRDefault="0006774A" w:rsidP="00195A7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rPr>
              <w:t>2.0%</w:t>
            </w:r>
          </w:p>
        </w:tc>
        <w:tc>
          <w:tcPr>
            <w:tcW w:w="1643" w:type="dxa"/>
            <w:shd w:val="clear" w:color="auto" w:fill="auto"/>
            <w:noWrap/>
            <w:hideMark/>
          </w:tcPr>
          <w:p w:rsidR="0006774A" w:rsidRPr="00EC222D" w:rsidRDefault="0006774A" w:rsidP="00195A7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Pr>
                <w:rFonts w:ascii="宋体" w:eastAsia="宋体" w:hAnsi="宋体" w:cs="宋体" w:hint="eastAsia"/>
                <w:color w:val="000000"/>
                <w:kern w:val="0"/>
                <w:sz w:val="20"/>
                <w:szCs w:val="21"/>
              </w:rPr>
              <w:t>5</w:t>
            </w:r>
            <w:r w:rsidRPr="00EC222D">
              <w:rPr>
                <w:rFonts w:ascii="宋体" w:eastAsia="宋体" w:hAnsi="宋体" w:cs="宋体" w:hint="eastAsia"/>
                <w:color w:val="000000"/>
                <w:kern w:val="0"/>
                <w:sz w:val="20"/>
                <w:szCs w:val="21"/>
              </w:rPr>
              <w:t>0.0%</w:t>
            </w:r>
          </w:p>
        </w:tc>
      </w:tr>
      <w:tr w:rsidR="0006774A" w:rsidRPr="00EC222D" w:rsidTr="0006774A">
        <w:trPr>
          <w:trHeight w:val="285"/>
          <w:jc w:val="center"/>
        </w:trPr>
        <w:tc>
          <w:tcPr>
            <w:cnfStyle w:val="001000000000" w:firstRow="0" w:lastRow="0" w:firstColumn="1" w:lastColumn="0" w:oddVBand="0" w:evenVBand="0" w:oddHBand="0" w:evenHBand="0" w:firstRowFirstColumn="0" w:firstRowLastColumn="0" w:lastRowFirstColumn="0" w:lastRowLastColumn="0"/>
            <w:tcW w:w="680" w:type="dxa"/>
            <w:shd w:val="clear" w:color="auto" w:fill="auto"/>
            <w:hideMark/>
          </w:tcPr>
          <w:p w:rsidR="0006774A" w:rsidRPr="00EC222D" w:rsidRDefault="0006774A" w:rsidP="00195A7C">
            <w:pPr>
              <w:widowControl/>
              <w:jc w:val="center"/>
              <w:rPr>
                <w:rFonts w:ascii="宋体" w:eastAsia="宋体" w:hAnsi="宋体" w:cs="宋体"/>
                <w:b w:val="0"/>
                <w:color w:val="000000"/>
                <w:kern w:val="0"/>
                <w:sz w:val="20"/>
                <w:szCs w:val="21"/>
              </w:rPr>
            </w:pPr>
            <w:r w:rsidRPr="00EC222D">
              <w:rPr>
                <w:rFonts w:ascii="宋体" w:eastAsia="宋体" w:hAnsi="宋体" w:cs="宋体" w:hint="eastAsia"/>
                <w:b w:val="0"/>
                <w:color w:val="000000"/>
                <w:kern w:val="0"/>
                <w:sz w:val="20"/>
                <w:szCs w:val="21"/>
              </w:rPr>
              <w:t>陕西</w:t>
            </w:r>
          </w:p>
        </w:tc>
        <w:tc>
          <w:tcPr>
            <w:tcW w:w="1559" w:type="dxa"/>
            <w:shd w:val="clear" w:color="auto" w:fill="auto"/>
            <w:noWrap/>
            <w:hideMark/>
          </w:tcPr>
          <w:p w:rsidR="0006774A" w:rsidRPr="00EC222D" w:rsidRDefault="0006774A" w:rsidP="00195A7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rPr>
              <w:t>1.8%</w:t>
            </w:r>
          </w:p>
        </w:tc>
        <w:tc>
          <w:tcPr>
            <w:tcW w:w="1643" w:type="dxa"/>
            <w:shd w:val="clear" w:color="auto" w:fill="auto"/>
            <w:noWrap/>
            <w:hideMark/>
          </w:tcPr>
          <w:p w:rsidR="0006774A" w:rsidRPr="00EC222D" w:rsidRDefault="0006774A" w:rsidP="00195A7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rPr>
              <w:t>87.5%</w:t>
            </w:r>
          </w:p>
        </w:tc>
      </w:tr>
      <w:tr w:rsidR="0006774A" w:rsidRPr="00EC222D" w:rsidTr="0006774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80" w:type="dxa"/>
            <w:shd w:val="clear" w:color="auto" w:fill="auto"/>
            <w:hideMark/>
          </w:tcPr>
          <w:p w:rsidR="0006774A" w:rsidRPr="00EC222D" w:rsidRDefault="0006774A" w:rsidP="00195A7C">
            <w:pPr>
              <w:widowControl/>
              <w:jc w:val="center"/>
              <w:rPr>
                <w:rFonts w:ascii="宋体" w:eastAsia="宋体" w:hAnsi="宋体" w:cs="宋体"/>
                <w:b w:val="0"/>
                <w:color w:val="000000"/>
                <w:kern w:val="0"/>
                <w:sz w:val="20"/>
                <w:szCs w:val="21"/>
              </w:rPr>
            </w:pPr>
            <w:r w:rsidRPr="00EC222D">
              <w:rPr>
                <w:rFonts w:ascii="宋体" w:eastAsia="宋体" w:hAnsi="宋体" w:cs="宋体" w:hint="eastAsia"/>
                <w:b w:val="0"/>
                <w:color w:val="000000"/>
                <w:kern w:val="0"/>
                <w:sz w:val="20"/>
                <w:szCs w:val="21"/>
              </w:rPr>
              <w:t>云南</w:t>
            </w:r>
          </w:p>
        </w:tc>
        <w:tc>
          <w:tcPr>
            <w:tcW w:w="1559" w:type="dxa"/>
            <w:shd w:val="clear" w:color="auto" w:fill="auto"/>
            <w:noWrap/>
            <w:hideMark/>
          </w:tcPr>
          <w:p w:rsidR="0006774A" w:rsidRPr="00EC222D" w:rsidRDefault="0006774A" w:rsidP="00195A7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rPr>
              <w:t>0.8%</w:t>
            </w:r>
          </w:p>
        </w:tc>
        <w:tc>
          <w:tcPr>
            <w:tcW w:w="1643" w:type="dxa"/>
            <w:shd w:val="clear" w:color="auto" w:fill="auto"/>
            <w:noWrap/>
            <w:hideMark/>
          </w:tcPr>
          <w:p w:rsidR="0006774A" w:rsidRPr="00EC222D" w:rsidRDefault="0006774A" w:rsidP="00195A7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rPr>
              <w:t>50.0%</w:t>
            </w:r>
          </w:p>
        </w:tc>
      </w:tr>
      <w:tr w:rsidR="0006774A" w:rsidRPr="00EC222D" w:rsidTr="0006774A">
        <w:trPr>
          <w:trHeight w:val="285"/>
          <w:jc w:val="center"/>
        </w:trPr>
        <w:tc>
          <w:tcPr>
            <w:cnfStyle w:val="001000000000" w:firstRow="0" w:lastRow="0" w:firstColumn="1" w:lastColumn="0" w:oddVBand="0" w:evenVBand="0" w:oddHBand="0" w:evenHBand="0" w:firstRowFirstColumn="0" w:firstRowLastColumn="0" w:lastRowFirstColumn="0" w:lastRowLastColumn="0"/>
            <w:tcW w:w="680" w:type="dxa"/>
            <w:tcBorders>
              <w:bottom w:val="double" w:sz="4" w:space="0" w:color="auto"/>
            </w:tcBorders>
            <w:shd w:val="clear" w:color="auto" w:fill="auto"/>
            <w:hideMark/>
          </w:tcPr>
          <w:p w:rsidR="0006774A" w:rsidRPr="00EC222D" w:rsidRDefault="0006774A" w:rsidP="00195A7C">
            <w:pPr>
              <w:widowControl/>
              <w:jc w:val="center"/>
              <w:rPr>
                <w:rFonts w:ascii="宋体" w:eastAsia="宋体" w:hAnsi="宋体" w:cs="宋体"/>
                <w:b w:val="0"/>
                <w:color w:val="000000"/>
                <w:kern w:val="0"/>
                <w:sz w:val="20"/>
                <w:szCs w:val="21"/>
              </w:rPr>
            </w:pPr>
            <w:r w:rsidRPr="00EC222D">
              <w:rPr>
                <w:rFonts w:ascii="宋体" w:eastAsia="宋体" w:hAnsi="宋体" w:cs="宋体" w:hint="eastAsia"/>
                <w:b w:val="0"/>
                <w:color w:val="000000"/>
                <w:kern w:val="0"/>
                <w:sz w:val="20"/>
                <w:szCs w:val="21"/>
              </w:rPr>
              <w:t>总体</w:t>
            </w:r>
          </w:p>
        </w:tc>
        <w:tc>
          <w:tcPr>
            <w:tcW w:w="1559" w:type="dxa"/>
            <w:tcBorders>
              <w:bottom w:val="double" w:sz="4" w:space="0" w:color="auto"/>
            </w:tcBorders>
            <w:shd w:val="clear" w:color="auto" w:fill="auto"/>
            <w:noWrap/>
            <w:hideMark/>
          </w:tcPr>
          <w:p w:rsidR="0006774A" w:rsidRPr="00EC222D" w:rsidRDefault="0006774A" w:rsidP="00195A7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rPr>
              <w:t>3.6%</w:t>
            </w:r>
          </w:p>
        </w:tc>
        <w:tc>
          <w:tcPr>
            <w:tcW w:w="1643" w:type="dxa"/>
            <w:tcBorders>
              <w:bottom w:val="double" w:sz="4" w:space="0" w:color="auto"/>
            </w:tcBorders>
            <w:shd w:val="clear" w:color="auto" w:fill="auto"/>
            <w:noWrap/>
            <w:hideMark/>
          </w:tcPr>
          <w:p w:rsidR="0006774A" w:rsidRPr="00EC222D" w:rsidRDefault="0006774A" w:rsidP="00195A7C">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EC222D">
              <w:rPr>
                <w:rFonts w:ascii="宋体" w:eastAsia="宋体" w:hAnsi="宋体" w:cs="宋体" w:hint="eastAsia"/>
                <w:color w:val="000000"/>
                <w:kern w:val="0"/>
                <w:sz w:val="20"/>
                <w:szCs w:val="21"/>
              </w:rPr>
              <w:t>65.2%</w:t>
            </w:r>
          </w:p>
        </w:tc>
      </w:tr>
    </w:tbl>
    <w:p w:rsidR="00E5141F" w:rsidRDefault="0006774A" w:rsidP="00A84713">
      <w:pPr>
        <w:ind w:firstLineChars="200" w:firstLine="420"/>
      </w:pPr>
      <w:r>
        <w:rPr>
          <w:rFonts w:hint="eastAsia"/>
        </w:rPr>
        <w:t>表</w:t>
      </w:r>
      <w:r w:rsidR="007F2EFF">
        <w:rPr>
          <w:rFonts w:hint="eastAsia"/>
        </w:rPr>
        <w:t>6</w:t>
      </w:r>
      <w:r>
        <w:rPr>
          <w:rFonts w:hint="eastAsia"/>
        </w:rPr>
        <w:t>是各省农户林权纠纷情况的汇总，表中数据是存在对应项所述情况的农户的占比。</w:t>
      </w:r>
    </w:p>
    <w:p w:rsidR="0031017A" w:rsidRDefault="0006774A" w:rsidP="00A84713">
      <w:pPr>
        <w:ind w:firstLineChars="200" w:firstLine="420"/>
      </w:pPr>
      <w:r>
        <w:rPr>
          <w:rFonts w:hint="eastAsia"/>
        </w:rPr>
        <w:t>总体而言，有林权纠纷的农户还是占少数，总体只有</w:t>
      </w:r>
      <w:r>
        <w:rPr>
          <w:rFonts w:hint="eastAsia"/>
        </w:rPr>
        <w:t>3.6%</w:t>
      </w:r>
      <w:r>
        <w:rPr>
          <w:rFonts w:hint="eastAsia"/>
        </w:rPr>
        <w:t>。但可以看到，在几个林业经济比较发达的省份，如福建、湖南</w:t>
      </w:r>
      <w:r w:rsidR="0031017A">
        <w:rPr>
          <w:rFonts w:hint="eastAsia"/>
        </w:rPr>
        <w:t>和江西，林权纠纷的比例都要高于平均水平。这可能归因于农户对自己林地的权利意识和经营能力都要强一些，导致林农对侵权行为更为敏感。</w:t>
      </w:r>
    </w:p>
    <w:p w:rsidR="0031017A" w:rsidRPr="0031017A" w:rsidRDefault="0006774A" w:rsidP="00A84713">
      <w:pPr>
        <w:ind w:firstLineChars="200" w:firstLine="420"/>
      </w:pPr>
      <w:r>
        <w:rPr>
          <w:rFonts w:hint="eastAsia"/>
        </w:rPr>
        <w:t>福建省</w:t>
      </w:r>
      <w:r w:rsidR="0031017A">
        <w:rPr>
          <w:rFonts w:hint="eastAsia"/>
        </w:rPr>
        <w:t>的情况更为突出</w:t>
      </w:r>
      <w:r>
        <w:rPr>
          <w:rFonts w:hint="eastAsia"/>
        </w:rPr>
        <w:t>，在前面我们了解到，福建省</w:t>
      </w:r>
      <w:r w:rsidR="0031017A">
        <w:rPr>
          <w:rFonts w:hint="eastAsia"/>
        </w:rPr>
        <w:t>林权证的发放并不彻底，有</w:t>
      </w:r>
      <w:r w:rsidR="0031017A">
        <w:rPr>
          <w:rFonts w:hint="eastAsia"/>
        </w:rPr>
        <w:t>40%</w:t>
      </w:r>
      <w:r w:rsidR="0031017A">
        <w:rPr>
          <w:rFonts w:hint="eastAsia"/>
        </w:rPr>
        <w:t>的人没有拿到林权证，在上表中，福建的林权纠纷比例是最大的，接近</w:t>
      </w:r>
      <w:r w:rsidR="0031017A">
        <w:rPr>
          <w:rFonts w:hint="eastAsia"/>
        </w:rPr>
        <w:t>10%</w:t>
      </w:r>
      <w:r w:rsidR="0031017A">
        <w:rPr>
          <w:rFonts w:hint="eastAsia"/>
        </w:rPr>
        <w:t>，并且纠纷调解情况不甚理想，有</w:t>
      </w:r>
      <w:r w:rsidR="0031017A">
        <w:rPr>
          <w:rFonts w:hint="eastAsia"/>
        </w:rPr>
        <w:t>63%</w:t>
      </w:r>
      <w:r w:rsidR="0031017A">
        <w:rPr>
          <w:rFonts w:hint="eastAsia"/>
        </w:rPr>
        <w:t>的纠纷没有得到合理的解决。因此我们可以猜想，林权证的可能会对减少纠纷有一定的帮助。</w:t>
      </w:r>
    </w:p>
    <w:p w:rsidR="00F65B55" w:rsidRDefault="00F65B55" w:rsidP="00976FC6">
      <w:pPr>
        <w:pStyle w:val="1"/>
        <w:numPr>
          <w:ilvl w:val="0"/>
          <w:numId w:val="2"/>
        </w:numPr>
      </w:pPr>
      <w:r>
        <w:rPr>
          <w:rFonts w:hint="eastAsia"/>
        </w:rPr>
        <w:t>林地流转现状分析</w:t>
      </w:r>
    </w:p>
    <w:p w:rsidR="009071AF" w:rsidRPr="0033603A" w:rsidRDefault="0031017A" w:rsidP="0033603A">
      <w:pPr>
        <w:pStyle w:val="2"/>
        <w:numPr>
          <w:ilvl w:val="1"/>
          <w:numId w:val="2"/>
        </w:numPr>
      </w:pPr>
      <w:r>
        <w:rPr>
          <w:rFonts w:hint="eastAsia"/>
        </w:rPr>
        <w:t>流转规模</w:t>
      </w:r>
    </w:p>
    <w:p w:rsidR="0031017A" w:rsidRDefault="009071AF" w:rsidP="00A84713">
      <w:pPr>
        <w:ind w:firstLineChars="200" w:firstLine="420"/>
        <w:rPr>
          <w:rFonts w:hint="eastAsia"/>
        </w:rPr>
      </w:pPr>
      <w:r>
        <w:rPr>
          <w:rFonts w:hint="eastAsia"/>
        </w:rPr>
        <w:t>表</w:t>
      </w:r>
      <w:r w:rsidR="007F2EFF">
        <w:rPr>
          <w:rFonts w:hint="eastAsia"/>
        </w:rPr>
        <w:t>7</w:t>
      </w:r>
      <w:r>
        <w:rPr>
          <w:rFonts w:hint="eastAsia"/>
        </w:rPr>
        <w:t>统计了农户承包林地的流转情况。对于有多块地的农户，若其部分林地参与流转而部分未参与，则在流转项和未流转项下都有记录。</w:t>
      </w:r>
    </w:p>
    <w:p w:rsidR="009071AF" w:rsidRDefault="009071AF" w:rsidP="00A84713">
      <w:pPr>
        <w:ind w:firstLineChars="200" w:firstLine="420"/>
        <w:rPr>
          <w:rFonts w:hint="eastAsia"/>
          <w:kern w:val="0"/>
        </w:rPr>
      </w:pPr>
      <w:r>
        <w:rPr>
          <w:rFonts w:hint="eastAsia"/>
        </w:rPr>
        <w:t>数据显示，</w:t>
      </w:r>
      <w:r>
        <w:rPr>
          <w:kern w:val="0"/>
        </w:rPr>
        <w:t>3503</w:t>
      </w:r>
      <w:r>
        <w:rPr>
          <w:rFonts w:hint="eastAsia"/>
          <w:kern w:val="0"/>
        </w:rPr>
        <w:t>户农户只有</w:t>
      </w:r>
      <w:r>
        <w:rPr>
          <w:kern w:val="0"/>
        </w:rPr>
        <w:t>2</w:t>
      </w:r>
      <w:r w:rsidR="00D576F9">
        <w:rPr>
          <w:rFonts w:hint="eastAsia"/>
          <w:kern w:val="0"/>
        </w:rPr>
        <w:t>89</w:t>
      </w:r>
      <w:r>
        <w:rPr>
          <w:rFonts w:hint="eastAsia"/>
          <w:kern w:val="0"/>
        </w:rPr>
        <w:t>家有林地流转，只占到</w:t>
      </w:r>
      <w:r>
        <w:rPr>
          <w:kern w:val="0"/>
        </w:rPr>
        <w:t>7%</w:t>
      </w:r>
      <w:r w:rsidR="0033603A">
        <w:rPr>
          <w:rFonts w:hint="eastAsia"/>
          <w:kern w:val="0"/>
        </w:rPr>
        <w:t>左右，这</w:t>
      </w:r>
      <w:r w:rsidR="0033603A">
        <w:rPr>
          <w:rFonts w:hint="eastAsia"/>
          <w:kern w:val="0"/>
        </w:rPr>
        <w:t>289</w:t>
      </w:r>
      <w:r w:rsidR="0033603A">
        <w:rPr>
          <w:rFonts w:hint="eastAsia"/>
          <w:kern w:val="0"/>
        </w:rPr>
        <w:t>户共流转了</w:t>
      </w:r>
      <w:r w:rsidR="0033603A">
        <w:rPr>
          <w:rFonts w:hint="eastAsia"/>
          <w:kern w:val="0"/>
        </w:rPr>
        <w:t>498</w:t>
      </w:r>
      <w:r w:rsidR="0033603A">
        <w:rPr>
          <w:rFonts w:hint="eastAsia"/>
          <w:kern w:val="0"/>
        </w:rPr>
        <w:t>块地，平均每户</w:t>
      </w:r>
      <w:r w:rsidR="0033603A">
        <w:rPr>
          <w:rFonts w:hint="eastAsia"/>
          <w:kern w:val="0"/>
        </w:rPr>
        <w:t>1.7</w:t>
      </w:r>
      <w:r w:rsidR="0033603A">
        <w:rPr>
          <w:rFonts w:hint="eastAsia"/>
          <w:kern w:val="0"/>
        </w:rPr>
        <w:t>块，流转比例相对还是很低的。</w:t>
      </w:r>
      <w:r w:rsidR="007D37AE">
        <w:rPr>
          <w:rFonts w:hint="eastAsia"/>
          <w:kern w:val="0"/>
        </w:rPr>
        <w:t>并且流转没有呈现集中性，在各省的情况是比较均匀的。没有某省份大规模流转的情况。</w:t>
      </w:r>
    </w:p>
    <w:p w:rsidR="0033603A" w:rsidRDefault="0033603A" w:rsidP="0033603A">
      <w:pPr>
        <w:pStyle w:val="a6"/>
        <w:numPr>
          <w:ilvl w:val="0"/>
          <w:numId w:val="20"/>
        </w:numPr>
        <w:ind w:left="0" w:firstLineChars="71" w:firstLine="142"/>
        <w:jc w:val="center"/>
        <w:rPr>
          <w:bCs/>
          <w:sz w:val="20"/>
        </w:rPr>
      </w:pPr>
      <w:r>
        <w:rPr>
          <w:rFonts w:hint="eastAsia"/>
          <w:bCs/>
          <w:sz w:val="20"/>
        </w:rPr>
        <w:lastRenderedPageBreak/>
        <w:t>农户林地流转情况及流转方向</w:t>
      </w:r>
    </w:p>
    <w:p w:rsidR="0033603A" w:rsidRDefault="0033603A" w:rsidP="0033603A">
      <w:pPr>
        <w:ind w:firstLineChars="200" w:firstLine="400"/>
        <w:jc w:val="right"/>
      </w:pPr>
      <w:r>
        <w:rPr>
          <w:rFonts w:hint="eastAsia"/>
          <w:bCs/>
          <w:sz w:val="20"/>
        </w:rPr>
        <w:t>（单位：户）</w:t>
      </w:r>
    </w:p>
    <w:tbl>
      <w:tblPr>
        <w:tblStyle w:val="a5"/>
        <w:tblpPr w:leftFromText="180" w:rightFromText="180" w:vertAnchor="text" w:horzAnchor="page" w:tblpX="1922" w:tblpY="188"/>
        <w:tblW w:w="3936" w:type="dxa"/>
        <w:tblLook w:val="04A0" w:firstRow="1" w:lastRow="0" w:firstColumn="1" w:lastColumn="0" w:noHBand="0" w:noVBand="1"/>
      </w:tblPr>
      <w:tblGrid>
        <w:gridCol w:w="675"/>
        <w:gridCol w:w="851"/>
        <w:gridCol w:w="992"/>
        <w:gridCol w:w="709"/>
        <w:gridCol w:w="709"/>
      </w:tblGrid>
      <w:tr w:rsidR="0033603A" w:rsidRPr="00F51DB1" w:rsidTr="00F303D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75" w:type="dxa"/>
            <w:tcBorders>
              <w:top w:val="double" w:sz="4" w:space="0" w:color="auto"/>
            </w:tcBorders>
            <w:shd w:val="clear" w:color="auto" w:fill="auto"/>
            <w:noWrap/>
            <w:hideMark/>
          </w:tcPr>
          <w:p w:rsidR="0033603A" w:rsidRPr="00F51DB1" w:rsidRDefault="0033603A" w:rsidP="00F303DA">
            <w:pPr>
              <w:widowControl/>
              <w:jc w:val="center"/>
              <w:rPr>
                <w:rFonts w:ascii="宋体" w:eastAsia="宋体" w:hAnsi="宋体" w:cs="宋体"/>
                <w:color w:val="000000"/>
                <w:kern w:val="0"/>
                <w:sz w:val="22"/>
              </w:rPr>
            </w:pPr>
          </w:p>
        </w:tc>
        <w:tc>
          <w:tcPr>
            <w:tcW w:w="1843" w:type="dxa"/>
            <w:gridSpan w:val="2"/>
            <w:tcBorders>
              <w:top w:val="double" w:sz="4" w:space="0" w:color="auto"/>
            </w:tcBorders>
            <w:shd w:val="clear" w:color="auto" w:fill="auto"/>
            <w:noWrap/>
            <w:hideMark/>
          </w:tcPr>
          <w:p w:rsidR="0033603A" w:rsidRPr="00F51DB1" w:rsidRDefault="0033603A" w:rsidP="00F303DA">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Pr>
                <w:rFonts w:ascii="宋体" w:eastAsia="宋体" w:hAnsi="宋体" w:cs="宋体" w:hint="eastAsia"/>
                <w:b w:val="0"/>
                <w:color w:val="000000"/>
                <w:kern w:val="0"/>
                <w:sz w:val="20"/>
                <w:szCs w:val="21"/>
              </w:rPr>
              <w:t>承包林地流转情况</w:t>
            </w:r>
          </w:p>
        </w:tc>
        <w:tc>
          <w:tcPr>
            <w:tcW w:w="1418" w:type="dxa"/>
            <w:gridSpan w:val="2"/>
            <w:tcBorders>
              <w:top w:val="double" w:sz="4" w:space="0" w:color="auto"/>
            </w:tcBorders>
            <w:shd w:val="clear" w:color="auto" w:fill="auto"/>
            <w:noWrap/>
            <w:hideMark/>
          </w:tcPr>
          <w:p w:rsidR="0033603A" w:rsidRPr="00F51DB1" w:rsidRDefault="0033603A" w:rsidP="00F303DA">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Pr>
                <w:rFonts w:ascii="宋体" w:eastAsia="宋体" w:hAnsi="宋体" w:cs="宋体" w:hint="eastAsia"/>
                <w:b w:val="0"/>
                <w:color w:val="000000"/>
                <w:kern w:val="0"/>
                <w:sz w:val="20"/>
                <w:szCs w:val="21"/>
              </w:rPr>
              <w:t>流转方向</w:t>
            </w:r>
          </w:p>
        </w:tc>
      </w:tr>
      <w:tr w:rsidR="00F303DA" w:rsidRPr="00F51DB1" w:rsidTr="00F303D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75" w:type="dxa"/>
            <w:tcBorders>
              <w:bottom w:val="single" w:sz="8" w:space="0" w:color="000000" w:themeColor="text1"/>
            </w:tcBorders>
            <w:shd w:val="clear" w:color="auto" w:fill="auto"/>
            <w:noWrap/>
            <w:hideMark/>
          </w:tcPr>
          <w:p w:rsidR="0033603A" w:rsidRPr="00F51DB1" w:rsidRDefault="0033603A" w:rsidP="00F303DA">
            <w:pPr>
              <w:widowControl/>
              <w:jc w:val="center"/>
              <w:rPr>
                <w:rFonts w:ascii="宋体" w:eastAsia="宋体" w:hAnsi="宋体" w:cs="宋体"/>
                <w:color w:val="000000"/>
                <w:kern w:val="0"/>
                <w:sz w:val="22"/>
              </w:rPr>
            </w:pPr>
          </w:p>
        </w:tc>
        <w:tc>
          <w:tcPr>
            <w:tcW w:w="851" w:type="dxa"/>
            <w:tcBorders>
              <w:bottom w:val="single" w:sz="8" w:space="0" w:color="000000" w:themeColor="text1"/>
            </w:tcBorders>
            <w:shd w:val="clear" w:color="auto" w:fill="auto"/>
            <w:noWrap/>
            <w:hideMark/>
          </w:tcPr>
          <w:p w:rsidR="0033603A" w:rsidRPr="00F51DB1"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Pr>
                <w:rFonts w:ascii="宋体" w:eastAsia="宋体" w:hAnsi="宋体" w:cs="宋体" w:hint="eastAsia"/>
                <w:bCs/>
                <w:color w:val="000000"/>
                <w:kern w:val="0"/>
                <w:sz w:val="20"/>
                <w:szCs w:val="21"/>
              </w:rPr>
              <w:t>流转</w:t>
            </w:r>
          </w:p>
        </w:tc>
        <w:tc>
          <w:tcPr>
            <w:tcW w:w="992" w:type="dxa"/>
            <w:tcBorders>
              <w:bottom w:val="single" w:sz="8" w:space="0" w:color="000000" w:themeColor="text1"/>
            </w:tcBorders>
            <w:shd w:val="clear" w:color="auto" w:fill="auto"/>
            <w:noWrap/>
            <w:hideMark/>
          </w:tcPr>
          <w:p w:rsidR="0033603A" w:rsidRPr="00F51DB1"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Pr>
                <w:rFonts w:ascii="宋体" w:eastAsia="宋体" w:hAnsi="宋体" w:cs="宋体" w:hint="eastAsia"/>
                <w:bCs/>
                <w:color w:val="000000"/>
                <w:kern w:val="0"/>
                <w:sz w:val="20"/>
                <w:szCs w:val="21"/>
              </w:rPr>
              <w:t>未流转</w:t>
            </w:r>
          </w:p>
        </w:tc>
        <w:tc>
          <w:tcPr>
            <w:tcW w:w="709" w:type="dxa"/>
            <w:tcBorders>
              <w:bottom w:val="single" w:sz="8" w:space="0" w:color="000000" w:themeColor="text1"/>
            </w:tcBorders>
            <w:shd w:val="clear" w:color="auto" w:fill="auto"/>
            <w:noWrap/>
            <w:hideMark/>
          </w:tcPr>
          <w:p w:rsidR="0033603A" w:rsidRPr="00F51DB1"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Pr>
                <w:rFonts w:ascii="宋体" w:eastAsia="宋体" w:hAnsi="宋体" w:cs="宋体" w:hint="eastAsia"/>
                <w:bCs/>
                <w:color w:val="000000"/>
                <w:kern w:val="0"/>
                <w:sz w:val="20"/>
                <w:szCs w:val="21"/>
              </w:rPr>
              <w:t>流入</w:t>
            </w:r>
          </w:p>
        </w:tc>
        <w:tc>
          <w:tcPr>
            <w:tcW w:w="709" w:type="dxa"/>
            <w:tcBorders>
              <w:bottom w:val="single" w:sz="8" w:space="0" w:color="000000" w:themeColor="text1"/>
            </w:tcBorders>
            <w:shd w:val="clear" w:color="auto" w:fill="auto"/>
            <w:noWrap/>
            <w:hideMark/>
          </w:tcPr>
          <w:p w:rsidR="0033603A" w:rsidRPr="00F51DB1"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000000"/>
                <w:kern w:val="0"/>
                <w:sz w:val="20"/>
                <w:szCs w:val="21"/>
              </w:rPr>
            </w:pPr>
            <w:r>
              <w:rPr>
                <w:rFonts w:ascii="宋体" w:eastAsia="宋体" w:hAnsi="宋体" w:cs="宋体" w:hint="eastAsia"/>
                <w:bCs/>
                <w:color w:val="000000"/>
                <w:kern w:val="0"/>
                <w:sz w:val="20"/>
                <w:szCs w:val="21"/>
              </w:rPr>
              <w:t>流出</w:t>
            </w:r>
          </w:p>
        </w:tc>
      </w:tr>
      <w:tr w:rsidR="00F303DA" w:rsidRPr="00F51DB1" w:rsidTr="00F303DA">
        <w:trPr>
          <w:trHeight w:val="285"/>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tcBorders>
            <w:shd w:val="clear" w:color="auto" w:fill="auto"/>
            <w:hideMark/>
          </w:tcPr>
          <w:p w:rsidR="0033603A" w:rsidRPr="00F51DB1" w:rsidRDefault="0033603A" w:rsidP="00F303DA">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福建</w:t>
            </w:r>
          </w:p>
        </w:tc>
        <w:tc>
          <w:tcPr>
            <w:tcW w:w="851" w:type="dxa"/>
            <w:tcBorders>
              <w:top w:val="single" w:sz="8" w:space="0" w:color="000000" w:themeColor="text1"/>
            </w:tcBorders>
            <w:shd w:val="clear" w:color="auto" w:fill="auto"/>
            <w:noWrap/>
            <w:vAlign w:val="center"/>
            <w:hideMark/>
          </w:tcPr>
          <w:p w:rsidR="0033603A" w:rsidRPr="009071AF"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74</w:t>
            </w:r>
          </w:p>
        </w:tc>
        <w:tc>
          <w:tcPr>
            <w:tcW w:w="992" w:type="dxa"/>
            <w:tcBorders>
              <w:top w:val="single" w:sz="8" w:space="0" w:color="000000" w:themeColor="text1"/>
            </w:tcBorders>
            <w:shd w:val="clear" w:color="auto" w:fill="auto"/>
            <w:noWrap/>
            <w:vAlign w:val="center"/>
            <w:hideMark/>
          </w:tcPr>
          <w:p w:rsidR="0033603A" w:rsidRPr="0033603A"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33603A">
              <w:rPr>
                <w:rFonts w:ascii="宋体" w:eastAsia="宋体" w:hAnsi="宋体" w:cs="宋体" w:hint="eastAsia"/>
                <w:color w:val="000000"/>
                <w:kern w:val="0"/>
                <w:sz w:val="20"/>
                <w:szCs w:val="21"/>
              </w:rPr>
              <w:t>426</w:t>
            </w:r>
          </w:p>
        </w:tc>
        <w:tc>
          <w:tcPr>
            <w:tcW w:w="709" w:type="dxa"/>
            <w:tcBorders>
              <w:top w:val="single" w:sz="8" w:space="0" w:color="000000" w:themeColor="text1"/>
            </w:tcBorders>
            <w:shd w:val="clear" w:color="auto" w:fill="auto"/>
            <w:noWrap/>
            <w:vAlign w:val="center"/>
            <w:hideMark/>
          </w:tcPr>
          <w:p w:rsidR="0033603A" w:rsidRPr="009071AF"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57</w:t>
            </w:r>
          </w:p>
        </w:tc>
        <w:tc>
          <w:tcPr>
            <w:tcW w:w="709" w:type="dxa"/>
            <w:tcBorders>
              <w:top w:val="single" w:sz="8" w:space="0" w:color="000000" w:themeColor="text1"/>
            </w:tcBorders>
            <w:shd w:val="clear" w:color="auto" w:fill="auto"/>
            <w:noWrap/>
            <w:vAlign w:val="center"/>
            <w:hideMark/>
          </w:tcPr>
          <w:p w:rsidR="0033603A" w:rsidRPr="009071AF"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18</w:t>
            </w:r>
          </w:p>
        </w:tc>
      </w:tr>
      <w:tr w:rsidR="0033603A" w:rsidRPr="00F51DB1" w:rsidTr="00F303D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75" w:type="dxa"/>
            <w:shd w:val="clear" w:color="auto" w:fill="auto"/>
            <w:hideMark/>
          </w:tcPr>
          <w:p w:rsidR="0033603A" w:rsidRPr="00F51DB1" w:rsidRDefault="0033603A" w:rsidP="00F303DA">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甘肃</w:t>
            </w:r>
          </w:p>
        </w:tc>
        <w:tc>
          <w:tcPr>
            <w:tcW w:w="851" w:type="dxa"/>
            <w:shd w:val="clear" w:color="auto" w:fill="auto"/>
            <w:noWrap/>
            <w:vAlign w:val="center"/>
            <w:hideMark/>
          </w:tcPr>
          <w:p w:rsidR="0033603A" w:rsidRPr="009071AF"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67</w:t>
            </w:r>
          </w:p>
        </w:tc>
        <w:tc>
          <w:tcPr>
            <w:tcW w:w="992" w:type="dxa"/>
            <w:shd w:val="clear" w:color="auto" w:fill="auto"/>
            <w:noWrap/>
            <w:vAlign w:val="center"/>
            <w:hideMark/>
          </w:tcPr>
          <w:p w:rsidR="0033603A" w:rsidRPr="0033603A"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33603A">
              <w:rPr>
                <w:rFonts w:ascii="宋体" w:eastAsia="宋体" w:hAnsi="宋体" w:cs="宋体" w:hint="eastAsia"/>
                <w:color w:val="000000"/>
                <w:kern w:val="0"/>
                <w:sz w:val="20"/>
                <w:szCs w:val="21"/>
              </w:rPr>
              <w:t>433</w:t>
            </w:r>
          </w:p>
        </w:tc>
        <w:tc>
          <w:tcPr>
            <w:tcW w:w="709" w:type="dxa"/>
            <w:shd w:val="clear" w:color="auto" w:fill="auto"/>
            <w:noWrap/>
            <w:vAlign w:val="center"/>
            <w:hideMark/>
          </w:tcPr>
          <w:p w:rsidR="0033603A" w:rsidRPr="009071AF"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2</w:t>
            </w:r>
          </w:p>
        </w:tc>
        <w:tc>
          <w:tcPr>
            <w:tcW w:w="709" w:type="dxa"/>
            <w:shd w:val="clear" w:color="auto" w:fill="auto"/>
            <w:noWrap/>
            <w:vAlign w:val="center"/>
            <w:hideMark/>
          </w:tcPr>
          <w:p w:rsidR="0033603A" w:rsidRPr="009071AF"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65</w:t>
            </w:r>
          </w:p>
        </w:tc>
      </w:tr>
      <w:tr w:rsidR="0033603A" w:rsidRPr="00F51DB1" w:rsidTr="00F303DA">
        <w:trPr>
          <w:trHeight w:val="285"/>
        </w:trPr>
        <w:tc>
          <w:tcPr>
            <w:cnfStyle w:val="001000000000" w:firstRow="0" w:lastRow="0" w:firstColumn="1" w:lastColumn="0" w:oddVBand="0" w:evenVBand="0" w:oddHBand="0" w:evenHBand="0" w:firstRowFirstColumn="0" w:firstRowLastColumn="0" w:lastRowFirstColumn="0" w:lastRowLastColumn="0"/>
            <w:tcW w:w="675" w:type="dxa"/>
            <w:shd w:val="clear" w:color="auto" w:fill="auto"/>
            <w:hideMark/>
          </w:tcPr>
          <w:p w:rsidR="0033603A" w:rsidRPr="00F51DB1" w:rsidRDefault="0033603A" w:rsidP="00F303DA">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湖南</w:t>
            </w:r>
          </w:p>
        </w:tc>
        <w:tc>
          <w:tcPr>
            <w:tcW w:w="851" w:type="dxa"/>
            <w:shd w:val="clear" w:color="auto" w:fill="auto"/>
            <w:noWrap/>
            <w:vAlign w:val="center"/>
            <w:hideMark/>
          </w:tcPr>
          <w:p w:rsidR="0033603A" w:rsidRPr="009071AF"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55</w:t>
            </w:r>
          </w:p>
        </w:tc>
        <w:tc>
          <w:tcPr>
            <w:tcW w:w="992" w:type="dxa"/>
            <w:shd w:val="clear" w:color="auto" w:fill="auto"/>
            <w:noWrap/>
            <w:vAlign w:val="center"/>
            <w:hideMark/>
          </w:tcPr>
          <w:p w:rsidR="0033603A" w:rsidRPr="0033603A"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33603A">
              <w:rPr>
                <w:rFonts w:ascii="宋体" w:eastAsia="宋体" w:hAnsi="宋体" w:cs="宋体" w:hint="eastAsia"/>
                <w:color w:val="000000"/>
                <w:kern w:val="0"/>
                <w:sz w:val="20"/>
                <w:szCs w:val="21"/>
              </w:rPr>
              <w:t>445</w:t>
            </w:r>
          </w:p>
        </w:tc>
        <w:tc>
          <w:tcPr>
            <w:tcW w:w="709" w:type="dxa"/>
            <w:shd w:val="clear" w:color="auto" w:fill="auto"/>
            <w:noWrap/>
            <w:vAlign w:val="center"/>
            <w:hideMark/>
          </w:tcPr>
          <w:p w:rsidR="0033603A" w:rsidRPr="009071AF" w:rsidRDefault="0033603A" w:rsidP="005F6BF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2</w:t>
            </w:r>
            <w:r w:rsidR="005F6BFA">
              <w:rPr>
                <w:rFonts w:ascii="宋体" w:eastAsia="宋体" w:hAnsi="宋体" w:cs="宋体" w:hint="eastAsia"/>
                <w:color w:val="000000"/>
                <w:kern w:val="0"/>
                <w:sz w:val="20"/>
                <w:szCs w:val="21"/>
              </w:rPr>
              <w:t>0</w:t>
            </w:r>
          </w:p>
        </w:tc>
        <w:tc>
          <w:tcPr>
            <w:tcW w:w="709" w:type="dxa"/>
            <w:shd w:val="clear" w:color="auto" w:fill="auto"/>
            <w:noWrap/>
            <w:vAlign w:val="center"/>
            <w:hideMark/>
          </w:tcPr>
          <w:p w:rsidR="0033603A" w:rsidRPr="009071AF"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35</w:t>
            </w:r>
          </w:p>
        </w:tc>
      </w:tr>
      <w:tr w:rsidR="0033603A" w:rsidRPr="00F51DB1" w:rsidTr="00F303D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75" w:type="dxa"/>
            <w:shd w:val="clear" w:color="auto" w:fill="auto"/>
            <w:hideMark/>
          </w:tcPr>
          <w:p w:rsidR="0033603A" w:rsidRPr="00F51DB1" w:rsidRDefault="0033603A" w:rsidP="00F303DA">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江西</w:t>
            </w:r>
          </w:p>
        </w:tc>
        <w:tc>
          <w:tcPr>
            <w:tcW w:w="851" w:type="dxa"/>
            <w:shd w:val="clear" w:color="auto" w:fill="auto"/>
            <w:noWrap/>
            <w:vAlign w:val="center"/>
            <w:hideMark/>
          </w:tcPr>
          <w:p w:rsidR="0033603A" w:rsidRPr="009071AF"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Pr>
                <w:rFonts w:ascii="宋体" w:eastAsia="宋体" w:hAnsi="宋体" w:cs="宋体" w:hint="eastAsia"/>
                <w:color w:val="000000"/>
                <w:kern w:val="0"/>
                <w:sz w:val="20"/>
                <w:szCs w:val="21"/>
              </w:rPr>
              <w:t>39</w:t>
            </w:r>
          </w:p>
        </w:tc>
        <w:tc>
          <w:tcPr>
            <w:tcW w:w="992" w:type="dxa"/>
            <w:shd w:val="clear" w:color="auto" w:fill="auto"/>
            <w:noWrap/>
            <w:vAlign w:val="center"/>
            <w:hideMark/>
          </w:tcPr>
          <w:p w:rsidR="0033603A" w:rsidRPr="0033603A"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33603A">
              <w:rPr>
                <w:rFonts w:ascii="宋体" w:eastAsia="宋体" w:hAnsi="宋体" w:cs="宋体" w:hint="eastAsia"/>
                <w:color w:val="000000"/>
                <w:kern w:val="0"/>
                <w:sz w:val="20"/>
                <w:szCs w:val="21"/>
              </w:rPr>
              <w:t>461</w:t>
            </w:r>
          </w:p>
        </w:tc>
        <w:tc>
          <w:tcPr>
            <w:tcW w:w="709" w:type="dxa"/>
            <w:shd w:val="clear" w:color="auto" w:fill="auto"/>
            <w:noWrap/>
            <w:vAlign w:val="center"/>
            <w:hideMark/>
          </w:tcPr>
          <w:p w:rsidR="0033603A" w:rsidRPr="009071AF"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19</w:t>
            </w:r>
          </w:p>
        </w:tc>
        <w:tc>
          <w:tcPr>
            <w:tcW w:w="709" w:type="dxa"/>
            <w:shd w:val="clear" w:color="auto" w:fill="auto"/>
            <w:noWrap/>
            <w:vAlign w:val="center"/>
            <w:hideMark/>
          </w:tcPr>
          <w:p w:rsidR="0033603A" w:rsidRPr="009071AF" w:rsidRDefault="00F303D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Pr>
                <w:rFonts w:ascii="宋体" w:eastAsia="宋体" w:hAnsi="宋体" w:cs="宋体" w:hint="eastAsia"/>
                <w:color w:val="000000"/>
                <w:kern w:val="0"/>
                <w:sz w:val="20"/>
                <w:szCs w:val="21"/>
              </w:rPr>
              <w:t>23</w:t>
            </w:r>
          </w:p>
        </w:tc>
      </w:tr>
      <w:tr w:rsidR="0033603A" w:rsidRPr="00F51DB1" w:rsidTr="00F303DA">
        <w:trPr>
          <w:trHeight w:val="285"/>
        </w:trPr>
        <w:tc>
          <w:tcPr>
            <w:cnfStyle w:val="001000000000" w:firstRow="0" w:lastRow="0" w:firstColumn="1" w:lastColumn="0" w:oddVBand="0" w:evenVBand="0" w:oddHBand="0" w:evenHBand="0" w:firstRowFirstColumn="0" w:firstRowLastColumn="0" w:lastRowFirstColumn="0" w:lastRowLastColumn="0"/>
            <w:tcW w:w="675" w:type="dxa"/>
            <w:shd w:val="clear" w:color="auto" w:fill="auto"/>
            <w:hideMark/>
          </w:tcPr>
          <w:p w:rsidR="0033603A" w:rsidRPr="00F51DB1" w:rsidRDefault="0033603A" w:rsidP="00F303DA">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辽宁</w:t>
            </w:r>
          </w:p>
        </w:tc>
        <w:tc>
          <w:tcPr>
            <w:tcW w:w="851" w:type="dxa"/>
            <w:shd w:val="clear" w:color="auto" w:fill="auto"/>
            <w:noWrap/>
            <w:vAlign w:val="center"/>
            <w:hideMark/>
          </w:tcPr>
          <w:p w:rsidR="0033603A" w:rsidRPr="009071AF"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Pr>
                <w:rFonts w:ascii="宋体" w:eastAsia="宋体" w:hAnsi="宋体" w:cs="宋体" w:hint="eastAsia"/>
                <w:color w:val="000000"/>
                <w:kern w:val="0"/>
                <w:sz w:val="20"/>
                <w:szCs w:val="21"/>
              </w:rPr>
              <w:t>39</w:t>
            </w:r>
          </w:p>
        </w:tc>
        <w:tc>
          <w:tcPr>
            <w:tcW w:w="992" w:type="dxa"/>
            <w:shd w:val="clear" w:color="auto" w:fill="auto"/>
            <w:noWrap/>
            <w:vAlign w:val="center"/>
            <w:hideMark/>
          </w:tcPr>
          <w:p w:rsidR="0033603A" w:rsidRPr="0033603A"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33603A">
              <w:rPr>
                <w:rFonts w:ascii="宋体" w:eastAsia="宋体" w:hAnsi="宋体" w:cs="宋体" w:hint="eastAsia"/>
                <w:color w:val="000000"/>
                <w:kern w:val="0"/>
                <w:sz w:val="20"/>
                <w:szCs w:val="21"/>
              </w:rPr>
              <w:t>461</w:t>
            </w:r>
          </w:p>
        </w:tc>
        <w:tc>
          <w:tcPr>
            <w:tcW w:w="709" w:type="dxa"/>
            <w:shd w:val="clear" w:color="auto" w:fill="auto"/>
            <w:noWrap/>
            <w:vAlign w:val="center"/>
            <w:hideMark/>
          </w:tcPr>
          <w:p w:rsidR="0033603A" w:rsidRPr="009071AF"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1</w:t>
            </w:r>
            <w:r>
              <w:rPr>
                <w:rFonts w:ascii="宋体" w:eastAsia="宋体" w:hAnsi="宋体" w:cs="宋体" w:hint="eastAsia"/>
                <w:color w:val="000000"/>
                <w:kern w:val="0"/>
                <w:sz w:val="20"/>
                <w:szCs w:val="21"/>
              </w:rPr>
              <w:t>2</w:t>
            </w:r>
          </w:p>
        </w:tc>
        <w:tc>
          <w:tcPr>
            <w:tcW w:w="709" w:type="dxa"/>
            <w:shd w:val="clear" w:color="auto" w:fill="auto"/>
            <w:noWrap/>
            <w:vAlign w:val="center"/>
            <w:hideMark/>
          </w:tcPr>
          <w:p w:rsidR="0033603A" w:rsidRPr="009071AF"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2</w:t>
            </w:r>
            <w:r>
              <w:rPr>
                <w:rFonts w:ascii="宋体" w:eastAsia="宋体" w:hAnsi="宋体" w:cs="宋体" w:hint="eastAsia"/>
                <w:color w:val="000000"/>
                <w:kern w:val="0"/>
                <w:sz w:val="20"/>
                <w:szCs w:val="21"/>
              </w:rPr>
              <w:t>8</w:t>
            </w:r>
          </w:p>
        </w:tc>
      </w:tr>
      <w:tr w:rsidR="0033603A" w:rsidRPr="00F51DB1" w:rsidTr="00F303D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75" w:type="dxa"/>
            <w:shd w:val="clear" w:color="auto" w:fill="auto"/>
            <w:hideMark/>
          </w:tcPr>
          <w:p w:rsidR="0033603A" w:rsidRPr="00F51DB1" w:rsidRDefault="0033603A" w:rsidP="00F303DA">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陕西</w:t>
            </w:r>
          </w:p>
        </w:tc>
        <w:tc>
          <w:tcPr>
            <w:tcW w:w="851" w:type="dxa"/>
            <w:shd w:val="clear" w:color="auto" w:fill="auto"/>
            <w:noWrap/>
            <w:vAlign w:val="center"/>
            <w:hideMark/>
          </w:tcPr>
          <w:p w:rsidR="0033603A" w:rsidRPr="009071AF"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3</w:t>
            </w:r>
          </w:p>
        </w:tc>
        <w:tc>
          <w:tcPr>
            <w:tcW w:w="992" w:type="dxa"/>
            <w:shd w:val="clear" w:color="auto" w:fill="auto"/>
            <w:noWrap/>
            <w:vAlign w:val="center"/>
            <w:hideMark/>
          </w:tcPr>
          <w:p w:rsidR="0033603A" w:rsidRPr="0033603A"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33603A">
              <w:rPr>
                <w:rFonts w:ascii="宋体" w:eastAsia="宋体" w:hAnsi="宋体" w:cs="宋体" w:hint="eastAsia"/>
                <w:color w:val="000000"/>
                <w:kern w:val="0"/>
                <w:sz w:val="20"/>
                <w:szCs w:val="21"/>
              </w:rPr>
              <w:t>497</w:t>
            </w:r>
          </w:p>
        </w:tc>
        <w:tc>
          <w:tcPr>
            <w:tcW w:w="709" w:type="dxa"/>
            <w:shd w:val="clear" w:color="auto" w:fill="auto"/>
            <w:noWrap/>
            <w:vAlign w:val="center"/>
            <w:hideMark/>
          </w:tcPr>
          <w:p w:rsidR="0033603A" w:rsidRPr="009071AF"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0</w:t>
            </w:r>
          </w:p>
        </w:tc>
        <w:tc>
          <w:tcPr>
            <w:tcW w:w="709" w:type="dxa"/>
            <w:shd w:val="clear" w:color="auto" w:fill="auto"/>
            <w:noWrap/>
            <w:vAlign w:val="center"/>
            <w:hideMark/>
          </w:tcPr>
          <w:p w:rsidR="0033603A" w:rsidRPr="009071AF"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3</w:t>
            </w:r>
          </w:p>
        </w:tc>
      </w:tr>
      <w:tr w:rsidR="0033603A" w:rsidRPr="00F51DB1" w:rsidTr="00F303DA">
        <w:trPr>
          <w:trHeight w:val="285"/>
        </w:trPr>
        <w:tc>
          <w:tcPr>
            <w:cnfStyle w:val="001000000000" w:firstRow="0" w:lastRow="0" w:firstColumn="1" w:lastColumn="0" w:oddVBand="0" w:evenVBand="0" w:oddHBand="0" w:evenHBand="0" w:firstRowFirstColumn="0" w:firstRowLastColumn="0" w:lastRowFirstColumn="0" w:lastRowLastColumn="0"/>
            <w:tcW w:w="675" w:type="dxa"/>
            <w:shd w:val="clear" w:color="auto" w:fill="auto"/>
            <w:hideMark/>
          </w:tcPr>
          <w:p w:rsidR="0033603A" w:rsidRPr="00F51DB1" w:rsidRDefault="0033603A" w:rsidP="00F303DA">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云南</w:t>
            </w:r>
          </w:p>
        </w:tc>
        <w:tc>
          <w:tcPr>
            <w:tcW w:w="851" w:type="dxa"/>
            <w:shd w:val="clear" w:color="auto" w:fill="auto"/>
            <w:noWrap/>
            <w:vAlign w:val="center"/>
            <w:hideMark/>
          </w:tcPr>
          <w:p w:rsidR="0033603A" w:rsidRPr="009071AF"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12</w:t>
            </w:r>
          </w:p>
        </w:tc>
        <w:tc>
          <w:tcPr>
            <w:tcW w:w="992" w:type="dxa"/>
            <w:shd w:val="clear" w:color="auto" w:fill="auto"/>
            <w:noWrap/>
            <w:vAlign w:val="center"/>
            <w:hideMark/>
          </w:tcPr>
          <w:p w:rsidR="0033603A" w:rsidRPr="0033603A"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33603A">
              <w:rPr>
                <w:rFonts w:ascii="宋体" w:eastAsia="宋体" w:hAnsi="宋体" w:cs="宋体" w:hint="eastAsia"/>
                <w:color w:val="000000"/>
                <w:kern w:val="0"/>
                <w:sz w:val="20"/>
                <w:szCs w:val="21"/>
              </w:rPr>
              <w:t>488</w:t>
            </w:r>
          </w:p>
        </w:tc>
        <w:tc>
          <w:tcPr>
            <w:tcW w:w="709" w:type="dxa"/>
            <w:shd w:val="clear" w:color="auto" w:fill="auto"/>
            <w:noWrap/>
            <w:vAlign w:val="center"/>
            <w:hideMark/>
          </w:tcPr>
          <w:p w:rsidR="0033603A" w:rsidRPr="009071AF"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6</w:t>
            </w:r>
          </w:p>
        </w:tc>
        <w:tc>
          <w:tcPr>
            <w:tcW w:w="709" w:type="dxa"/>
            <w:shd w:val="clear" w:color="auto" w:fill="auto"/>
            <w:noWrap/>
            <w:vAlign w:val="center"/>
            <w:hideMark/>
          </w:tcPr>
          <w:p w:rsidR="0033603A" w:rsidRPr="009071AF" w:rsidRDefault="0033603A" w:rsidP="00F303DA">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7</w:t>
            </w:r>
          </w:p>
        </w:tc>
      </w:tr>
      <w:tr w:rsidR="00F303DA" w:rsidRPr="00F51DB1" w:rsidTr="00F303D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75" w:type="dxa"/>
            <w:tcBorders>
              <w:bottom w:val="double" w:sz="4" w:space="0" w:color="auto"/>
            </w:tcBorders>
            <w:shd w:val="clear" w:color="auto" w:fill="auto"/>
            <w:hideMark/>
          </w:tcPr>
          <w:p w:rsidR="0033603A" w:rsidRPr="00F51DB1" w:rsidRDefault="0033603A" w:rsidP="00F303DA">
            <w:pPr>
              <w:widowControl/>
              <w:jc w:val="center"/>
              <w:rPr>
                <w:rFonts w:ascii="宋体" w:eastAsia="宋体" w:hAnsi="宋体" w:cs="宋体"/>
                <w:b w:val="0"/>
                <w:color w:val="000000"/>
                <w:kern w:val="0"/>
                <w:sz w:val="20"/>
                <w:szCs w:val="21"/>
              </w:rPr>
            </w:pPr>
            <w:r w:rsidRPr="00F51DB1">
              <w:rPr>
                <w:rFonts w:ascii="宋体" w:eastAsia="宋体" w:hAnsi="宋体" w:cs="宋体" w:hint="eastAsia"/>
                <w:b w:val="0"/>
                <w:color w:val="000000"/>
                <w:kern w:val="0"/>
                <w:sz w:val="20"/>
                <w:szCs w:val="21"/>
              </w:rPr>
              <w:t>总体</w:t>
            </w:r>
          </w:p>
        </w:tc>
        <w:tc>
          <w:tcPr>
            <w:tcW w:w="851" w:type="dxa"/>
            <w:tcBorders>
              <w:bottom w:val="double" w:sz="4" w:space="0" w:color="auto"/>
            </w:tcBorders>
            <w:shd w:val="clear" w:color="auto" w:fill="auto"/>
            <w:noWrap/>
            <w:vAlign w:val="center"/>
            <w:hideMark/>
          </w:tcPr>
          <w:p w:rsidR="0033603A" w:rsidRPr="009071AF"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2</w:t>
            </w:r>
            <w:r>
              <w:rPr>
                <w:rFonts w:ascii="宋体" w:eastAsia="宋体" w:hAnsi="宋体" w:cs="宋体" w:hint="eastAsia"/>
                <w:color w:val="000000"/>
                <w:kern w:val="0"/>
                <w:sz w:val="20"/>
                <w:szCs w:val="21"/>
              </w:rPr>
              <w:t>89</w:t>
            </w:r>
          </w:p>
        </w:tc>
        <w:tc>
          <w:tcPr>
            <w:tcW w:w="992" w:type="dxa"/>
            <w:tcBorders>
              <w:bottom w:val="double" w:sz="4" w:space="0" w:color="auto"/>
            </w:tcBorders>
            <w:shd w:val="clear" w:color="auto" w:fill="auto"/>
            <w:noWrap/>
            <w:vAlign w:val="center"/>
            <w:hideMark/>
          </w:tcPr>
          <w:p w:rsidR="0033603A" w:rsidRPr="009071AF"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Pr>
                <w:rFonts w:ascii="宋体" w:eastAsia="宋体" w:hAnsi="宋体" w:cs="宋体" w:hint="eastAsia"/>
                <w:color w:val="000000"/>
                <w:kern w:val="0"/>
                <w:sz w:val="20"/>
                <w:szCs w:val="21"/>
              </w:rPr>
              <w:t>3213</w:t>
            </w:r>
          </w:p>
        </w:tc>
        <w:tc>
          <w:tcPr>
            <w:tcW w:w="709" w:type="dxa"/>
            <w:tcBorders>
              <w:bottom w:val="double" w:sz="4" w:space="0" w:color="auto"/>
            </w:tcBorders>
            <w:shd w:val="clear" w:color="auto" w:fill="auto"/>
            <w:noWrap/>
            <w:vAlign w:val="center"/>
            <w:hideMark/>
          </w:tcPr>
          <w:p w:rsidR="0033603A" w:rsidRPr="009071AF"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11</w:t>
            </w:r>
            <w:r w:rsidR="00F303DA">
              <w:rPr>
                <w:rFonts w:ascii="宋体" w:eastAsia="宋体" w:hAnsi="宋体" w:cs="宋体" w:hint="eastAsia"/>
                <w:color w:val="000000"/>
                <w:kern w:val="0"/>
                <w:sz w:val="20"/>
                <w:szCs w:val="21"/>
              </w:rPr>
              <w:t>6</w:t>
            </w:r>
          </w:p>
        </w:tc>
        <w:tc>
          <w:tcPr>
            <w:tcW w:w="709" w:type="dxa"/>
            <w:tcBorders>
              <w:bottom w:val="double" w:sz="4" w:space="0" w:color="auto"/>
            </w:tcBorders>
            <w:shd w:val="clear" w:color="auto" w:fill="auto"/>
            <w:noWrap/>
            <w:vAlign w:val="center"/>
            <w:hideMark/>
          </w:tcPr>
          <w:p w:rsidR="0033603A" w:rsidRPr="009071AF" w:rsidRDefault="0033603A" w:rsidP="00F303DA">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9071AF">
              <w:rPr>
                <w:rFonts w:ascii="宋体" w:eastAsia="宋体" w:hAnsi="宋体" w:cs="宋体" w:hint="eastAsia"/>
                <w:color w:val="000000"/>
                <w:kern w:val="0"/>
                <w:sz w:val="20"/>
                <w:szCs w:val="21"/>
              </w:rPr>
              <w:t>1</w:t>
            </w:r>
            <w:r w:rsidR="00F303DA">
              <w:rPr>
                <w:rFonts w:ascii="宋体" w:eastAsia="宋体" w:hAnsi="宋体" w:cs="宋体" w:hint="eastAsia"/>
                <w:color w:val="000000"/>
                <w:kern w:val="0"/>
                <w:sz w:val="20"/>
                <w:szCs w:val="21"/>
              </w:rPr>
              <w:t>79</w:t>
            </w:r>
          </w:p>
        </w:tc>
      </w:tr>
    </w:tbl>
    <w:p w:rsidR="004F0CA0" w:rsidRDefault="004F0CA0" w:rsidP="0033603A">
      <w:pPr>
        <w:ind w:firstLineChars="200" w:firstLine="420"/>
        <w:rPr>
          <w:kern w:val="0"/>
        </w:rPr>
      </w:pPr>
      <w:r>
        <w:rPr>
          <w:rFonts w:hint="eastAsia"/>
          <w:kern w:val="0"/>
        </w:rPr>
        <w:t>图</w:t>
      </w:r>
      <w:r>
        <w:rPr>
          <w:rFonts w:hint="eastAsia"/>
          <w:kern w:val="0"/>
        </w:rPr>
        <w:t>3</w:t>
      </w:r>
      <w:r>
        <w:rPr>
          <w:rFonts w:hint="eastAsia"/>
          <w:kern w:val="0"/>
        </w:rPr>
        <w:t>是</w:t>
      </w:r>
      <w:r>
        <w:rPr>
          <w:rFonts w:hint="eastAsia"/>
          <w:kern w:val="0"/>
        </w:rPr>
        <w:t>2001-2012</w:t>
      </w:r>
      <w:r>
        <w:rPr>
          <w:rFonts w:hint="eastAsia"/>
          <w:kern w:val="0"/>
        </w:rPr>
        <w:t>年每年参与林地流转的农户数目。从图上可以明显看出，在</w:t>
      </w:r>
      <w:r>
        <w:rPr>
          <w:rFonts w:hint="eastAsia"/>
          <w:kern w:val="0"/>
        </w:rPr>
        <w:t>2007</w:t>
      </w:r>
      <w:r>
        <w:rPr>
          <w:rFonts w:hint="eastAsia"/>
          <w:kern w:val="0"/>
        </w:rPr>
        <w:t>年</w:t>
      </w:r>
      <w:proofErr w:type="gramStart"/>
      <w:r>
        <w:rPr>
          <w:rFonts w:hint="eastAsia"/>
          <w:kern w:val="0"/>
        </w:rPr>
        <w:t>林改开始</w:t>
      </w:r>
      <w:proofErr w:type="gramEnd"/>
      <w:r>
        <w:rPr>
          <w:rFonts w:hint="eastAsia"/>
          <w:kern w:val="0"/>
        </w:rPr>
        <w:t>之前，参与流转的林地数量是极少少的，</w:t>
      </w:r>
      <w:r>
        <w:rPr>
          <w:rFonts w:hint="eastAsia"/>
          <w:kern w:val="0"/>
        </w:rPr>
        <w:t>2007-</w:t>
      </w:r>
      <w:proofErr w:type="gramStart"/>
      <w:r>
        <w:rPr>
          <w:rFonts w:hint="eastAsia"/>
          <w:kern w:val="0"/>
        </w:rPr>
        <w:t>2008</w:t>
      </w:r>
      <w:r>
        <w:rPr>
          <w:rFonts w:hint="eastAsia"/>
          <w:kern w:val="0"/>
        </w:rPr>
        <w:t>年林改的</w:t>
      </w:r>
      <w:proofErr w:type="gramEnd"/>
      <w:r>
        <w:rPr>
          <w:rFonts w:hint="eastAsia"/>
          <w:kern w:val="0"/>
        </w:rPr>
        <w:t>启动，参与</w:t>
      </w:r>
      <w:bookmarkStart w:id="0" w:name="_GoBack"/>
      <w:bookmarkEnd w:id="0"/>
      <w:r>
        <w:rPr>
          <w:rFonts w:hint="eastAsia"/>
          <w:kern w:val="0"/>
        </w:rPr>
        <w:t>林地流转的农户数量有了一次明显的提升，且在此后的年份迅速增长。尤其在</w:t>
      </w:r>
      <w:r>
        <w:rPr>
          <w:rFonts w:hint="eastAsia"/>
          <w:kern w:val="0"/>
        </w:rPr>
        <w:t>2012</w:t>
      </w:r>
      <w:r>
        <w:rPr>
          <w:rFonts w:hint="eastAsia"/>
          <w:kern w:val="0"/>
        </w:rPr>
        <w:t>年，参与林地流转的农户数量明显增多。</w:t>
      </w:r>
      <w:r w:rsidR="00706517">
        <w:rPr>
          <w:rFonts w:hint="eastAsia"/>
          <w:kern w:val="0"/>
        </w:rPr>
        <w:t>在</w:t>
      </w:r>
      <w:r w:rsidR="00706517">
        <w:rPr>
          <w:rFonts w:hint="eastAsia"/>
          <w:kern w:val="0"/>
        </w:rPr>
        <w:t>2009-2012</w:t>
      </w:r>
      <w:r w:rsidR="00706517">
        <w:rPr>
          <w:rFonts w:hint="eastAsia"/>
          <w:kern w:val="0"/>
        </w:rPr>
        <w:t>年，许多省份推出了林权流转补贴政策，流转数量增多可能与这一政策的实施有一定的相关性。</w:t>
      </w:r>
    </w:p>
    <w:p w:rsidR="007D37AE" w:rsidRPr="0031017A" w:rsidRDefault="007D37AE" w:rsidP="0031017A">
      <w:r>
        <w:rPr>
          <w:noProof/>
        </w:rPr>
        <w:drawing>
          <wp:inline distT="0" distB="0" distL="0" distR="0" wp14:anchorId="4394D008" wp14:editId="3EFD8E49">
            <wp:extent cx="2628900" cy="2085975"/>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F0CA0" w:rsidRPr="00091A68" w:rsidRDefault="004F0CA0" w:rsidP="004F0CA0">
      <w:pPr>
        <w:spacing w:after="240"/>
        <w:jc w:val="center"/>
        <w:rPr>
          <w:sz w:val="20"/>
        </w:rPr>
      </w:pPr>
      <w:r w:rsidRPr="00091A68">
        <w:rPr>
          <w:rFonts w:hint="eastAsia"/>
          <w:bCs/>
          <w:sz w:val="20"/>
        </w:rPr>
        <w:t>图</w:t>
      </w:r>
      <w:r>
        <w:rPr>
          <w:rFonts w:hint="eastAsia"/>
          <w:bCs/>
          <w:sz w:val="20"/>
        </w:rPr>
        <w:t>3</w:t>
      </w:r>
      <w:r w:rsidRPr="00091A68">
        <w:rPr>
          <w:rFonts w:hint="eastAsia"/>
          <w:bCs/>
          <w:sz w:val="20"/>
        </w:rPr>
        <w:t xml:space="preserve"> </w:t>
      </w:r>
      <w:r>
        <w:rPr>
          <w:rFonts w:hint="eastAsia"/>
          <w:bCs/>
          <w:sz w:val="20"/>
        </w:rPr>
        <w:t>分年份参与林地流转农户数量</w:t>
      </w:r>
    </w:p>
    <w:p w:rsidR="00821037" w:rsidRDefault="00315908" w:rsidP="00A84713">
      <w:pPr>
        <w:ind w:firstLineChars="200" w:firstLine="420"/>
      </w:pPr>
      <w:r>
        <w:rPr>
          <w:rFonts w:hint="eastAsia"/>
        </w:rPr>
        <w:t>在对</w:t>
      </w:r>
      <w:r w:rsidRPr="00A84713">
        <w:rPr>
          <w:rFonts w:hint="eastAsia"/>
          <w:kern w:val="0"/>
        </w:rPr>
        <w:t>参与</w:t>
      </w:r>
      <w:r>
        <w:rPr>
          <w:rFonts w:hint="eastAsia"/>
        </w:rPr>
        <w:t>林地流转的农户</w:t>
      </w:r>
      <w:r w:rsidR="00821037">
        <w:rPr>
          <w:rFonts w:hint="eastAsia"/>
        </w:rPr>
        <w:t>的地区分布进行分析时，发现林地流转在村县级别集中</w:t>
      </w:r>
      <w:r w:rsidR="00241502">
        <w:rPr>
          <w:rFonts w:hint="eastAsia"/>
        </w:rPr>
        <w:t>进行的</w:t>
      </w:r>
      <w:r w:rsidR="00821037">
        <w:rPr>
          <w:rFonts w:hint="eastAsia"/>
        </w:rPr>
        <w:t>现象是很明显的。如湖南省和吕村，绝大多数的农户都将林地出租给了企业；而甘肃省</w:t>
      </w:r>
      <w:r w:rsidR="00821037" w:rsidRPr="00821037">
        <w:rPr>
          <w:rFonts w:hint="eastAsia"/>
        </w:rPr>
        <w:t>清水</w:t>
      </w:r>
      <w:r w:rsidR="00821037">
        <w:rPr>
          <w:rFonts w:hint="eastAsia"/>
        </w:rPr>
        <w:t>县在</w:t>
      </w:r>
      <w:r w:rsidR="00821037">
        <w:rPr>
          <w:rFonts w:hint="eastAsia"/>
        </w:rPr>
        <w:t xml:space="preserve"> 2012</w:t>
      </w:r>
      <w:r w:rsidR="00821037">
        <w:rPr>
          <w:rFonts w:hint="eastAsia"/>
        </w:rPr>
        <w:t>年有大规模的农户转包林地给企业的现象。即使是散户进行林地转让时，也常呈现地区集聚现象。如</w:t>
      </w:r>
      <w:r w:rsidR="00821037" w:rsidRPr="00315908">
        <w:rPr>
          <w:rFonts w:hint="eastAsia"/>
        </w:rPr>
        <w:t>江西省黎川</w:t>
      </w:r>
      <w:r w:rsidR="00821037">
        <w:rPr>
          <w:rFonts w:hint="eastAsia"/>
        </w:rPr>
        <w:t>乡的林地流转现象比较普遍，但流转方式各不同；而辽宁省的</w:t>
      </w:r>
      <w:r w:rsidR="00821037" w:rsidRPr="00821037">
        <w:rPr>
          <w:rFonts w:hint="eastAsia"/>
        </w:rPr>
        <w:t>边哈达</w:t>
      </w:r>
      <w:r w:rsidR="00821037">
        <w:rPr>
          <w:rFonts w:hint="eastAsia"/>
        </w:rPr>
        <w:t>村，农户在不</w:t>
      </w:r>
      <w:r w:rsidR="00821037">
        <w:rPr>
          <w:rFonts w:hint="eastAsia"/>
        </w:rPr>
        <w:lastRenderedPageBreak/>
        <w:t>同的时间相继将承包林地租给了外村村民。我们可以假想，流转观念和规模林业发展状况可能是影响林农进行林地流转的重要因素。</w:t>
      </w:r>
    </w:p>
    <w:p w:rsidR="007F2562" w:rsidRPr="009D72CE" w:rsidRDefault="007F2562" w:rsidP="00083B55">
      <w:pPr>
        <w:pStyle w:val="2"/>
        <w:numPr>
          <w:ilvl w:val="1"/>
          <w:numId w:val="2"/>
        </w:numPr>
      </w:pPr>
      <w:r>
        <w:rPr>
          <w:rFonts w:hint="eastAsia"/>
        </w:rPr>
        <w:t>流转方式及对象</w:t>
      </w:r>
    </w:p>
    <w:p w:rsidR="007F2562" w:rsidRPr="00706517" w:rsidRDefault="00706517" w:rsidP="00706517">
      <w:pPr>
        <w:ind w:firstLineChars="200" w:firstLine="420"/>
      </w:pPr>
      <w:r>
        <w:rPr>
          <w:rFonts w:hint="eastAsia"/>
        </w:rPr>
        <w:t>图</w:t>
      </w:r>
      <w:r>
        <w:rPr>
          <w:rFonts w:hint="eastAsia"/>
        </w:rPr>
        <w:t>4</w:t>
      </w:r>
      <w:r>
        <w:rPr>
          <w:rFonts w:hint="eastAsia"/>
        </w:rPr>
        <w:t>给出了调查的</w:t>
      </w:r>
      <w:r>
        <w:rPr>
          <w:rFonts w:hint="eastAsia"/>
        </w:rPr>
        <w:t>7</w:t>
      </w:r>
      <w:r>
        <w:rPr>
          <w:rFonts w:hint="eastAsia"/>
        </w:rPr>
        <w:t>个省份各种流转方式所占比例。从图中可以看出，转包、转让、出租三种传统方式占了绝大多数比例，有极少部分的农户参与了入股的方式，而抵押和互换这种较为新颖的流转方式在统计数据中并没有出现。可见总体而言，林地流转还是处于非常传统的阶段，形式单一。</w:t>
      </w:r>
    </w:p>
    <w:p w:rsidR="009D72CE" w:rsidRDefault="00241502" w:rsidP="00D85AF9">
      <w:pPr>
        <w:jc w:val="center"/>
      </w:pPr>
      <w:r>
        <w:rPr>
          <w:noProof/>
        </w:rPr>
        <w:drawing>
          <wp:inline distT="0" distB="0" distL="0" distR="0" wp14:anchorId="20485605" wp14:editId="1218CCF2">
            <wp:extent cx="2343150" cy="234315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41502" w:rsidRDefault="00241502" w:rsidP="00241502">
      <w:pPr>
        <w:spacing w:after="240"/>
        <w:jc w:val="center"/>
        <w:rPr>
          <w:bCs/>
          <w:sz w:val="20"/>
        </w:rPr>
      </w:pPr>
      <w:r w:rsidRPr="00091A68">
        <w:rPr>
          <w:rFonts w:hint="eastAsia"/>
          <w:bCs/>
          <w:sz w:val="20"/>
        </w:rPr>
        <w:t>图</w:t>
      </w:r>
      <w:r>
        <w:rPr>
          <w:rFonts w:hint="eastAsia"/>
          <w:bCs/>
          <w:sz w:val="20"/>
        </w:rPr>
        <w:t>4</w:t>
      </w:r>
      <w:r w:rsidRPr="00091A68">
        <w:rPr>
          <w:rFonts w:hint="eastAsia"/>
          <w:bCs/>
          <w:sz w:val="20"/>
        </w:rPr>
        <w:t xml:space="preserve"> </w:t>
      </w:r>
      <w:r>
        <w:rPr>
          <w:rFonts w:hint="eastAsia"/>
          <w:bCs/>
          <w:sz w:val="20"/>
        </w:rPr>
        <w:t>各种流转方式所占比例</w:t>
      </w:r>
    </w:p>
    <w:p w:rsidR="009D72CE" w:rsidRDefault="009D72CE" w:rsidP="00241502">
      <w:pPr>
        <w:spacing w:after="240"/>
        <w:jc w:val="center"/>
        <w:rPr>
          <w:b/>
          <w:sz w:val="20"/>
        </w:rPr>
      </w:pPr>
      <w:r>
        <w:rPr>
          <w:noProof/>
        </w:rPr>
        <w:drawing>
          <wp:inline distT="0" distB="0" distL="0" distR="0" wp14:anchorId="5C7B0C32" wp14:editId="778FC16A">
            <wp:extent cx="2571750" cy="238125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85AF9" w:rsidRDefault="00D85AF9" w:rsidP="00D85AF9">
      <w:pPr>
        <w:spacing w:after="240"/>
        <w:jc w:val="center"/>
        <w:rPr>
          <w:bCs/>
          <w:sz w:val="20"/>
        </w:rPr>
      </w:pPr>
      <w:r w:rsidRPr="00091A68">
        <w:rPr>
          <w:rFonts w:hint="eastAsia"/>
          <w:bCs/>
          <w:sz w:val="20"/>
        </w:rPr>
        <w:t>图</w:t>
      </w:r>
      <w:r>
        <w:rPr>
          <w:rFonts w:hint="eastAsia"/>
          <w:bCs/>
          <w:sz w:val="20"/>
        </w:rPr>
        <w:t>5</w:t>
      </w:r>
      <w:r w:rsidRPr="00091A68">
        <w:rPr>
          <w:rFonts w:hint="eastAsia"/>
          <w:bCs/>
          <w:sz w:val="20"/>
        </w:rPr>
        <w:t xml:space="preserve"> </w:t>
      </w:r>
      <w:r>
        <w:rPr>
          <w:rFonts w:hint="eastAsia"/>
          <w:bCs/>
          <w:sz w:val="20"/>
        </w:rPr>
        <w:t>各种流出对象所占比例</w:t>
      </w:r>
    </w:p>
    <w:p w:rsidR="00D85AF9" w:rsidRDefault="00D85AF9" w:rsidP="00A84713">
      <w:pPr>
        <w:ind w:firstLineChars="200" w:firstLine="420"/>
      </w:pPr>
      <w:r>
        <w:rPr>
          <w:rFonts w:hint="eastAsia"/>
        </w:rPr>
        <w:t>从图</w:t>
      </w:r>
      <w:r>
        <w:rPr>
          <w:rFonts w:hint="eastAsia"/>
        </w:rPr>
        <w:t>5</w:t>
      </w:r>
      <w:r>
        <w:rPr>
          <w:rFonts w:hint="eastAsia"/>
        </w:rPr>
        <w:t>中流转对象的比例来看，村民和</w:t>
      </w:r>
      <w:r>
        <w:rPr>
          <w:rFonts w:hint="eastAsia"/>
        </w:rPr>
        <w:lastRenderedPageBreak/>
        <w:t>工商企业是流转的主要对象，合作社等一类的集体经营组织占比并不大。</w:t>
      </w:r>
    </w:p>
    <w:p w:rsidR="00D85AF9" w:rsidRPr="00D007F3" w:rsidRDefault="00D007F3" w:rsidP="00A84713">
      <w:pPr>
        <w:ind w:firstLineChars="200" w:firstLine="420"/>
      </w:pPr>
      <w:r>
        <w:rPr>
          <w:rFonts w:hint="eastAsia"/>
        </w:rPr>
        <w:t>流转方向中选择其他的农户集中在甘肃和福建两省，在对数据进行逐个分析时，发现选择其他的农户都是没有得到林权证的农户。如</w:t>
      </w:r>
      <w:r w:rsidR="00D85AF9" w:rsidRPr="00D007F3">
        <w:rPr>
          <w:rFonts w:hint="eastAsia"/>
        </w:rPr>
        <w:t>甘肃</w:t>
      </w:r>
      <w:r>
        <w:rPr>
          <w:rFonts w:hint="eastAsia"/>
        </w:rPr>
        <w:t>省</w:t>
      </w:r>
      <w:r w:rsidR="00D85AF9" w:rsidRPr="00D007F3">
        <w:rPr>
          <w:rFonts w:hint="eastAsia"/>
        </w:rPr>
        <w:t>永靖</w:t>
      </w:r>
      <w:r>
        <w:rPr>
          <w:rFonts w:hint="eastAsia"/>
        </w:rPr>
        <w:t>县，县内林地均为生态林，该县许多村民都将所属林地流转给村政府，比如</w:t>
      </w:r>
      <w:r w:rsidR="00D85AF9" w:rsidRPr="00D007F3">
        <w:rPr>
          <w:rFonts w:hint="eastAsia"/>
        </w:rPr>
        <w:t>尤</w:t>
      </w:r>
      <w:proofErr w:type="gramStart"/>
      <w:r w:rsidR="00D85AF9" w:rsidRPr="00D007F3">
        <w:rPr>
          <w:rFonts w:hint="eastAsia"/>
        </w:rPr>
        <w:t>塬</w:t>
      </w:r>
      <w:proofErr w:type="gramEnd"/>
      <w:r>
        <w:rPr>
          <w:rFonts w:hint="eastAsia"/>
        </w:rPr>
        <w:t>村，</w:t>
      </w:r>
      <w:r w:rsidR="00D85AF9" w:rsidRPr="00D007F3">
        <w:t>2011</w:t>
      </w:r>
      <w:r>
        <w:rPr>
          <w:rFonts w:hint="eastAsia"/>
        </w:rPr>
        <w:t>年</w:t>
      </w:r>
      <w:r w:rsidR="00D85AF9" w:rsidRPr="00D007F3">
        <w:rPr>
          <w:rFonts w:hint="eastAsia"/>
        </w:rPr>
        <w:t>全村</w:t>
      </w:r>
      <w:r>
        <w:rPr>
          <w:rFonts w:hint="eastAsia"/>
        </w:rPr>
        <w:t>都将林地转给了村小组</w:t>
      </w:r>
      <w:r w:rsidR="00D85AF9" w:rsidRPr="00D007F3">
        <w:rPr>
          <w:rFonts w:hint="eastAsia"/>
        </w:rPr>
        <w:t>进行绿化</w:t>
      </w:r>
      <w:r>
        <w:rPr>
          <w:rFonts w:hint="eastAsia"/>
        </w:rPr>
        <w:t>。而在前文的分析中我们知道，福建省林权证发放</w:t>
      </w:r>
      <w:r w:rsidR="00552635">
        <w:rPr>
          <w:rFonts w:hint="eastAsia"/>
        </w:rPr>
        <w:t>工作</w:t>
      </w:r>
      <w:r>
        <w:rPr>
          <w:rFonts w:hint="eastAsia"/>
        </w:rPr>
        <w:t>进行的很不彻底，也因此导致了许多农户林地流转给村镇的情况。</w:t>
      </w:r>
    </w:p>
    <w:p w:rsidR="009D72CE" w:rsidRDefault="009D72CE" w:rsidP="00083B55">
      <w:pPr>
        <w:pStyle w:val="2"/>
        <w:numPr>
          <w:ilvl w:val="1"/>
          <w:numId w:val="2"/>
        </w:numPr>
      </w:pPr>
      <w:r>
        <w:rPr>
          <w:rFonts w:hint="eastAsia"/>
        </w:rPr>
        <w:t>其他流转信息</w:t>
      </w:r>
    </w:p>
    <w:p w:rsidR="00D007F3" w:rsidRDefault="005A54C3" w:rsidP="00514E8C">
      <w:pPr>
        <w:ind w:firstLineChars="200" w:firstLine="420"/>
      </w:pPr>
      <w:r>
        <w:rPr>
          <w:rFonts w:hint="eastAsia"/>
        </w:rPr>
        <w:t>在这一部分分别分析了流转目的、流转期限和金额</w:t>
      </w:r>
      <w:r w:rsidR="00DD403D">
        <w:rPr>
          <w:rFonts w:hint="eastAsia"/>
        </w:rPr>
        <w:t>的</w:t>
      </w:r>
      <w:r>
        <w:rPr>
          <w:rFonts w:hint="eastAsia"/>
        </w:rPr>
        <w:t>情况。</w:t>
      </w:r>
    </w:p>
    <w:p w:rsidR="00143D98" w:rsidRPr="00143D98" w:rsidRDefault="00143D98" w:rsidP="007F2EFF">
      <w:pPr>
        <w:pStyle w:val="a6"/>
        <w:numPr>
          <w:ilvl w:val="0"/>
          <w:numId w:val="20"/>
        </w:numPr>
        <w:ind w:left="0" w:firstLineChars="71" w:firstLine="142"/>
        <w:jc w:val="center"/>
        <w:rPr>
          <w:bCs/>
          <w:sz w:val="20"/>
        </w:rPr>
      </w:pPr>
      <w:r>
        <w:rPr>
          <w:rFonts w:hint="eastAsia"/>
          <w:bCs/>
          <w:sz w:val="20"/>
        </w:rPr>
        <w:t>流转目的统计</w:t>
      </w:r>
    </w:p>
    <w:tbl>
      <w:tblPr>
        <w:tblStyle w:val="a5"/>
        <w:tblW w:w="4154" w:type="dxa"/>
        <w:tblInd w:w="108" w:type="dxa"/>
        <w:tblLook w:val="04A0" w:firstRow="1" w:lastRow="0" w:firstColumn="1" w:lastColumn="0" w:noHBand="0" w:noVBand="1"/>
      </w:tblPr>
      <w:tblGrid>
        <w:gridCol w:w="1041"/>
        <w:gridCol w:w="703"/>
        <w:gridCol w:w="992"/>
        <w:gridCol w:w="709"/>
        <w:gridCol w:w="709"/>
      </w:tblGrid>
      <w:tr w:rsidR="00143D98" w:rsidRPr="00143D98" w:rsidTr="005A54C3">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41" w:type="dxa"/>
            <w:tcBorders>
              <w:top w:val="double" w:sz="4" w:space="0" w:color="auto"/>
            </w:tcBorders>
            <w:shd w:val="clear" w:color="auto" w:fill="auto"/>
            <w:noWrap/>
            <w:hideMark/>
          </w:tcPr>
          <w:p w:rsidR="00143D98" w:rsidRDefault="00143D98" w:rsidP="00143D98">
            <w:pPr>
              <w:widowControl/>
              <w:jc w:val="center"/>
              <w:rPr>
                <w:rFonts w:ascii="宋体" w:eastAsia="宋体" w:hAnsi="宋体" w:cs="宋体"/>
                <w:b w:val="0"/>
                <w:color w:val="000000"/>
                <w:kern w:val="0"/>
                <w:sz w:val="20"/>
                <w:szCs w:val="21"/>
              </w:rPr>
            </w:pPr>
          </w:p>
          <w:p w:rsidR="00143D98" w:rsidRPr="00143D98" w:rsidRDefault="00143D98" w:rsidP="00143D98">
            <w:pPr>
              <w:widowControl/>
              <w:rPr>
                <w:rFonts w:ascii="宋体" w:eastAsia="宋体" w:hAnsi="宋体" w:cs="宋体"/>
                <w:b w:val="0"/>
                <w:color w:val="000000"/>
                <w:kern w:val="0"/>
                <w:sz w:val="20"/>
                <w:szCs w:val="21"/>
              </w:rPr>
            </w:pPr>
          </w:p>
        </w:tc>
        <w:tc>
          <w:tcPr>
            <w:tcW w:w="703" w:type="dxa"/>
            <w:tcBorders>
              <w:top w:val="double" w:sz="4" w:space="0" w:color="auto"/>
            </w:tcBorders>
            <w:shd w:val="clear" w:color="auto" w:fill="auto"/>
            <w:noWrap/>
            <w:hideMark/>
          </w:tcPr>
          <w:p w:rsidR="00143D98" w:rsidRPr="00143D98" w:rsidRDefault="00143D98" w:rsidP="00143D98">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143D98">
              <w:rPr>
                <w:rFonts w:ascii="宋体" w:eastAsia="宋体" w:hAnsi="宋体" w:cs="宋体" w:hint="eastAsia"/>
                <w:b w:val="0"/>
                <w:color w:val="000000"/>
                <w:kern w:val="0"/>
                <w:sz w:val="20"/>
                <w:szCs w:val="21"/>
              </w:rPr>
              <w:t>代管照看</w:t>
            </w:r>
          </w:p>
        </w:tc>
        <w:tc>
          <w:tcPr>
            <w:tcW w:w="992" w:type="dxa"/>
            <w:tcBorders>
              <w:top w:val="double" w:sz="4" w:space="0" w:color="auto"/>
            </w:tcBorders>
            <w:shd w:val="clear" w:color="auto" w:fill="auto"/>
            <w:noWrap/>
            <w:hideMark/>
          </w:tcPr>
          <w:p w:rsidR="00143D98" w:rsidRPr="00143D98" w:rsidRDefault="00143D98" w:rsidP="00143D98">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143D98">
              <w:rPr>
                <w:rFonts w:ascii="宋体" w:eastAsia="宋体" w:hAnsi="宋体" w:cs="宋体" w:hint="eastAsia"/>
                <w:b w:val="0"/>
                <w:color w:val="000000"/>
                <w:kern w:val="0"/>
                <w:sz w:val="20"/>
                <w:szCs w:val="21"/>
              </w:rPr>
              <w:t>扩大营林规模</w:t>
            </w:r>
          </w:p>
        </w:tc>
        <w:tc>
          <w:tcPr>
            <w:tcW w:w="709" w:type="dxa"/>
            <w:tcBorders>
              <w:top w:val="double" w:sz="4" w:space="0" w:color="auto"/>
            </w:tcBorders>
            <w:shd w:val="clear" w:color="auto" w:fill="auto"/>
            <w:noWrap/>
            <w:hideMark/>
          </w:tcPr>
          <w:p w:rsidR="00143D98" w:rsidRPr="00143D98" w:rsidRDefault="00143D98" w:rsidP="00143D98">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143D98">
              <w:rPr>
                <w:rFonts w:ascii="宋体" w:eastAsia="宋体" w:hAnsi="宋体" w:cs="宋体" w:hint="eastAsia"/>
                <w:b w:val="0"/>
                <w:color w:val="000000"/>
                <w:kern w:val="0"/>
                <w:sz w:val="20"/>
                <w:szCs w:val="21"/>
              </w:rPr>
              <w:t>增加收入</w:t>
            </w:r>
          </w:p>
        </w:tc>
        <w:tc>
          <w:tcPr>
            <w:tcW w:w="709" w:type="dxa"/>
            <w:tcBorders>
              <w:top w:val="double" w:sz="4" w:space="0" w:color="auto"/>
            </w:tcBorders>
            <w:shd w:val="clear" w:color="auto" w:fill="auto"/>
            <w:noWrap/>
            <w:hideMark/>
          </w:tcPr>
          <w:p w:rsidR="00143D98" w:rsidRPr="00143D98" w:rsidRDefault="00143D98" w:rsidP="00143D98">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0"/>
                <w:szCs w:val="21"/>
              </w:rPr>
            </w:pPr>
            <w:r w:rsidRPr="00143D98">
              <w:rPr>
                <w:rFonts w:ascii="宋体" w:eastAsia="宋体" w:hAnsi="宋体" w:cs="宋体" w:hint="eastAsia"/>
                <w:b w:val="0"/>
                <w:color w:val="000000"/>
                <w:kern w:val="0"/>
                <w:sz w:val="20"/>
                <w:szCs w:val="21"/>
              </w:rPr>
              <w:t>其他</w:t>
            </w:r>
          </w:p>
        </w:tc>
      </w:tr>
      <w:tr w:rsidR="00143D98" w:rsidRPr="00143D98" w:rsidTr="00143D9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noWrap/>
            <w:hideMark/>
          </w:tcPr>
          <w:p w:rsidR="00143D98" w:rsidRPr="00143D98" w:rsidRDefault="00143D98" w:rsidP="00143D98">
            <w:pPr>
              <w:widowControl/>
              <w:jc w:val="center"/>
              <w:rPr>
                <w:rFonts w:ascii="宋体" w:eastAsia="宋体" w:hAnsi="宋体" w:cs="宋体"/>
                <w:b w:val="0"/>
                <w:color w:val="000000"/>
                <w:kern w:val="0"/>
                <w:sz w:val="20"/>
                <w:szCs w:val="21"/>
              </w:rPr>
            </w:pPr>
            <w:r w:rsidRPr="00143D98">
              <w:rPr>
                <w:rFonts w:ascii="宋体" w:eastAsia="宋体" w:hAnsi="宋体" w:cs="宋体" w:hint="eastAsia"/>
                <w:b w:val="0"/>
                <w:color w:val="000000"/>
                <w:kern w:val="0"/>
                <w:sz w:val="20"/>
                <w:szCs w:val="21"/>
              </w:rPr>
              <w:t>农户数目</w:t>
            </w:r>
          </w:p>
        </w:tc>
        <w:tc>
          <w:tcPr>
            <w:tcW w:w="703" w:type="dxa"/>
            <w:shd w:val="clear" w:color="auto" w:fill="auto"/>
            <w:noWrap/>
            <w:hideMark/>
          </w:tcPr>
          <w:p w:rsidR="00143D98" w:rsidRPr="00143D98" w:rsidRDefault="00143D98" w:rsidP="00143D98">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143D98">
              <w:rPr>
                <w:rFonts w:ascii="宋体" w:eastAsia="宋体" w:hAnsi="宋体" w:cs="宋体" w:hint="eastAsia"/>
                <w:color w:val="000000"/>
                <w:kern w:val="0"/>
                <w:sz w:val="20"/>
                <w:szCs w:val="21"/>
              </w:rPr>
              <w:t>33</w:t>
            </w:r>
          </w:p>
        </w:tc>
        <w:tc>
          <w:tcPr>
            <w:tcW w:w="992" w:type="dxa"/>
            <w:shd w:val="clear" w:color="auto" w:fill="auto"/>
            <w:noWrap/>
            <w:hideMark/>
          </w:tcPr>
          <w:p w:rsidR="00143D98" w:rsidRPr="00143D98" w:rsidRDefault="00143D98" w:rsidP="00143D98">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143D98">
              <w:rPr>
                <w:rFonts w:ascii="宋体" w:eastAsia="宋体" w:hAnsi="宋体" w:cs="宋体" w:hint="eastAsia"/>
                <w:color w:val="000000"/>
                <w:kern w:val="0"/>
                <w:sz w:val="20"/>
                <w:szCs w:val="21"/>
              </w:rPr>
              <w:t>63</w:t>
            </w:r>
          </w:p>
        </w:tc>
        <w:tc>
          <w:tcPr>
            <w:tcW w:w="709" w:type="dxa"/>
            <w:shd w:val="clear" w:color="auto" w:fill="auto"/>
            <w:noWrap/>
            <w:hideMark/>
          </w:tcPr>
          <w:p w:rsidR="00143D98" w:rsidRPr="00143D98" w:rsidRDefault="00143D98" w:rsidP="00143D98">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143D98">
              <w:rPr>
                <w:rFonts w:ascii="宋体" w:eastAsia="宋体" w:hAnsi="宋体" w:cs="宋体" w:hint="eastAsia"/>
                <w:color w:val="000000"/>
                <w:kern w:val="0"/>
                <w:sz w:val="20"/>
                <w:szCs w:val="21"/>
              </w:rPr>
              <w:t>124</w:t>
            </w:r>
          </w:p>
        </w:tc>
        <w:tc>
          <w:tcPr>
            <w:tcW w:w="709" w:type="dxa"/>
            <w:shd w:val="clear" w:color="auto" w:fill="auto"/>
            <w:noWrap/>
            <w:hideMark/>
          </w:tcPr>
          <w:p w:rsidR="00143D98" w:rsidRPr="00143D98" w:rsidRDefault="00143D98" w:rsidP="00143D98">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0"/>
                <w:szCs w:val="21"/>
              </w:rPr>
            </w:pPr>
            <w:r w:rsidRPr="00143D98">
              <w:rPr>
                <w:rFonts w:ascii="宋体" w:eastAsia="宋体" w:hAnsi="宋体" w:cs="宋体" w:hint="eastAsia"/>
                <w:color w:val="000000"/>
                <w:kern w:val="0"/>
                <w:sz w:val="20"/>
                <w:szCs w:val="21"/>
              </w:rPr>
              <w:t>85</w:t>
            </w:r>
          </w:p>
        </w:tc>
      </w:tr>
      <w:tr w:rsidR="00143D98" w:rsidRPr="00143D98" w:rsidTr="005A54C3">
        <w:trPr>
          <w:trHeight w:val="270"/>
        </w:trPr>
        <w:tc>
          <w:tcPr>
            <w:cnfStyle w:val="001000000000" w:firstRow="0" w:lastRow="0" w:firstColumn="1" w:lastColumn="0" w:oddVBand="0" w:evenVBand="0" w:oddHBand="0" w:evenHBand="0" w:firstRowFirstColumn="0" w:firstRowLastColumn="0" w:lastRowFirstColumn="0" w:lastRowLastColumn="0"/>
            <w:tcW w:w="1041" w:type="dxa"/>
            <w:tcBorders>
              <w:bottom w:val="double" w:sz="4" w:space="0" w:color="auto"/>
            </w:tcBorders>
            <w:shd w:val="clear" w:color="auto" w:fill="auto"/>
            <w:noWrap/>
            <w:hideMark/>
          </w:tcPr>
          <w:p w:rsidR="00143D98" w:rsidRPr="00143D98" w:rsidRDefault="00143D98" w:rsidP="00143D98">
            <w:pPr>
              <w:widowControl/>
              <w:jc w:val="center"/>
              <w:rPr>
                <w:rFonts w:ascii="宋体" w:eastAsia="宋体" w:hAnsi="宋体" w:cs="宋体"/>
                <w:b w:val="0"/>
                <w:color w:val="000000"/>
                <w:kern w:val="0"/>
                <w:sz w:val="20"/>
                <w:szCs w:val="21"/>
              </w:rPr>
            </w:pPr>
            <w:r w:rsidRPr="00143D98">
              <w:rPr>
                <w:rFonts w:ascii="宋体" w:eastAsia="宋体" w:hAnsi="宋体" w:cs="宋体" w:hint="eastAsia"/>
                <w:b w:val="0"/>
                <w:color w:val="000000"/>
                <w:kern w:val="0"/>
                <w:sz w:val="20"/>
                <w:szCs w:val="21"/>
              </w:rPr>
              <w:t>比例</w:t>
            </w:r>
          </w:p>
        </w:tc>
        <w:tc>
          <w:tcPr>
            <w:tcW w:w="703" w:type="dxa"/>
            <w:tcBorders>
              <w:bottom w:val="double" w:sz="4" w:space="0" w:color="auto"/>
            </w:tcBorders>
            <w:shd w:val="clear" w:color="auto" w:fill="auto"/>
            <w:noWrap/>
            <w:hideMark/>
          </w:tcPr>
          <w:p w:rsidR="00143D98" w:rsidRPr="00143D98" w:rsidRDefault="00143D98" w:rsidP="00143D98">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143D98">
              <w:rPr>
                <w:rFonts w:ascii="宋体" w:eastAsia="宋体" w:hAnsi="宋体" w:cs="宋体" w:hint="eastAsia"/>
                <w:color w:val="000000"/>
                <w:kern w:val="0"/>
                <w:sz w:val="20"/>
                <w:szCs w:val="21"/>
              </w:rPr>
              <w:t>15%</w:t>
            </w:r>
          </w:p>
        </w:tc>
        <w:tc>
          <w:tcPr>
            <w:tcW w:w="992" w:type="dxa"/>
            <w:tcBorders>
              <w:bottom w:val="double" w:sz="4" w:space="0" w:color="auto"/>
            </w:tcBorders>
            <w:shd w:val="clear" w:color="auto" w:fill="auto"/>
            <w:noWrap/>
            <w:hideMark/>
          </w:tcPr>
          <w:p w:rsidR="00143D98" w:rsidRPr="00143D98" w:rsidRDefault="00143D98" w:rsidP="00143D98">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143D98">
              <w:rPr>
                <w:rFonts w:ascii="宋体" w:eastAsia="宋体" w:hAnsi="宋体" w:cs="宋体" w:hint="eastAsia"/>
                <w:color w:val="000000"/>
                <w:kern w:val="0"/>
                <w:sz w:val="20"/>
                <w:szCs w:val="21"/>
              </w:rPr>
              <w:t>29%</w:t>
            </w:r>
          </w:p>
        </w:tc>
        <w:tc>
          <w:tcPr>
            <w:tcW w:w="709" w:type="dxa"/>
            <w:tcBorders>
              <w:bottom w:val="double" w:sz="4" w:space="0" w:color="auto"/>
            </w:tcBorders>
            <w:shd w:val="clear" w:color="auto" w:fill="auto"/>
            <w:noWrap/>
            <w:hideMark/>
          </w:tcPr>
          <w:p w:rsidR="00143D98" w:rsidRPr="00143D98" w:rsidRDefault="00143D98" w:rsidP="00143D98">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143D98">
              <w:rPr>
                <w:rFonts w:ascii="宋体" w:eastAsia="宋体" w:hAnsi="宋体" w:cs="宋体" w:hint="eastAsia"/>
                <w:color w:val="000000"/>
                <w:kern w:val="0"/>
                <w:sz w:val="20"/>
                <w:szCs w:val="21"/>
              </w:rPr>
              <w:t>56%</w:t>
            </w:r>
          </w:p>
        </w:tc>
        <w:tc>
          <w:tcPr>
            <w:tcW w:w="709" w:type="dxa"/>
            <w:tcBorders>
              <w:bottom w:val="double" w:sz="4" w:space="0" w:color="auto"/>
            </w:tcBorders>
            <w:shd w:val="clear" w:color="auto" w:fill="auto"/>
            <w:noWrap/>
            <w:hideMark/>
          </w:tcPr>
          <w:p w:rsidR="00143D98" w:rsidRPr="00143D98" w:rsidRDefault="00143D98" w:rsidP="00143D98">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0"/>
                <w:szCs w:val="21"/>
              </w:rPr>
            </w:pPr>
            <w:r w:rsidRPr="00143D98">
              <w:rPr>
                <w:rFonts w:ascii="宋体" w:eastAsia="宋体" w:hAnsi="宋体" w:cs="宋体" w:hint="eastAsia"/>
                <w:color w:val="000000"/>
                <w:kern w:val="0"/>
                <w:sz w:val="20"/>
                <w:szCs w:val="21"/>
              </w:rPr>
              <w:t>39%</w:t>
            </w:r>
          </w:p>
        </w:tc>
      </w:tr>
    </w:tbl>
    <w:p w:rsidR="00514E8C" w:rsidRDefault="005A54C3" w:rsidP="00514E8C">
      <w:pPr>
        <w:ind w:firstLineChars="200" w:firstLine="420"/>
      </w:pPr>
      <w:r>
        <w:rPr>
          <w:rFonts w:hint="eastAsia"/>
        </w:rPr>
        <w:t>表</w:t>
      </w:r>
      <w:r w:rsidR="007F2EFF">
        <w:rPr>
          <w:rFonts w:hint="eastAsia"/>
        </w:rPr>
        <w:t>8</w:t>
      </w:r>
      <w:r>
        <w:rPr>
          <w:rFonts w:hint="eastAsia"/>
        </w:rPr>
        <w:t>中可以看出，农户进行林地流转的最主要目的还是为了增加收入，为扩大营林规模的基本都为流入林地。流转中也有一部分是为他人代管照看这种经济效益不高的流转方式。</w:t>
      </w:r>
    </w:p>
    <w:p w:rsidR="00514E8C" w:rsidRDefault="00695E73" w:rsidP="00514E8C">
      <w:r>
        <w:rPr>
          <w:noProof/>
        </w:rPr>
        <w:drawing>
          <wp:inline distT="0" distB="0" distL="0" distR="0" wp14:anchorId="77FB780C" wp14:editId="056F1E84">
            <wp:extent cx="2657475" cy="26670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14E8C" w:rsidRPr="00514E8C" w:rsidRDefault="00514E8C" w:rsidP="00514E8C">
      <w:pPr>
        <w:spacing w:after="240"/>
        <w:jc w:val="center"/>
        <w:rPr>
          <w:bCs/>
          <w:sz w:val="20"/>
        </w:rPr>
      </w:pPr>
      <w:r w:rsidRPr="00514E8C">
        <w:rPr>
          <w:rFonts w:hint="eastAsia"/>
          <w:bCs/>
          <w:sz w:val="20"/>
        </w:rPr>
        <w:t>图</w:t>
      </w:r>
      <w:r>
        <w:rPr>
          <w:rFonts w:hint="eastAsia"/>
          <w:bCs/>
          <w:sz w:val="20"/>
        </w:rPr>
        <w:t>6</w:t>
      </w:r>
      <w:r w:rsidRPr="00514E8C">
        <w:rPr>
          <w:rFonts w:hint="eastAsia"/>
          <w:bCs/>
          <w:sz w:val="20"/>
        </w:rPr>
        <w:t xml:space="preserve"> </w:t>
      </w:r>
      <w:r w:rsidRPr="00514E8C">
        <w:rPr>
          <w:rFonts w:hint="eastAsia"/>
          <w:bCs/>
          <w:sz w:val="20"/>
        </w:rPr>
        <w:t>流转金额分布直方图</w:t>
      </w:r>
    </w:p>
    <w:p w:rsidR="002F6346" w:rsidRDefault="005A54C3" w:rsidP="00A84713">
      <w:pPr>
        <w:ind w:firstLineChars="200" w:firstLine="420"/>
      </w:pPr>
      <w:r>
        <w:rPr>
          <w:rFonts w:hint="eastAsia"/>
        </w:rPr>
        <w:t>从流转期限和金额看，流转期限平均为</w:t>
      </w:r>
      <w:r>
        <w:rPr>
          <w:rFonts w:hint="eastAsia"/>
        </w:rPr>
        <w:lastRenderedPageBreak/>
        <w:t>36</w:t>
      </w:r>
      <w:r>
        <w:rPr>
          <w:rFonts w:hint="eastAsia"/>
        </w:rPr>
        <w:t>年，</w:t>
      </w:r>
      <w:r w:rsidR="002F6346">
        <w:rPr>
          <w:rFonts w:hint="eastAsia"/>
        </w:rPr>
        <w:t>其中以</w:t>
      </w:r>
      <w:r w:rsidR="002F6346">
        <w:rPr>
          <w:rFonts w:hint="eastAsia"/>
        </w:rPr>
        <w:t>30</w:t>
      </w:r>
      <w:r w:rsidR="002F6346">
        <w:rPr>
          <w:rFonts w:hint="eastAsia"/>
        </w:rPr>
        <w:t>年最为常见，最大期限为</w:t>
      </w:r>
      <w:r w:rsidR="002F6346">
        <w:rPr>
          <w:rFonts w:hint="eastAsia"/>
        </w:rPr>
        <w:t>70</w:t>
      </w:r>
      <w:r w:rsidR="002F6346">
        <w:rPr>
          <w:rFonts w:hint="eastAsia"/>
        </w:rPr>
        <w:t>年，但也有个别林地只进行</w:t>
      </w:r>
      <w:r w:rsidR="002F6346">
        <w:rPr>
          <w:rFonts w:hint="eastAsia"/>
        </w:rPr>
        <w:t>3-5</w:t>
      </w:r>
      <w:r w:rsidR="002F6346">
        <w:rPr>
          <w:rFonts w:hint="eastAsia"/>
        </w:rPr>
        <w:t>年的流转。流转金额平均为</w:t>
      </w:r>
      <w:r w:rsidR="002F6346">
        <w:rPr>
          <w:rFonts w:hint="eastAsia"/>
        </w:rPr>
        <w:t>2288</w:t>
      </w:r>
      <w:r w:rsidR="002F6346">
        <w:rPr>
          <w:rFonts w:hint="eastAsia"/>
        </w:rPr>
        <w:t>元每亩，</w:t>
      </w:r>
      <w:r w:rsidR="00A566AC">
        <w:rPr>
          <w:rFonts w:hint="eastAsia"/>
        </w:rPr>
        <w:t>但</w:t>
      </w:r>
      <w:r w:rsidR="00695E73">
        <w:rPr>
          <w:rFonts w:hint="eastAsia"/>
        </w:rPr>
        <w:t>一方面，</w:t>
      </w:r>
      <w:r w:rsidR="00A566AC">
        <w:rPr>
          <w:rFonts w:hint="eastAsia"/>
        </w:rPr>
        <w:t>数据中有一些数目很大的异常值，</w:t>
      </w:r>
      <w:r w:rsidR="00695E73">
        <w:rPr>
          <w:rFonts w:hint="eastAsia"/>
        </w:rPr>
        <w:t>达到</w:t>
      </w:r>
      <w:r w:rsidR="00695E73">
        <w:rPr>
          <w:rFonts w:hint="eastAsia"/>
        </w:rPr>
        <w:t>1</w:t>
      </w:r>
      <w:r w:rsidR="00695E73">
        <w:rPr>
          <w:rFonts w:hint="eastAsia"/>
        </w:rPr>
        <w:t>万</w:t>
      </w:r>
      <w:r w:rsidR="001B128B">
        <w:rPr>
          <w:rFonts w:hint="eastAsia"/>
        </w:rPr>
        <w:t>甚至</w:t>
      </w:r>
      <w:r w:rsidR="00695E73">
        <w:rPr>
          <w:rFonts w:hint="eastAsia"/>
        </w:rPr>
        <w:t>10</w:t>
      </w:r>
      <w:r w:rsidR="00695E73">
        <w:rPr>
          <w:rFonts w:hint="eastAsia"/>
        </w:rPr>
        <w:t>万元</w:t>
      </w:r>
      <w:r w:rsidR="00695E73">
        <w:rPr>
          <w:rFonts w:hint="eastAsia"/>
        </w:rPr>
        <w:t>/</w:t>
      </w:r>
      <w:r w:rsidR="00695E73">
        <w:rPr>
          <w:rFonts w:hint="eastAsia"/>
        </w:rPr>
        <w:t>亩，另一方面，</w:t>
      </w:r>
      <w:r w:rsidR="00695E73">
        <w:rPr>
          <w:rFonts w:hint="eastAsia"/>
        </w:rPr>
        <w:t>293</w:t>
      </w:r>
      <w:r w:rsidR="00695E73">
        <w:rPr>
          <w:rFonts w:hint="eastAsia"/>
        </w:rPr>
        <w:t>户流转的数据中有</w:t>
      </w:r>
      <w:r w:rsidR="00695E73">
        <w:rPr>
          <w:rFonts w:hint="eastAsia"/>
        </w:rPr>
        <w:t>115</w:t>
      </w:r>
      <w:r w:rsidR="00695E73">
        <w:rPr>
          <w:rFonts w:hint="eastAsia"/>
        </w:rPr>
        <w:t>户的流转金额为</w:t>
      </w:r>
      <w:r w:rsidR="00695E73">
        <w:rPr>
          <w:rFonts w:hint="eastAsia"/>
        </w:rPr>
        <w:t>0</w:t>
      </w:r>
      <w:r w:rsidR="00695E73">
        <w:rPr>
          <w:rFonts w:hint="eastAsia"/>
        </w:rPr>
        <w:t>，</w:t>
      </w:r>
      <w:r w:rsidR="00A566AC">
        <w:rPr>
          <w:rFonts w:hint="eastAsia"/>
        </w:rPr>
        <w:t>导致平均值不能代表普遍的情况。</w:t>
      </w:r>
      <w:r w:rsidR="00514E8C">
        <w:rPr>
          <w:rFonts w:hint="eastAsia"/>
        </w:rPr>
        <w:t>如图</w:t>
      </w:r>
      <w:r w:rsidR="00514E8C">
        <w:rPr>
          <w:rFonts w:hint="eastAsia"/>
        </w:rPr>
        <w:t>6</w:t>
      </w:r>
      <w:r w:rsidR="00514E8C">
        <w:rPr>
          <w:rFonts w:hint="eastAsia"/>
        </w:rPr>
        <w:t>所示，</w:t>
      </w:r>
      <w:r w:rsidR="00A566AC">
        <w:rPr>
          <w:rFonts w:hint="eastAsia"/>
        </w:rPr>
        <w:t>流转金额</w:t>
      </w:r>
      <w:r w:rsidR="00552635">
        <w:rPr>
          <w:rFonts w:hint="eastAsia"/>
        </w:rPr>
        <w:t>具体情况</w:t>
      </w:r>
      <w:r w:rsidR="00A566AC">
        <w:rPr>
          <w:rFonts w:hint="eastAsia"/>
        </w:rPr>
        <w:t>参差不齐，</w:t>
      </w:r>
      <w:r w:rsidR="002C3B86">
        <w:rPr>
          <w:rFonts w:hint="eastAsia"/>
        </w:rPr>
        <w:t>一般流转金额集中于</w:t>
      </w:r>
      <w:r w:rsidR="002C3B86">
        <w:rPr>
          <w:rFonts w:hint="eastAsia"/>
        </w:rPr>
        <w:t>500</w:t>
      </w:r>
      <w:r w:rsidR="002C3B86">
        <w:rPr>
          <w:rFonts w:hint="eastAsia"/>
        </w:rPr>
        <w:t>元</w:t>
      </w:r>
      <w:r w:rsidR="002C3B86">
        <w:rPr>
          <w:rFonts w:hint="eastAsia"/>
        </w:rPr>
        <w:t>/</w:t>
      </w:r>
      <w:r w:rsidR="002C3B86">
        <w:rPr>
          <w:rFonts w:hint="eastAsia"/>
        </w:rPr>
        <w:t>亩以内，以</w:t>
      </w:r>
      <w:r w:rsidR="002C3B86">
        <w:rPr>
          <w:rFonts w:hint="eastAsia"/>
        </w:rPr>
        <w:t>100-300</w:t>
      </w:r>
      <w:r w:rsidR="002C3B86">
        <w:rPr>
          <w:rFonts w:hint="eastAsia"/>
        </w:rPr>
        <w:t>元居多，但在</w:t>
      </w:r>
      <w:r w:rsidR="002C3B86">
        <w:rPr>
          <w:rFonts w:hint="eastAsia"/>
        </w:rPr>
        <w:t>30</w:t>
      </w:r>
      <w:r w:rsidR="002C3B86">
        <w:rPr>
          <w:rFonts w:hint="eastAsia"/>
        </w:rPr>
        <w:t>元以下、</w:t>
      </w:r>
      <w:r w:rsidR="002C3B86">
        <w:rPr>
          <w:rFonts w:hint="eastAsia"/>
        </w:rPr>
        <w:t>1000-3000</w:t>
      </w:r>
      <w:r w:rsidR="002C3B86">
        <w:rPr>
          <w:rFonts w:hint="eastAsia"/>
        </w:rPr>
        <w:t>元的区间内也出现了较为集中的峰值。从流转类型分，</w:t>
      </w:r>
      <w:r w:rsidR="00A566AC">
        <w:rPr>
          <w:rFonts w:hint="eastAsia"/>
        </w:rPr>
        <w:t>对于公益林流转金额</w:t>
      </w:r>
      <w:r w:rsidR="002C3B86">
        <w:rPr>
          <w:rFonts w:hint="eastAsia"/>
        </w:rPr>
        <w:t>一般为</w:t>
      </w:r>
      <w:r w:rsidR="00A566AC">
        <w:rPr>
          <w:rFonts w:hint="eastAsia"/>
        </w:rPr>
        <w:t>几十块到一二百块不等，商品</w:t>
      </w:r>
      <w:proofErr w:type="gramStart"/>
      <w:r w:rsidR="00A566AC">
        <w:rPr>
          <w:rFonts w:hint="eastAsia"/>
        </w:rPr>
        <w:t>林</w:t>
      </w:r>
      <w:r w:rsidR="008D61CF">
        <w:rPr>
          <w:rFonts w:hint="eastAsia"/>
        </w:rPr>
        <w:t>一般</w:t>
      </w:r>
      <w:proofErr w:type="gramEnd"/>
      <w:r w:rsidR="008D61CF">
        <w:rPr>
          <w:rFonts w:hint="eastAsia"/>
        </w:rPr>
        <w:t>为</w:t>
      </w:r>
      <w:r w:rsidR="00552635">
        <w:rPr>
          <w:rFonts w:hint="eastAsia"/>
        </w:rPr>
        <w:t>一百到</w:t>
      </w:r>
      <w:r w:rsidR="00A566AC">
        <w:rPr>
          <w:rFonts w:hint="eastAsia"/>
        </w:rPr>
        <w:t>几百元，</w:t>
      </w:r>
      <w:r w:rsidR="008D61CF">
        <w:rPr>
          <w:rFonts w:hint="eastAsia"/>
        </w:rPr>
        <w:t>有少数能达到</w:t>
      </w:r>
      <w:r w:rsidR="00A566AC">
        <w:rPr>
          <w:rFonts w:hint="eastAsia"/>
        </w:rPr>
        <w:t>一二千元</w:t>
      </w:r>
      <w:r w:rsidR="002C3B86">
        <w:rPr>
          <w:rFonts w:hint="eastAsia"/>
        </w:rPr>
        <w:t>，</w:t>
      </w:r>
      <w:r w:rsidR="00A566AC">
        <w:rPr>
          <w:rFonts w:hint="eastAsia"/>
        </w:rPr>
        <w:t>并且对于被村小组收走的土地或者入股、加入合作社的土地，流转金额只有象征性的几块到十几块</w:t>
      </w:r>
      <w:r w:rsidR="00195A7C">
        <w:rPr>
          <w:rFonts w:hint="eastAsia"/>
        </w:rPr>
        <w:t>，</w:t>
      </w:r>
      <w:r w:rsidR="00A566AC">
        <w:rPr>
          <w:rFonts w:hint="eastAsia"/>
        </w:rPr>
        <w:t>或者</w:t>
      </w:r>
      <w:r w:rsidR="00195A7C">
        <w:rPr>
          <w:rFonts w:hint="eastAsia"/>
        </w:rPr>
        <w:t>直接</w:t>
      </w:r>
      <w:r w:rsidR="00A566AC">
        <w:rPr>
          <w:rFonts w:hint="eastAsia"/>
        </w:rPr>
        <w:t>为</w:t>
      </w:r>
      <w:r w:rsidR="00A566AC">
        <w:rPr>
          <w:rFonts w:hint="eastAsia"/>
        </w:rPr>
        <w:t>0</w:t>
      </w:r>
      <w:r w:rsidR="00A566AC">
        <w:rPr>
          <w:rFonts w:hint="eastAsia"/>
        </w:rPr>
        <w:t>。</w:t>
      </w:r>
      <w:r w:rsidR="008D61CF">
        <w:rPr>
          <w:rFonts w:hint="eastAsia"/>
        </w:rPr>
        <w:t>综合来看，林地流转并没有形成统一的价格市场，我们可以推断林地价值的评估系统是很不到位的，价格被低估的现象明显。</w:t>
      </w:r>
    </w:p>
    <w:p w:rsidR="0031017A" w:rsidRDefault="00DD403D" w:rsidP="00083B55">
      <w:pPr>
        <w:pStyle w:val="1"/>
        <w:numPr>
          <w:ilvl w:val="0"/>
          <w:numId w:val="2"/>
        </w:numPr>
      </w:pPr>
      <w:r>
        <w:rPr>
          <w:rFonts w:hint="eastAsia"/>
        </w:rPr>
        <w:t>总结</w:t>
      </w:r>
    </w:p>
    <w:p w:rsidR="00A84713" w:rsidRDefault="00A55C9A" w:rsidP="00A84713">
      <w:pPr>
        <w:ind w:firstLineChars="200" w:firstLine="420"/>
      </w:pPr>
      <w:r>
        <w:rPr>
          <w:rFonts w:hint="eastAsia"/>
        </w:rPr>
        <w:t>本文简单分析了以福建、甘肃、湖南、江西、辽宁、陕西和云南七省为代表的农村家庭承包林地的基本情况。从文章的分析可以</w:t>
      </w:r>
      <w:r w:rsidR="00A84713">
        <w:rPr>
          <w:rFonts w:hint="eastAsia"/>
        </w:rPr>
        <w:t>得到以下几个结论：</w:t>
      </w:r>
    </w:p>
    <w:p w:rsidR="00A84713" w:rsidRDefault="00A55C9A" w:rsidP="00A84713">
      <w:pPr>
        <w:pStyle w:val="a6"/>
        <w:numPr>
          <w:ilvl w:val="0"/>
          <w:numId w:val="17"/>
        </w:numPr>
        <w:ind w:left="0" w:firstLineChars="0" w:firstLine="0"/>
      </w:pPr>
      <w:r>
        <w:rPr>
          <w:rFonts w:hint="eastAsia"/>
        </w:rPr>
        <w:t>样本所在几个省林地包产到户的工作开始的是比较早的，分地工作进行的也比较完整，得到土地的农户由于林改政策导致的土地变动率不高。</w:t>
      </w:r>
    </w:p>
    <w:p w:rsidR="00A84713" w:rsidRDefault="00A55C9A" w:rsidP="00A84713">
      <w:pPr>
        <w:pStyle w:val="a6"/>
        <w:numPr>
          <w:ilvl w:val="0"/>
          <w:numId w:val="17"/>
        </w:numPr>
        <w:ind w:left="0" w:firstLineChars="0" w:firstLine="0"/>
      </w:pPr>
      <w:r>
        <w:rPr>
          <w:rFonts w:hint="eastAsia"/>
        </w:rPr>
        <w:t>基本的林权证发放工作很不到位，没有林权证、有林权证却不发给农户的</w:t>
      </w:r>
      <w:r w:rsidR="00A84713">
        <w:rPr>
          <w:rFonts w:hint="eastAsia"/>
        </w:rPr>
        <w:t>情况较</w:t>
      </w:r>
      <w:r w:rsidR="008D61CF">
        <w:rPr>
          <w:rFonts w:hint="eastAsia"/>
        </w:rPr>
        <w:t>多，</w:t>
      </w:r>
      <w:r w:rsidR="00A84713">
        <w:rPr>
          <w:rFonts w:hint="eastAsia"/>
        </w:rPr>
        <w:t>存在</w:t>
      </w:r>
      <w:r w:rsidR="00A84713" w:rsidRPr="00A84713">
        <w:t>“</w:t>
      </w:r>
      <w:r w:rsidR="00A84713" w:rsidRPr="00A84713">
        <w:t>以股代改</w:t>
      </w:r>
      <w:r w:rsidR="00A84713" w:rsidRPr="00A84713">
        <w:t>”</w:t>
      </w:r>
      <w:r w:rsidR="00A84713" w:rsidRPr="00A84713">
        <w:t>、</w:t>
      </w:r>
      <w:r w:rsidR="00A84713" w:rsidRPr="00A84713">
        <w:t>“</w:t>
      </w:r>
      <w:r w:rsidR="00A84713" w:rsidRPr="00A84713">
        <w:t>以卖代改</w:t>
      </w:r>
      <w:r w:rsidR="00A84713" w:rsidRPr="00A84713">
        <w:t>”</w:t>
      </w:r>
      <w:r w:rsidR="00A84713" w:rsidRPr="00A84713">
        <w:t>的</w:t>
      </w:r>
      <w:r w:rsidR="00A84713" w:rsidRPr="00A84713">
        <w:rPr>
          <w:rFonts w:hint="eastAsia"/>
        </w:rPr>
        <w:t>现象</w:t>
      </w:r>
      <w:r w:rsidR="008D61CF">
        <w:rPr>
          <w:rFonts w:hint="eastAsia"/>
        </w:rPr>
        <w:t>，对下一步的林改工作推进造成很大障碍。</w:t>
      </w:r>
    </w:p>
    <w:p w:rsidR="0036462F" w:rsidRDefault="008D61CF" w:rsidP="00A84713">
      <w:pPr>
        <w:pStyle w:val="a6"/>
        <w:numPr>
          <w:ilvl w:val="0"/>
          <w:numId w:val="17"/>
        </w:numPr>
        <w:ind w:left="0" w:firstLineChars="0" w:firstLine="0"/>
      </w:pPr>
      <w:r>
        <w:rPr>
          <w:rFonts w:hint="eastAsia"/>
        </w:rPr>
        <w:t>农户对自己林地的经营意识还很封闭，林地流转比率很低，林地流转的方式传统，流转的对象和途径也比较单一，林地流转的价格被低估，综合来说，不管是林地供给方还是需求方都没有得到有效的匹配，流转市场还处在非常初期的阶段。</w:t>
      </w:r>
    </w:p>
    <w:p w:rsidR="00B13EDD" w:rsidRDefault="00B13EDD" w:rsidP="00A84713">
      <w:pPr>
        <w:ind w:firstLineChars="200" w:firstLine="420"/>
      </w:pPr>
      <w:r>
        <w:rPr>
          <w:rFonts w:hint="eastAsia"/>
        </w:rPr>
        <w:t>样本几个省份跨越我国三大林区和中原退耕林区，对我国的林地的整个情况有一定的代表性，我们从中也可窥一斑。总的来</w:t>
      </w:r>
      <w:r>
        <w:rPr>
          <w:rFonts w:hint="eastAsia"/>
        </w:rPr>
        <w:lastRenderedPageBreak/>
        <w:t>说，我国的林改的基本工作是做的比较全面的，但林改的覆盖率高，深度却不够，许多配套的改革措施进行的还不到位。在接下来的林改工作中，提出以下几个建议：</w:t>
      </w:r>
    </w:p>
    <w:p w:rsidR="008D61CF" w:rsidRDefault="00B13EDD" w:rsidP="00BA57C6">
      <w:pPr>
        <w:pStyle w:val="a6"/>
        <w:numPr>
          <w:ilvl w:val="0"/>
          <w:numId w:val="18"/>
        </w:numPr>
        <w:ind w:left="0" w:firstLineChars="0" w:firstLine="0"/>
      </w:pPr>
      <w:r>
        <w:rPr>
          <w:rFonts w:hint="eastAsia"/>
        </w:rPr>
        <w:t>加强林地的确权工作，要保证权利的准确性，加大政策执行力度，增强监管，建立权利保护机制，以保证农民对林地的基本权益，维护农民的</w:t>
      </w:r>
      <w:r w:rsidR="00CD1B0A">
        <w:rPr>
          <w:rFonts w:hint="eastAsia"/>
        </w:rPr>
        <w:t>利益。</w:t>
      </w:r>
    </w:p>
    <w:p w:rsidR="008D61CF" w:rsidRDefault="00CD1B0A" w:rsidP="00BA57C6">
      <w:pPr>
        <w:pStyle w:val="a6"/>
        <w:numPr>
          <w:ilvl w:val="0"/>
          <w:numId w:val="18"/>
        </w:numPr>
        <w:ind w:left="0" w:firstLineChars="0" w:firstLine="0"/>
      </w:pPr>
      <w:r>
        <w:rPr>
          <w:rFonts w:hint="eastAsia"/>
        </w:rPr>
        <w:t>促进林地流转的发展，一是要确保农民对土地的权益；二是要推动流转市场的发展，以减少搜索匹配成本，建立有效的林地价值评估体系，规范化流转程序。</w:t>
      </w:r>
    </w:p>
    <w:p w:rsidR="00504ED9" w:rsidRDefault="00CD1B0A" w:rsidP="00504ED9">
      <w:pPr>
        <w:pStyle w:val="a6"/>
        <w:numPr>
          <w:ilvl w:val="0"/>
          <w:numId w:val="18"/>
        </w:numPr>
        <w:ind w:left="0" w:firstLineChars="0" w:firstLine="0"/>
      </w:pPr>
      <w:r>
        <w:rPr>
          <w:rFonts w:hint="eastAsia"/>
        </w:rPr>
        <w:t>加大宣传和教育，改变农民观念，使农民能够以灵活的方式行使对自己林地权利，增加林地经营效率。</w:t>
      </w:r>
    </w:p>
    <w:sectPr w:rsidR="00504ED9" w:rsidSect="00E007E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430" w:rsidRDefault="00445430" w:rsidP="000B65F7">
      <w:r>
        <w:separator/>
      </w:r>
    </w:p>
  </w:endnote>
  <w:endnote w:type="continuationSeparator" w:id="0">
    <w:p w:rsidR="00445430" w:rsidRDefault="00445430" w:rsidP="000B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430" w:rsidRDefault="00445430" w:rsidP="000B65F7">
      <w:r>
        <w:separator/>
      </w:r>
    </w:p>
  </w:footnote>
  <w:footnote w:type="continuationSeparator" w:id="0">
    <w:p w:rsidR="00445430" w:rsidRDefault="00445430" w:rsidP="000B65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8A7"/>
    <w:multiLevelType w:val="hybridMultilevel"/>
    <w:tmpl w:val="B58AEF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D91A47"/>
    <w:multiLevelType w:val="hybridMultilevel"/>
    <w:tmpl w:val="40CE9032"/>
    <w:lvl w:ilvl="0" w:tplc="4ACCC404">
      <w:start w:val="1"/>
      <w:numFmt w:val="decimal"/>
      <w:lvlText w:val="表%1."/>
      <w:lvlJc w:val="center"/>
      <w:pPr>
        <w:ind w:left="3743" w:hanging="57"/>
      </w:pPr>
      <w:rPr>
        <w:rFonts w:hint="eastAsia"/>
      </w:r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2">
    <w:nsid w:val="27023F6D"/>
    <w:multiLevelType w:val="hybridMultilevel"/>
    <w:tmpl w:val="D4D808B6"/>
    <w:lvl w:ilvl="0" w:tplc="64AEDBAC">
      <w:start w:val="1"/>
      <w:numFmt w:val="decimal"/>
      <w:lvlText w:val="表%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C878BF"/>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3A96C13"/>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77C2FCD"/>
    <w:multiLevelType w:val="hybridMultilevel"/>
    <w:tmpl w:val="35D4604C"/>
    <w:lvl w:ilvl="0" w:tplc="E2FC9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4D509D"/>
    <w:multiLevelType w:val="hybridMultilevel"/>
    <w:tmpl w:val="22E63FA4"/>
    <w:lvl w:ilvl="0" w:tplc="53E86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486B33"/>
    <w:multiLevelType w:val="hybridMultilevel"/>
    <w:tmpl w:val="35D4604C"/>
    <w:lvl w:ilvl="0" w:tplc="E2FC9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CB37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8"/>
  </w:num>
  <w:num w:numId="4">
    <w:abstractNumId w:val="8"/>
  </w:num>
  <w:num w:numId="5">
    <w:abstractNumId w:val="4"/>
  </w:num>
  <w:num w:numId="6">
    <w:abstractNumId w:val="8"/>
  </w:num>
  <w:num w:numId="7">
    <w:abstractNumId w:val="8"/>
    <w:lvlOverride w:ilvl="0">
      <w:startOverride w:val="1"/>
    </w:lvlOverride>
  </w:num>
  <w:num w:numId="8">
    <w:abstractNumId w:val="8"/>
  </w:num>
  <w:num w:numId="9">
    <w:abstractNumId w:val="8"/>
  </w:num>
  <w:num w:numId="10">
    <w:abstractNumId w:val="4"/>
  </w:num>
  <w:num w:numId="11">
    <w:abstractNumId w:val="8"/>
  </w:num>
  <w:num w:numId="12">
    <w:abstractNumId w:val="8"/>
    <w:lvlOverride w:ilvl="0">
      <w:startOverride w:val="1"/>
    </w:lvlOverride>
  </w:num>
  <w:num w:numId="13">
    <w:abstractNumId w:val="8"/>
  </w:num>
  <w:num w:numId="14">
    <w:abstractNumId w:val="8"/>
  </w:num>
  <w:num w:numId="15">
    <w:abstractNumId w:val="4"/>
  </w:num>
  <w:num w:numId="16">
    <w:abstractNumId w:val="6"/>
  </w:num>
  <w:num w:numId="17">
    <w:abstractNumId w:val="7"/>
  </w:num>
  <w:num w:numId="18">
    <w:abstractNumId w:val="5"/>
  </w:num>
  <w:num w:numId="19">
    <w:abstractNumId w:val="3"/>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B14"/>
    <w:rsid w:val="00043785"/>
    <w:rsid w:val="0006774A"/>
    <w:rsid w:val="00083B55"/>
    <w:rsid w:val="00091A68"/>
    <w:rsid w:val="000B65F7"/>
    <w:rsid w:val="000C0AB2"/>
    <w:rsid w:val="000E0B42"/>
    <w:rsid w:val="000E3CED"/>
    <w:rsid w:val="00124051"/>
    <w:rsid w:val="00143D98"/>
    <w:rsid w:val="00195A7C"/>
    <w:rsid w:val="001B128B"/>
    <w:rsid w:val="00241502"/>
    <w:rsid w:val="00243FE8"/>
    <w:rsid w:val="0029207B"/>
    <w:rsid w:val="002A1BF9"/>
    <w:rsid w:val="002C3B86"/>
    <w:rsid w:val="002D5265"/>
    <w:rsid w:val="002F6346"/>
    <w:rsid w:val="0031017A"/>
    <w:rsid w:val="00315908"/>
    <w:rsid w:val="00316C5C"/>
    <w:rsid w:val="0033603A"/>
    <w:rsid w:val="0036462F"/>
    <w:rsid w:val="00387670"/>
    <w:rsid w:val="003960C9"/>
    <w:rsid w:val="003B2F6F"/>
    <w:rsid w:val="00411D83"/>
    <w:rsid w:val="00424A0E"/>
    <w:rsid w:val="00445430"/>
    <w:rsid w:val="00456C8D"/>
    <w:rsid w:val="00466EA8"/>
    <w:rsid w:val="004A293C"/>
    <w:rsid w:val="004F0CA0"/>
    <w:rsid w:val="00504ED9"/>
    <w:rsid w:val="00514E8C"/>
    <w:rsid w:val="00552635"/>
    <w:rsid w:val="005A54C3"/>
    <w:rsid w:val="005A6848"/>
    <w:rsid w:val="005F6BFA"/>
    <w:rsid w:val="00695E73"/>
    <w:rsid w:val="006D3FFE"/>
    <w:rsid w:val="00706517"/>
    <w:rsid w:val="0071306E"/>
    <w:rsid w:val="0072534E"/>
    <w:rsid w:val="007824A1"/>
    <w:rsid w:val="007D37AE"/>
    <w:rsid w:val="007F2562"/>
    <w:rsid w:val="007F2EFF"/>
    <w:rsid w:val="00821037"/>
    <w:rsid w:val="0086111A"/>
    <w:rsid w:val="008674B1"/>
    <w:rsid w:val="008D61CF"/>
    <w:rsid w:val="009071AF"/>
    <w:rsid w:val="00926DD6"/>
    <w:rsid w:val="00976FC6"/>
    <w:rsid w:val="009874A6"/>
    <w:rsid w:val="009D72CE"/>
    <w:rsid w:val="00A55C9A"/>
    <w:rsid w:val="00A566AC"/>
    <w:rsid w:val="00A7265A"/>
    <w:rsid w:val="00A84713"/>
    <w:rsid w:val="00AD549F"/>
    <w:rsid w:val="00B07086"/>
    <w:rsid w:val="00B13EDD"/>
    <w:rsid w:val="00B302C0"/>
    <w:rsid w:val="00B44B14"/>
    <w:rsid w:val="00B502CE"/>
    <w:rsid w:val="00B83E5B"/>
    <w:rsid w:val="00BA57C6"/>
    <w:rsid w:val="00BA5E72"/>
    <w:rsid w:val="00BA764E"/>
    <w:rsid w:val="00C00F9E"/>
    <w:rsid w:val="00C76D00"/>
    <w:rsid w:val="00CD1B0A"/>
    <w:rsid w:val="00CF58CA"/>
    <w:rsid w:val="00D007F3"/>
    <w:rsid w:val="00D10404"/>
    <w:rsid w:val="00D576F9"/>
    <w:rsid w:val="00D843A7"/>
    <w:rsid w:val="00D85AF9"/>
    <w:rsid w:val="00DD403D"/>
    <w:rsid w:val="00E007ED"/>
    <w:rsid w:val="00E02727"/>
    <w:rsid w:val="00E5141F"/>
    <w:rsid w:val="00E7469D"/>
    <w:rsid w:val="00E962FE"/>
    <w:rsid w:val="00EB1C98"/>
    <w:rsid w:val="00EB7B29"/>
    <w:rsid w:val="00EC222D"/>
    <w:rsid w:val="00EC7FE9"/>
    <w:rsid w:val="00F0180F"/>
    <w:rsid w:val="00F303DA"/>
    <w:rsid w:val="00F51DB1"/>
    <w:rsid w:val="00F5496B"/>
    <w:rsid w:val="00F55DE8"/>
    <w:rsid w:val="00F65B55"/>
    <w:rsid w:val="00FD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C7FE9"/>
    <w:pPr>
      <w:keepNext/>
      <w:keepLines/>
      <w:spacing w:before="340" w:after="330" w:line="578" w:lineRule="auto"/>
      <w:outlineLvl w:val="0"/>
    </w:pPr>
    <w:rPr>
      <w:b/>
      <w:bCs/>
      <w:kern w:val="44"/>
      <w:sz w:val="24"/>
      <w:szCs w:val="24"/>
    </w:rPr>
  </w:style>
  <w:style w:type="paragraph" w:styleId="2">
    <w:name w:val="heading 2"/>
    <w:basedOn w:val="a"/>
    <w:next w:val="a"/>
    <w:link w:val="2Char"/>
    <w:uiPriority w:val="9"/>
    <w:unhideWhenUsed/>
    <w:qFormat/>
    <w:rsid w:val="00EC7FE9"/>
    <w:pPr>
      <w:keepNext/>
      <w:keepLines/>
      <w:spacing w:before="260" w:after="260" w:line="416" w:lineRule="auto"/>
      <w:outlineLvl w:val="1"/>
    </w:pPr>
    <w:rPr>
      <w:rFonts w:asciiTheme="majorHAnsi" w:eastAsiaTheme="majorEastAsia" w:hAnsiTheme="majorHAnsi" w:cstheme="majorBidi"/>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50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502CE"/>
    <w:rPr>
      <w:sz w:val="18"/>
      <w:szCs w:val="18"/>
    </w:rPr>
  </w:style>
  <w:style w:type="character" w:customStyle="1" w:styleId="Char">
    <w:name w:val="批注框文本 Char"/>
    <w:basedOn w:val="a0"/>
    <w:link w:val="a4"/>
    <w:uiPriority w:val="99"/>
    <w:semiHidden/>
    <w:rsid w:val="00B502CE"/>
    <w:rPr>
      <w:sz w:val="18"/>
      <w:szCs w:val="18"/>
    </w:rPr>
  </w:style>
  <w:style w:type="character" w:customStyle="1" w:styleId="2Char">
    <w:name w:val="标题 2 Char"/>
    <w:basedOn w:val="a0"/>
    <w:link w:val="2"/>
    <w:uiPriority w:val="9"/>
    <w:rsid w:val="00EC7FE9"/>
    <w:rPr>
      <w:rFonts w:asciiTheme="majorHAnsi" w:eastAsiaTheme="majorEastAsia" w:hAnsiTheme="majorHAnsi" w:cstheme="majorBidi"/>
      <w:b/>
      <w:bCs/>
      <w:szCs w:val="21"/>
    </w:rPr>
  </w:style>
  <w:style w:type="character" w:customStyle="1" w:styleId="1Char">
    <w:name w:val="标题 1 Char"/>
    <w:basedOn w:val="a0"/>
    <w:link w:val="1"/>
    <w:uiPriority w:val="9"/>
    <w:rsid w:val="00EC7FE9"/>
    <w:rPr>
      <w:b/>
      <w:bCs/>
      <w:kern w:val="44"/>
      <w:sz w:val="24"/>
      <w:szCs w:val="24"/>
    </w:rPr>
  </w:style>
  <w:style w:type="table" w:styleId="20">
    <w:name w:val="Medium List 2"/>
    <w:basedOn w:val="a1"/>
    <w:uiPriority w:val="66"/>
    <w:rsid w:val="00C76D0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5">
    <w:name w:val="Light Shading"/>
    <w:basedOn w:val="a1"/>
    <w:uiPriority w:val="60"/>
    <w:rsid w:val="00C76D0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6">
    <w:name w:val="List Paragraph"/>
    <w:basedOn w:val="a"/>
    <w:uiPriority w:val="34"/>
    <w:qFormat/>
    <w:rsid w:val="00CD1B0A"/>
    <w:pPr>
      <w:ind w:firstLineChars="200" w:firstLine="420"/>
    </w:pPr>
  </w:style>
  <w:style w:type="paragraph" w:styleId="a7">
    <w:name w:val="Title"/>
    <w:basedOn w:val="a"/>
    <w:next w:val="a"/>
    <w:link w:val="Char0"/>
    <w:uiPriority w:val="10"/>
    <w:qFormat/>
    <w:rsid w:val="00976FC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976FC6"/>
    <w:rPr>
      <w:rFonts w:asciiTheme="majorHAnsi" w:eastAsia="宋体" w:hAnsiTheme="majorHAnsi" w:cstheme="majorBidi"/>
      <w:b/>
      <w:bCs/>
      <w:sz w:val="32"/>
      <w:szCs w:val="32"/>
    </w:rPr>
  </w:style>
  <w:style w:type="paragraph" w:styleId="a8">
    <w:name w:val="Subtitle"/>
    <w:basedOn w:val="a"/>
    <w:next w:val="a"/>
    <w:link w:val="Char1"/>
    <w:uiPriority w:val="11"/>
    <w:qFormat/>
    <w:rsid w:val="00976FC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uiPriority w:val="11"/>
    <w:rsid w:val="00976FC6"/>
    <w:rPr>
      <w:rFonts w:asciiTheme="majorHAnsi" w:eastAsia="宋体" w:hAnsiTheme="majorHAnsi" w:cstheme="majorBidi"/>
      <w:b/>
      <w:bCs/>
      <w:kern w:val="28"/>
      <w:sz w:val="32"/>
      <w:szCs w:val="32"/>
    </w:rPr>
  </w:style>
  <w:style w:type="character" w:customStyle="1" w:styleId="apple-converted-space">
    <w:name w:val="apple-converted-space"/>
    <w:basedOn w:val="a0"/>
    <w:rsid w:val="0086111A"/>
  </w:style>
  <w:style w:type="character" w:customStyle="1" w:styleId="contenttitle">
    <w:name w:val="contenttitle"/>
    <w:basedOn w:val="a0"/>
    <w:rsid w:val="0029207B"/>
  </w:style>
  <w:style w:type="character" w:styleId="a9">
    <w:name w:val="Hyperlink"/>
    <w:basedOn w:val="a0"/>
    <w:uiPriority w:val="99"/>
    <w:semiHidden/>
    <w:unhideWhenUsed/>
    <w:rsid w:val="0029207B"/>
    <w:rPr>
      <w:color w:val="0000FF"/>
      <w:u w:val="single"/>
    </w:rPr>
  </w:style>
  <w:style w:type="paragraph" w:styleId="aa">
    <w:name w:val="header"/>
    <w:basedOn w:val="a"/>
    <w:link w:val="Char2"/>
    <w:uiPriority w:val="99"/>
    <w:unhideWhenUsed/>
    <w:rsid w:val="000B65F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0B65F7"/>
    <w:rPr>
      <w:sz w:val="18"/>
      <w:szCs w:val="18"/>
    </w:rPr>
  </w:style>
  <w:style w:type="paragraph" w:styleId="ab">
    <w:name w:val="footer"/>
    <w:basedOn w:val="a"/>
    <w:link w:val="Char3"/>
    <w:uiPriority w:val="99"/>
    <w:unhideWhenUsed/>
    <w:rsid w:val="000B65F7"/>
    <w:pPr>
      <w:tabs>
        <w:tab w:val="center" w:pos="4153"/>
        <w:tab w:val="right" w:pos="8306"/>
      </w:tabs>
      <w:snapToGrid w:val="0"/>
      <w:jc w:val="left"/>
    </w:pPr>
    <w:rPr>
      <w:sz w:val="18"/>
      <w:szCs w:val="18"/>
    </w:rPr>
  </w:style>
  <w:style w:type="character" w:customStyle="1" w:styleId="Char3">
    <w:name w:val="页脚 Char"/>
    <w:basedOn w:val="a0"/>
    <w:link w:val="ab"/>
    <w:uiPriority w:val="99"/>
    <w:rsid w:val="000B65F7"/>
    <w:rPr>
      <w:sz w:val="18"/>
      <w:szCs w:val="18"/>
    </w:rPr>
  </w:style>
  <w:style w:type="character" w:styleId="ac">
    <w:name w:val="annotation reference"/>
    <w:basedOn w:val="a0"/>
    <w:uiPriority w:val="99"/>
    <w:semiHidden/>
    <w:unhideWhenUsed/>
    <w:rsid w:val="000B65F7"/>
    <w:rPr>
      <w:sz w:val="21"/>
      <w:szCs w:val="21"/>
    </w:rPr>
  </w:style>
  <w:style w:type="paragraph" w:styleId="ad">
    <w:name w:val="annotation text"/>
    <w:basedOn w:val="a"/>
    <w:link w:val="Char4"/>
    <w:uiPriority w:val="99"/>
    <w:semiHidden/>
    <w:unhideWhenUsed/>
    <w:rsid w:val="000B65F7"/>
    <w:pPr>
      <w:jc w:val="left"/>
    </w:pPr>
  </w:style>
  <w:style w:type="character" w:customStyle="1" w:styleId="Char4">
    <w:name w:val="批注文字 Char"/>
    <w:basedOn w:val="a0"/>
    <w:link w:val="ad"/>
    <w:uiPriority w:val="99"/>
    <w:semiHidden/>
    <w:rsid w:val="000B65F7"/>
  </w:style>
  <w:style w:type="paragraph" w:styleId="ae">
    <w:name w:val="annotation subject"/>
    <w:basedOn w:val="ad"/>
    <w:next w:val="ad"/>
    <w:link w:val="Char5"/>
    <w:uiPriority w:val="99"/>
    <w:semiHidden/>
    <w:unhideWhenUsed/>
    <w:rsid w:val="000B65F7"/>
    <w:rPr>
      <w:b/>
      <w:bCs/>
    </w:rPr>
  </w:style>
  <w:style w:type="character" w:customStyle="1" w:styleId="Char5">
    <w:name w:val="批注主题 Char"/>
    <w:basedOn w:val="Char4"/>
    <w:link w:val="ae"/>
    <w:uiPriority w:val="99"/>
    <w:semiHidden/>
    <w:rsid w:val="000B65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C7FE9"/>
    <w:pPr>
      <w:keepNext/>
      <w:keepLines/>
      <w:spacing w:before="340" w:after="330" w:line="578" w:lineRule="auto"/>
      <w:outlineLvl w:val="0"/>
    </w:pPr>
    <w:rPr>
      <w:b/>
      <w:bCs/>
      <w:kern w:val="44"/>
      <w:sz w:val="24"/>
      <w:szCs w:val="24"/>
    </w:rPr>
  </w:style>
  <w:style w:type="paragraph" w:styleId="2">
    <w:name w:val="heading 2"/>
    <w:basedOn w:val="a"/>
    <w:next w:val="a"/>
    <w:link w:val="2Char"/>
    <w:uiPriority w:val="9"/>
    <w:unhideWhenUsed/>
    <w:qFormat/>
    <w:rsid w:val="00EC7FE9"/>
    <w:pPr>
      <w:keepNext/>
      <w:keepLines/>
      <w:spacing w:before="260" w:after="260" w:line="416" w:lineRule="auto"/>
      <w:outlineLvl w:val="1"/>
    </w:pPr>
    <w:rPr>
      <w:rFonts w:asciiTheme="majorHAnsi" w:eastAsiaTheme="majorEastAsia" w:hAnsiTheme="majorHAnsi" w:cstheme="majorBidi"/>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50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502CE"/>
    <w:rPr>
      <w:sz w:val="18"/>
      <w:szCs w:val="18"/>
    </w:rPr>
  </w:style>
  <w:style w:type="character" w:customStyle="1" w:styleId="Char">
    <w:name w:val="批注框文本 Char"/>
    <w:basedOn w:val="a0"/>
    <w:link w:val="a4"/>
    <w:uiPriority w:val="99"/>
    <w:semiHidden/>
    <w:rsid w:val="00B502CE"/>
    <w:rPr>
      <w:sz w:val="18"/>
      <w:szCs w:val="18"/>
    </w:rPr>
  </w:style>
  <w:style w:type="character" w:customStyle="1" w:styleId="2Char">
    <w:name w:val="标题 2 Char"/>
    <w:basedOn w:val="a0"/>
    <w:link w:val="2"/>
    <w:uiPriority w:val="9"/>
    <w:rsid w:val="00EC7FE9"/>
    <w:rPr>
      <w:rFonts w:asciiTheme="majorHAnsi" w:eastAsiaTheme="majorEastAsia" w:hAnsiTheme="majorHAnsi" w:cstheme="majorBidi"/>
      <w:b/>
      <w:bCs/>
      <w:szCs w:val="21"/>
    </w:rPr>
  </w:style>
  <w:style w:type="character" w:customStyle="1" w:styleId="1Char">
    <w:name w:val="标题 1 Char"/>
    <w:basedOn w:val="a0"/>
    <w:link w:val="1"/>
    <w:uiPriority w:val="9"/>
    <w:rsid w:val="00EC7FE9"/>
    <w:rPr>
      <w:b/>
      <w:bCs/>
      <w:kern w:val="44"/>
      <w:sz w:val="24"/>
      <w:szCs w:val="24"/>
    </w:rPr>
  </w:style>
  <w:style w:type="table" w:styleId="20">
    <w:name w:val="Medium List 2"/>
    <w:basedOn w:val="a1"/>
    <w:uiPriority w:val="66"/>
    <w:rsid w:val="00C76D0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5">
    <w:name w:val="Light Shading"/>
    <w:basedOn w:val="a1"/>
    <w:uiPriority w:val="60"/>
    <w:rsid w:val="00C76D0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6">
    <w:name w:val="List Paragraph"/>
    <w:basedOn w:val="a"/>
    <w:uiPriority w:val="34"/>
    <w:qFormat/>
    <w:rsid w:val="00CD1B0A"/>
    <w:pPr>
      <w:ind w:firstLineChars="200" w:firstLine="420"/>
    </w:pPr>
  </w:style>
  <w:style w:type="paragraph" w:styleId="a7">
    <w:name w:val="Title"/>
    <w:basedOn w:val="a"/>
    <w:next w:val="a"/>
    <w:link w:val="Char0"/>
    <w:uiPriority w:val="10"/>
    <w:qFormat/>
    <w:rsid w:val="00976FC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976FC6"/>
    <w:rPr>
      <w:rFonts w:asciiTheme="majorHAnsi" w:eastAsia="宋体" w:hAnsiTheme="majorHAnsi" w:cstheme="majorBidi"/>
      <w:b/>
      <w:bCs/>
      <w:sz w:val="32"/>
      <w:szCs w:val="32"/>
    </w:rPr>
  </w:style>
  <w:style w:type="paragraph" w:styleId="a8">
    <w:name w:val="Subtitle"/>
    <w:basedOn w:val="a"/>
    <w:next w:val="a"/>
    <w:link w:val="Char1"/>
    <w:uiPriority w:val="11"/>
    <w:qFormat/>
    <w:rsid w:val="00976FC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uiPriority w:val="11"/>
    <w:rsid w:val="00976FC6"/>
    <w:rPr>
      <w:rFonts w:asciiTheme="majorHAnsi" w:eastAsia="宋体" w:hAnsiTheme="majorHAnsi" w:cstheme="majorBidi"/>
      <w:b/>
      <w:bCs/>
      <w:kern w:val="28"/>
      <w:sz w:val="32"/>
      <w:szCs w:val="32"/>
    </w:rPr>
  </w:style>
  <w:style w:type="character" w:customStyle="1" w:styleId="apple-converted-space">
    <w:name w:val="apple-converted-space"/>
    <w:basedOn w:val="a0"/>
    <w:rsid w:val="0086111A"/>
  </w:style>
  <w:style w:type="character" w:customStyle="1" w:styleId="contenttitle">
    <w:name w:val="contenttitle"/>
    <w:basedOn w:val="a0"/>
    <w:rsid w:val="0029207B"/>
  </w:style>
  <w:style w:type="character" w:styleId="a9">
    <w:name w:val="Hyperlink"/>
    <w:basedOn w:val="a0"/>
    <w:uiPriority w:val="99"/>
    <w:semiHidden/>
    <w:unhideWhenUsed/>
    <w:rsid w:val="0029207B"/>
    <w:rPr>
      <w:color w:val="0000FF"/>
      <w:u w:val="single"/>
    </w:rPr>
  </w:style>
  <w:style w:type="paragraph" w:styleId="aa">
    <w:name w:val="header"/>
    <w:basedOn w:val="a"/>
    <w:link w:val="Char2"/>
    <w:uiPriority w:val="99"/>
    <w:unhideWhenUsed/>
    <w:rsid w:val="000B65F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0B65F7"/>
    <w:rPr>
      <w:sz w:val="18"/>
      <w:szCs w:val="18"/>
    </w:rPr>
  </w:style>
  <w:style w:type="paragraph" w:styleId="ab">
    <w:name w:val="footer"/>
    <w:basedOn w:val="a"/>
    <w:link w:val="Char3"/>
    <w:uiPriority w:val="99"/>
    <w:unhideWhenUsed/>
    <w:rsid w:val="000B65F7"/>
    <w:pPr>
      <w:tabs>
        <w:tab w:val="center" w:pos="4153"/>
        <w:tab w:val="right" w:pos="8306"/>
      </w:tabs>
      <w:snapToGrid w:val="0"/>
      <w:jc w:val="left"/>
    </w:pPr>
    <w:rPr>
      <w:sz w:val="18"/>
      <w:szCs w:val="18"/>
    </w:rPr>
  </w:style>
  <w:style w:type="character" w:customStyle="1" w:styleId="Char3">
    <w:name w:val="页脚 Char"/>
    <w:basedOn w:val="a0"/>
    <w:link w:val="ab"/>
    <w:uiPriority w:val="99"/>
    <w:rsid w:val="000B65F7"/>
    <w:rPr>
      <w:sz w:val="18"/>
      <w:szCs w:val="18"/>
    </w:rPr>
  </w:style>
  <w:style w:type="character" w:styleId="ac">
    <w:name w:val="annotation reference"/>
    <w:basedOn w:val="a0"/>
    <w:uiPriority w:val="99"/>
    <w:semiHidden/>
    <w:unhideWhenUsed/>
    <w:rsid w:val="000B65F7"/>
    <w:rPr>
      <w:sz w:val="21"/>
      <w:szCs w:val="21"/>
    </w:rPr>
  </w:style>
  <w:style w:type="paragraph" w:styleId="ad">
    <w:name w:val="annotation text"/>
    <w:basedOn w:val="a"/>
    <w:link w:val="Char4"/>
    <w:uiPriority w:val="99"/>
    <w:semiHidden/>
    <w:unhideWhenUsed/>
    <w:rsid w:val="000B65F7"/>
    <w:pPr>
      <w:jc w:val="left"/>
    </w:pPr>
  </w:style>
  <w:style w:type="character" w:customStyle="1" w:styleId="Char4">
    <w:name w:val="批注文字 Char"/>
    <w:basedOn w:val="a0"/>
    <w:link w:val="ad"/>
    <w:uiPriority w:val="99"/>
    <w:semiHidden/>
    <w:rsid w:val="000B65F7"/>
  </w:style>
  <w:style w:type="paragraph" w:styleId="ae">
    <w:name w:val="annotation subject"/>
    <w:basedOn w:val="ad"/>
    <w:next w:val="ad"/>
    <w:link w:val="Char5"/>
    <w:uiPriority w:val="99"/>
    <w:semiHidden/>
    <w:unhideWhenUsed/>
    <w:rsid w:val="000B65F7"/>
    <w:rPr>
      <w:b/>
      <w:bCs/>
    </w:rPr>
  </w:style>
  <w:style w:type="character" w:customStyle="1" w:styleId="Char5">
    <w:name w:val="批注主题 Char"/>
    <w:basedOn w:val="Char4"/>
    <w:link w:val="ae"/>
    <w:uiPriority w:val="99"/>
    <w:semiHidden/>
    <w:rsid w:val="000B65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3880">
      <w:bodyDiv w:val="1"/>
      <w:marLeft w:val="0"/>
      <w:marRight w:val="0"/>
      <w:marTop w:val="0"/>
      <w:marBottom w:val="0"/>
      <w:divBdr>
        <w:top w:val="none" w:sz="0" w:space="0" w:color="auto"/>
        <w:left w:val="none" w:sz="0" w:space="0" w:color="auto"/>
        <w:bottom w:val="none" w:sz="0" w:space="0" w:color="auto"/>
        <w:right w:val="none" w:sz="0" w:space="0" w:color="auto"/>
      </w:divBdr>
    </w:div>
    <w:div w:id="117535262">
      <w:bodyDiv w:val="1"/>
      <w:marLeft w:val="0"/>
      <w:marRight w:val="0"/>
      <w:marTop w:val="0"/>
      <w:marBottom w:val="0"/>
      <w:divBdr>
        <w:top w:val="none" w:sz="0" w:space="0" w:color="auto"/>
        <w:left w:val="none" w:sz="0" w:space="0" w:color="auto"/>
        <w:bottom w:val="none" w:sz="0" w:space="0" w:color="auto"/>
        <w:right w:val="none" w:sz="0" w:space="0" w:color="auto"/>
      </w:divBdr>
    </w:div>
    <w:div w:id="140656837">
      <w:bodyDiv w:val="1"/>
      <w:marLeft w:val="0"/>
      <w:marRight w:val="0"/>
      <w:marTop w:val="0"/>
      <w:marBottom w:val="0"/>
      <w:divBdr>
        <w:top w:val="none" w:sz="0" w:space="0" w:color="auto"/>
        <w:left w:val="none" w:sz="0" w:space="0" w:color="auto"/>
        <w:bottom w:val="none" w:sz="0" w:space="0" w:color="auto"/>
        <w:right w:val="none" w:sz="0" w:space="0" w:color="auto"/>
      </w:divBdr>
    </w:div>
    <w:div w:id="210506289">
      <w:bodyDiv w:val="1"/>
      <w:marLeft w:val="0"/>
      <w:marRight w:val="0"/>
      <w:marTop w:val="0"/>
      <w:marBottom w:val="0"/>
      <w:divBdr>
        <w:top w:val="none" w:sz="0" w:space="0" w:color="auto"/>
        <w:left w:val="none" w:sz="0" w:space="0" w:color="auto"/>
        <w:bottom w:val="none" w:sz="0" w:space="0" w:color="auto"/>
        <w:right w:val="none" w:sz="0" w:space="0" w:color="auto"/>
      </w:divBdr>
    </w:div>
    <w:div w:id="336464278">
      <w:bodyDiv w:val="1"/>
      <w:marLeft w:val="0"/>
      <w:marRight w:val="0"/>
      <w:marTop w:val="0"/>
      <w:marBottom w:val="0"/>
      <w:divBdr>
        <w:top w:val="none" w:sz="0" w:space="0" w:color="auto"/>
        <w:left w:val="none" w:sz="0" w:space="0" w:color="auto"/>
        <w:bottom w:val="none" w:sz="0" w:space="0" w:color="auto"/>
        <w:right w:val="none" w:sz="0" w:space="0" w:color="auto"/>
      </w:divBdr>
    </w:div>
    <w:div w:id="383869880">
      <w:bodyDiv w:val="1"/>
      <w:marLeft w:val="0"/>
      <w:marRight w:val="0"/>
      <w:marTop w:val="0"/>
      <w:marBottom w:val="0"/>
      <w:divBdr>
        <w:top w:val="none" w:sz="0" w:space="0" w:color="auto"/>
        <w:left w:val="none" w:sz="0" w:space="0" w:color="auto"/>
        <w:bottom w:val="none" w:sz="0" w:space="0" w:color="auto"/>
        <w:right w:val="none" w:sz="0" w:space="0" w:color="auto"/>
      </w:divBdr>
    </w:div>
    <w:div w:id="479662364">
      <w:bodyDiv w:val="1"/>
      <w:marLeft w:val="0"/>
      <w:marRight w:val="0"/>
      <w:marTop w:val="0"/>
      <w:marBottom w:val="0"/>
      <w:divBdr>
        <w:top w:val="none" w:sz="0" w:space="0" w:color="auto"/>
        <w:left w:val="none" w:sz="0" w:space="0" w:color="auto"/>
        <w:bottom w:val="none" w:sz="0" w:space="0" w:color="auto"/>
        <w:right w:val="none" w:sz="0" w:space="0" w:color="auto"/>
      </w:divBdr>
    </w:div>
    <w:div w:id="575288335">
      <w:bodyDiv w:val="1"/>
      <w:marLeft w:val="0"/>
      <w:marRight w:val="0"/>
      <w:marTop w:val="0"/>
      <w:marBottom w:val="0"/>
      <w:divBdr>
        <w:top w:val="none" w:sz="0" w:space="0" w:color="auto"/>
        <w:left w:val="none" w:sz="0" w:space="0" w:color="auto"/>
        <w:bottom w:val="none" w:sz="0" w:space="0" w:color="auto"/>
        <w:right w:val="none" w:sz="0" w:space="0" w:color="auto"/>
      </w:divBdr>
    </w:div>
    <w:div w:id="705642113">
      <w:bodyDiv w:val="1"/>
      <w:marLeft w:val="0"/>
      <w:marRight w:val="0"/>
      <w:marTop w:val="0"/>
      <w:marBottom w:val="0"/>
      <w:divBdr>
        <w:top w:val="none" w:sz="0" w:space="0" w:color="auto"/>
        <w:left w:val="none" w:sz="0" w:space="0" w:color="auto"/>
        <w:bottom w:val="none" w:sz="0" w:space="0" w:color="auto"/>
        <w:right w:val="none" w:sz="0" w:space="0" w:color="auto"/>
      </w:divBdr>
    </w:div>
    <w:div w:id="764300773">
      <w:bodyDiv w:val="1"/>
      <w:marLeft w:val="0"/>
      <w:marRight w:val="0"/>
      <w:marTop w:val="0"/>
      <w:marBottom w:val="0"/>
      <w:divBdr>
        <w:top w:val="none" w:sz="0" w:space="0" w:color="auto"/>
        <w:left w:val="none" w:sz="0" w:space="0" w:color="auto"/>
        <w:bottom w:val="none" w:sz="0" w:space="0" w:color="auto"/>
        <w:right w:val="none" w:sz="0" w:space="0" w:color="auto"/>
      </w:divBdr>
    </w:div>
    <w:div w:id="792988318">
      <w:bodyDiv w:val="1"/>
      <w:marLeft w:val="0"/>
      <w:marRight w:val="0"/>
      <w:marTop w:val="0"/>
      <w:marBottom w:val="0"/>
      <w:divBdr>
        <w:top w:val="none" w:sz="0" w:space="0" w:color="auto"/>
        <w:left w:val="none" w:sz="0" w:space="0" w:color="auto"/>
        <w:bottom w:val="none" w:sz="0" w:space="0" w:color="auto"/>
        <w:right w:val="none" w:sz="0" w:space="0" w:color="auto"/>
      </w:divBdr>
    </w:div>
    <w:div w:id="934634316">
      <w:bodyDiv w:val="1"/>
      <w:marLeft w:val="0"/>
      <w:marRight w:val="0"/>
      <w:marTop w:val="0"/>
      <w:marBottom w:val="0"/>
      <w:divBdr>
        <w:top w:val="none" w:sz="0" w:space="0" w:color="auto"/>
        <w:left w:val="none" w:sz="0" w:space="0" w:color="auto"/>
        <w:bottom w:val="none" w:sz="0" w:space="0" w:color="auto"/>
        <w:right w:val="none" w:sz="0" w:space="0" w:color="auto"/>
      </w:divBdr>
    </w:div>
    <w:div w:id="944386723">
      <w:bodyDiv w:val="1"/>
      <w:marLeft w:val="0"/>
      <w:marRight w:val="0"/>
      <w:marTop w:val="0"/>
      <w:marBottom w:val="0"/>
      <w:divBdr>
        <w:top w:val="none" w:sz="0" w:space="0" w:color="auto"/>
        <w:left w:val="none" w:sz="0" w:space="0" w:color="auto"/>
        <w:bottom w:val="none" w:sz="0" w:space="0" w:color="auto"/>
        <w:right w:val="none" w:sz="0" w:space="0" w:color="auto"/>
      </w:divBdr>
    </w:div>
    <w:div w:id="947277586">
      <w:bodyDiv w:val="1"/>
      <w:marLeft w:val="0"/>
      <w:marRight w:val="0"/>
      <w:marTop w:val="0"/>
      <w:marBottom w:val="0"/>
      <w:divBdr>
        <w:top w:val="none" w:sz="0" w:space="0" w:color="auto"/>
        <w:left w:val="none" w:sz="0" w:space="0" w:color="auto"/>
        <w:bottom w:val="none" w:sz="0" w:space="0" w:color="auto"/>
        <w:right w:val="none" w:sz="0" w:space="0" w:color="auto"/>
      </w:divBdr>
    </w:div>
    <w:div w:id="955871363">
      <w:bodyDiv w:val="1"/>
      <w:marLeft w:val="0"/>
      <w:marRight w:val="0"/>
      <w:marTop w:val="0"/>
      <w:marBottom w:val="0"/>
      <w:divBdr>
        <w:top w:val="none" w:sz="0" w:space="0" w:color="auto"/>
        <w:left w:val="none" w:sz="0" w:space="0" w:color="auto"/>
        <w:bottom w:val="none" w:sz="0" w:space="0" w:color="auto"/>
        <w:right w:val="none" w:sz="0" w:space="0" w:color="auto"/>
      </w:divBdr>
    </w:div>
    <w:div w:id="995378223">
      <w:bodyDiv w:val="1"/>
      <w:marLeft w:val="0"/>
      <w:marRight w:val="0"/>
      <w:marTop w:val="0"/>
      <w:marBottom w:val="0"/>
      <w:divBdr>
        <w:top w:val="none" w:sz="0" w:space="0" w:color="auto"/>
        <w:left w:val="none" w:sz="0" w:space="0" w:color="auto"/>
        <w:bottom w:val="none" w:sz="0" w:space="0" w:color="auto"/>
        <w:right w:val="none" w:sz="0" w:space="0" w:color="auto"/>
      </w:divBdr>
    </w:div>
    <w:div w:id="1049762477">
      <w:bodyDiv w:val="1"/>
      <w:marLeft w:val="0"/>
      <w:marRight w:val="0"/>
      <w:marTop w:val="0"/>
      <w:marBottom w:val="0"/>
      <w:divBdr>
        <w:top w:val="none" w:sz="0" w:space="0" w:color="auto"/>
        <w:left w:val="none" w:sz="0" w:space="0" w:color="auto"/>
        <w:bottom w:val="none" w:sz="0" w:space="0" w:color="auto"/>
        <w:right w:val="none" w:sz="0" w:space="0" w:color="auto"/>
      </w:divBdr>
    </w:div>
    <w:div w:id="1061247190">
      <w:bodyDiv w:val="1"/>
      <w:marLeft w:val="0"/>
      <w:marRight w:val="0"/>
      <w:marTop w:val="0"/>
      <w:marBottom w:val="0"/>
      <w:divBdr>
        <w:top w:val="none" w:sz="0" w:space="0" w:color="auto"/>
        <w:left w:val="none" w:sz="0" w:space="0" w:color="auto"/>
        <w:bottom w:val="none" w:sz="0" w:space="0" w:color="auto"/>
        <w:right w:val="none" w:sz="0" w:space="0" w:color="auto"/>
      </w:divBdr>
    </w:div>
    <w:div w:id="1262568312">
      <w:bodyDiv w:val="1"/>
      <w:marLeft w:val="0"/>
      <w:marRight w:val="0"/>
      <w:marTop w:val="0"/>
      <w:marBottom w:val="0"/>
      <w:divBdr>
        <w:top w:val="none" w:sz="0" w:space="0" w:color="auto"/>
        <w:left w:val="none" w:sz="0" w:space="0" w:color="auto"/>
        <w:bottom w:val="none" w:sz="0" w:space="0" w:color="auto"/>
        <w:right w:val="none" w:sz="0" w:space="0" w:color="auto"/>
      </w:divBdr>
    </w:div>
    <w:div w:id="1355375606">
      <w:bodyDiv w:val="1"/>
      <w:marLeft w:val="0"/>
      <w:marRight w:val="0"/>
      <w:marTop w:val="0"/>
      <w:marBottom w:val="0"/>
      <w:divBdr>
        <w:top w:val="none" w:sz="0" w:space="0" w:color="auto"/>
        <w:left w:val="none" w:sz="0" w:space="0" w:color="auto"/>
        <w:bottom w:val="none" w:sz="0" w:space="0" w:color="auto"/>
        <w:right w:val="none" w:sz="0" w:space="0" w:color="auto"/>
      </w:divBdr>
    </w:div>
    <w:div w:id="1436635517">
      <w:bodyDiv w:val="1"/>
      <w:marLeft w:val="0"/>
      <w:marRight w:val="0"/>
      <w:marTop w:val="0"/>
      <w:marBottom w:val="0"/>
      <w:divBdr>
        <w:top w:val="none" w:sz="0" w:space="0" w:color="auto"/>
        <w:left w:val="none" w:sz="0" w:space="0" w:color="auto"/>
        <w:bottom w:val="none" w:sz="0" w:space="0" w:color="auto"/>
        <w:right w:val="none" w:sz="0" w:space="0" w:color="auto"/>
      </w:divBdr>
    </w:div>
    <w:div w:id="1480264856">
      <w:bodyDiv w:val="1"/>
      <w:marLeft w:val="0"/>
      <w:marRight w:val="0"/>
      <w:marTop w:val="0"/>
      <w:marBottom w:val="0"/>
      <w:divBdr>
        <w:top w:val="none" w:sz="0" w:space="0" w:color="auto"/>
        <w:left w:val="none" w:sz="0" w:space="0" w:color="auto"/>
        <w:bottom w:val="none" w:sz="0" w:space="0" w:color="auto"/>
        <w:right w:val="none" w:sz="0" w:space="0" w:color="auto"/>
      </w:divBdr>
    </w:div>
    <w:div w:id="1565332740">
      <w:bodyDiv w:val="1"/>
      <w:marLeft w:val="0"/>
      <w:marRight w:val="0"/>
      <w:marTop w:val="0"/>
      <w:marBottom w:val="0"/>
      <w:divBdr>
        <w:top w:val="none" w:sz="0" w:space="0" w:color="auto"/>
        <w:left w:val="none" w:sz="0" w:space="0" w:color="auto"/>
        <w:bottom w:val="none" w:sz="0" w:space="0" w:color="auto"/>
        <w:right w:val="none" w:sz="0" w:space="0" w:color="auto"/>
      </w:divBdr>
    </w:div>
    <w:div w:id="1639458564">
      <w:bodyDiv w:val="1"/>
      <w:marLeft w:val="0"/>
      <w:marRight w:val="0"/>
      <w:marTop w:val="0"/>
      <w:marBottom w:val="0"/>
      <w:divBdr>
        <w:top w:val="none" w:sz="0" w:space="0" w:color="auto"/>
        <w:left w:val="none" w:sz="0" w:space="0" w:color="auto"/>
        <w:bottom w:val="none" w:sz="0" w:space="0" w:color="auto"/>
        <w:right w:val="none" w:sz="0" w:space="0" w:color="auto"/>
      </w:divBdr>
    </w:div>
    <w:div w:id="1723096104">
      <w:bodyDiv w:val="1"/>
      <w:marLeft w:val="0"/>
      <w:marRight w:val="0"/>
      <w:marTop w:val="0"/>
      <w:marBottom w:val="0"/>
      <w:divBdr>
        <w:top w:val="none" w:sz="0" w:space="0" w:color="auto"/>
        <w:left w:val="none" w:sz="0" w:space="0" w:color="auto"/>
        <w:bottom w:val="none" w:sz="0" w:space="0" w:color="auto"/>
        <w:right w:val="none" w:sz="0" w:space="0" w:color="auto"/>
      </w:divBdr>
    </w:div>
    <w:div w:id="1828017093">
      <w:bodyDiv w:val="1"/>
      <w:marLeft w:val="0"/>
      <w:marRight w:val="0"/>
      <w:marTop w:val="0"/>
      <w:marBottom w:val="0"/>
      <w:divBdr>
        <w:top w:val="none" w:sz="0" w:space="0" w:color="auto"/>
        <w:left w:val="none" w:sz="0" w:space="0" w:color="auto"/>
        <w:bottom w:val="none" w:sz="0" w:space="0" w:color="auto"/>
        <w:right w:val="none" w:sz="0" w:space="0" w:color="auto"/>
      </w:divBdr>
    </w:div>
    <w:div w:id="2063475407">
      <w:bodyDiv w:val="1"/>
      <w:marLeft w:val="0"/>
      <w:marRight w:val="0"/>
      <w:marTop w:val="0"/>
      <w:marBottom w:val="0"/>
      <w:divBdr>
        <w:top w:val="none" w:sz="0" w:space="0" w:color="auto"/>
        <w:left w:val="none" w:sz="0" w:space="0" w:color="auto"/>
        <w:bottom w:val="none" w:sz="0" w:space="0" w:color="auto"/>
        <w:right w:val="none" w:sz="0" w:space="0" w:color="auto"/>
      </w:divBdr>
    </w:div>
    <w:div w:id="2073578712">
      <w:bodyDiv w:val="1"/>
      <w:marLeft w:val="0"/>
      <w:marRight w:val="0"/>
      <w:marTop w:val="0"/>
      <w:marBottom w:val="0"/>
      <w:divBdr>
        <w:top w:val="none" w:sz="0" w:space="0" w:color="auto"/>
        <w:left w:val="none" w:sz="0" w:space="0" w:color="auto"/>
        <w:bottom w:val="none" w:sz="0" w:space="0" w:color="auto"/>
        <w:right w:val="none" w:sz="0" w:space="0" w:color="auto"/>
      </w:divBdr>
    </w:div>
    <w:div w:id="212476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ct.youdao.com/w/right/"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yperlink" Target="http://dict.youdao.com/w/forest/" TargetMode="External"/><Relationship Id="rId17" Type="http://schemas.openxmlformats.org/officeDocument/2006/relationships/hyperlink" Target="http://dict.youdao.com/w/certificat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ict.youdao.com/w/right/"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ct.youdao.com/w/certificat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ict.youdao.com/w/forest/" TargetMode="External"/><Relationship Id="rId23" Type="http://schemas.openxmlformats.org/officeDocument/2006/relationships/chart" Target="charts/chart6.xml"/><Relationship Id="rId10" Type="http://schemas.openxmlformats.org/officeDocument/2006/relationships/hyperlink" Target="http://dict.youdao.com/w/right/" TargetMode="External"/><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hyperlink" Target="http://dict.youdao.com/w/forest/" TargetMode="External"/><Relationship Id="rId14" Type="http://schemas.openxmlformats.org/officeDocument/2006/relationships/hyperlink" Target="http://dict.youdao.com/w/certificate/" TargetMode="Externa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6519;&#26435;&#27178;&#25130;&#38754;&#25968;&#25454;\3502&#25143;-2013&#24635;&#3246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6519;&#26435;&#27178;&#25130;&#38754;&#25968;&#25454;\3502&#25143;-2013&#24635;&#3246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26519;&#26435;&#27178;&#25130;&#38754;&#25968;&#25454;\3502&#25143;-2013&#24635;&#3246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esktop\&#26519;&#26435;&#27178;&#25130;&#38754;&#25968;&#25454;\3502&#25143;-2013&#24635;&#3246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Desktop\&#26519;&#26435;&#27178;&#25130;&#38754;&#25968;&#25454;\3502&#25143;-2013&#24635;&#3246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istrator\Desktop\&#26519;&#26435;&#27178;&#25130;&#38754;&#25968;&#25454;\3502&#25143;-2013&#24635;&#3246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Sheet2!$B$5</c:f>
              <c:strCache>
                <c:ptCount val="1"/>
                <c:pt idx="0">
                  <c:v>公益林（块）</c:v>
                </c:pt>
              </c:strCache>
            </c:strRef>
          </c:tx>
          <c:invertIfNegative val="0"/>
          <c:cat>
            <c:strRef>
              <c:f>Sheet2!$A$6:$A$12</c:f>
              <c:strCache>
                <c:ptCount val="7"/>
                <c:pt idx="0">
                  <c:v>福建</c:v>
                </c:pt>
                <c:pt idx="1">
                  <c:v>甘肃</c:v>
                </c:pt>
                <c:pt idx="2">
                  <c:v>湖南</c:v>
                </c:pt>
                <c:pt idx="3">
                  <c:v>江西</c:v>
                </c:pt>
                <c:pt idx="4">
                  <c:v>辽宁</c:v>
                </c:pt>
                <c:pt idx="5">
                  <c:v>陕西</c:v>
                </c:pt>
                <c:pt idx="6">
                  <c:v>云南</c:v>
                </c:pt>
              </c:strCache>
            </c:strRef>
          </c:cat>
          <c:val>
            <c:numRef>
              <c:f>Sheet2!$B$6:$B$12</c:f>
              <c:numCache>
                <c:formatCode>General</c:formatCode>
                <c:ptCount val="7"/>
                <c:pt idx="0">
                  <c:v>150</c:v>
                </c:pt>
                <c:pt idx="1">
                  <c:v>1336</c:v>
                </c:pt>
                <c:pt idx="2">
                  <c:v>881</c:v>
                </c:pt>
                <c:pt idx="3">
                  <c:v>319</c:v>
                </c:pt>
                <c:pt idx="4">
                  <c:v>513</c:v>
                </c:pt>
                <c:pt idx="5">
                  <c:v>1264</c:v>
                </c:pt>
                <c:pt idx="6">
                  <c:v>422</c:v>
                </c:pt>
              </c:numCache>
            </c:numRef>
          </c:val>
        </c:ser>
        <c:ser>
          <c:idx val="1"/>
          <c:order val="1"/>
          <c:tx>
            <c:strRef>
              <c:f>Sheet2!$C$5</c:f>
              <c:strCache>
                <c:ptCount val="1"/>
                <c:pt idx="0">
                  <c:v>商品林（块）</c:v>
                </c:pt>
              </c:strCache>
            </c:strRef>
          </c:tx>
          <c:invertIfNegative val="0"/>
          <c:cat>
            <c:strRef>
              <c:f>Sheet2!$A$6:$A$12</c:f>
              <c:strCache>
                <c:ptCount val="7"/>
                <c:pt idx="0">
                  <c:v>福建</c:v>
                </c:pt>
                <c:pt idx="1">
                  <c:v>甘肃</c:v>
                </c:pt>
                <c:pt idx="2">
                  <c:v>湖南</c:v>
                </c:pt>
                <c:pt idx="3">
                  <c:v>江西</c:v>
                </c:pt>
                <c:pt idx="4">
                  <c:v>辽宁</c:v>
                </c:pt>
                <c:pt idx="5">
                  <c:v>陕西</c:v>
                </c:pt>
                <c:pt idx="6">
                  <c:v>云南</c:v>
                </c:pt>
              </c:strCache>
            </c:strRef>
          </c:cat>
          <c:val>
            <c:numRef>
              <c:f>Sheet2!$C$6:$C$12</c:f>
              <c:numCache>
                <c:formatCode>General</c:formatCode>
                <c:ptCount val="7"/>
                <c:pt idx="0">
                  <c:v>1284</c:v>
                </c:pt>
                <c:pt idx="1">
                  <c:v>177</c:v>
                </c:pt>
                <c:pt idx="2">
                  <c:v>1199</c:v>
                </c:pt>
                <c:pt idx="3">
                  <c:v>1939</c:v>
                </c:pt>
                <c:pt idx="4">
                  <c:v>986</c:v>
                </c:pt>
                <c:pt idx="5">
                  <c:v>442</c:v>
                </c:pt>
                <c:pt idx="6">
                  <c:v>1370</c:v>
                </c:pt>
              </c:numCache>
            </c:numRef>
          </c:val>
        </c:ser>
        <c:dLbls>
          <c:showLegendKey val="0"/>
          <c:showVal val="0"/>
          <c:showCatName val="0"/>
          <c:showSerName val="0"/>
          <c:showPercent val="0"/>
          <c:showBubbleSize val="0"/>
        </c:dLbls>
        <c:gapWidth val="110"/>
        <c:axId val="186251904"/>
        <c:axId val="187396096"/>
      </c:barChart>
      <c:catAx>
        <c:axId val="186251904"/>
        <c:scaling>
          <c:orientation val="minMax"/>
        </c:scaling>
        <c:delete val="0"/>
        <c:axPos val="b"/>
        <c:majorTickMark val="none"/>
        <c:minorTickMark val="none"/>
        <c:tickLblPos val="nextTo"/>
        <c:crossAx val="187396096"/>
        <c:crosses val="autoZero"/>
        <c:auto val="1"/>
        <c:lblAlgn val="ctr"/>
        <c:lblOffset val="100"/>
        <c:noMultiLvlLbl val="0"/>
      </c:catAx>
      <c:valAx>
        <c:axId val="187396096"/>
        <c:scaling>
          <c:orientation val="minMax"/>
          <c:max val="2000"/>
        </c:scaling>
        <c:delete val="0"/>
        <c:axPos val="l"/>
        <c:majorGridlines/>
        <c:numFmt formatCode="General" sourceLinked="1"/>
        <c:majorTickMark val="none"/>
        <c:minorTickMark val="none"/>
        <c:tickLblPos val="nextTo"/>
        <c:crossAx val="186251904"/>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Sheet4!$E$18</c:f>
              <c:strCache>
                <c:ptCount val="1"/>
                <c:pt idx="0">
                  <c:v>有林权证</c:v>
                </c:pt>
              </c:strCache>
            </c:strRef>
          </c:tx>
          <c:invertIfNegative val="0"/>
          <c:cat>
            <c:strRef>
              <c:f>Sheet4!$F$17:$L$17</c:f>
              <c:strCache>
                <c:ptCount val="7"/>
                <c:pt idx="0">
                  <c:v>福建</c:v>
                </c:pt>
                <c:pt idx="1">
                  <c:v>甘肃</c:v>
                </c:pt>
                <c:pt idx="2">
                  <c:v>湖南</c:v>
                </c:pt>
                <c:pt idx="3">
                  <c:v>江西</c:v>
                </c:pt>
                <c:pt idx="4">
                  <c:v>辽宁</c:v>
                </c:pt>
                <c:pt idx="5">
                  <c:v>陕西</c:v>
                </c:pt>
                <c:pt idx="6">
                  <c:v>云南</c:v>
                </c:pt>
              </c:strCache>
            </c:strRef>
          </c:cat>
          <c:val>
            <c:numRef>
              <c:f>Sheet4!$F$18:$L$18</c:f>
              <c:numCache>
                <c:formatCode>General</c:formatCode>
                <c:ptCount val="7"/>
                <c:pt idx="0">
                  <c:v>925</c:v>
                </c:pt>
                <c:pt idx="1">
                  <c:v>1344</c:v>
                </c:pt>
                <c:pt idx="2">
                  <c:v>1982</c:v>
                </c:pt>
                <c:pt idx="3">
                  <c:v>2180</c:v>
                </c:pt>
                <c:pt idx="4">
                  <c:v>1189</c:v>
                </c:pt>
                <c:pt idx="5">
                  <c:v>1449</c:v>
                </c:pt>
                <c:pt idx="6">
                  <c:v>1720</c:v>
                </c:pt>
              </c:numCache>
            </c:numRef>
          </c:val>
        </c:ser>
        <c:ser>
          <c:idx val="1"/>
          <c:order val="1"/>
          <c:tx>
            <c:strRef>
              <c:f>Sheet4!$E$19</c:f>
              <c:strCache>
                <c:ptCount val="1"/>
                <c:pt idx="0">
                  <c:v>无林权证</c:v>
                </c:pt>
              </c:strCache>
            </c:strRef>
          </c:tx>
          <c:invertIfNegative val="0"/>
          <c:cat>
            <c:strRef>
              <c:f>Sheet4!$F$17:$L$17</c:f>
              <c:strCache>
                <c:ptCount val="7"/>
                <c:pt idx="0">
                  <c:v>福建</c:v>
                </c:pt>
                <c:pt idx="1">
                  <c:v>甘肃</c:v>
                </c:pt>
                <c:pt idx="2">
                  <c:v>湖南</c:v>
                </c:pt>
                <c:pt idx="3">
                  <c:v>江西</c:v>
                </c:pt>
                <c:pt idx="4">
                  <c:v>辽宁</c:v>
                </c:pt>
                <c:pt idx="5">
                  <c:v>陕西</c:v>
                </c:pt>
                <c:pt idx="6">
                  <c:v>云南</c:v>
                </c:pt>
              </c:strCache>
            </c:strRef>
          </c:cat>
          <c:val>
            <c:numRef>
              <c:f>Sheet4!$F$19:$L$19</c:f>
              <c:numCache>
                <c:formatCode>General</c:formatCode>
                <c:ptCount val="7"/>
                <c:pt idx="0">
                  <c:v>505</c:v>
                </c:pt>
                <c:pt idx="1">
                  <c:v>169</c:v>
                </c:pt>
                <c:pt idx="2">
                  <c:v>98</c:v>
                </c:pt>
                <c:pt idx="3">
                  <c:v>78</c:v>
                </c:pt>
                <c:pt idx="4">
                  <c:v>304</c:v>
                </c:pt>
                <c:pt idx="5">
                  <c:v>261</c:v>
                </c:pt>
                <c:pt idx="6">
                  <c:v>72</c:v>
                </c:pt>
              </c:numCache>
            </c:numRef>
          </c:val>
        </c:ser>
        <c:dLbls>
          <c:showLegendKey val="0"/>
          <c:showVal val="0"/>
          <c:showCatName val="0"/>
          <c:showSerName val="0"/>
          <c:showPercent val="0"/>
          <c:showBubbleSize val="0"/>
        </c:dLbls>
        <c:gapWidth val="75"/>
        <c:axId val="176130304"/>
        <c:axId val="176136192"/>
      </c:barChart>
      <c:catAx>
        <c:axId val="176130304"/>
        <c:scaling>
          <c:orientation val="minMax"/>
        </c:scaling>
        <c:delete val="0"/>
        <c:axPos val="b"/>
        <c:majorTickMark val="none"/>
        <c:minorTickMark val="none"/>
        <c:tickLblPos val="nextTo"/>
        <c:crossAx val="176136192"/>
        <c:crosses val="autoZero"/>
        <c:auto val="1"/>
        <c:lblAlgn val="ctr"/>
        <c:lblOffset val="100"/>
        <c:noMultiLvlLbl val="0"/>
      </c:catAx>
      <c:valAx>
        <c:axId val="176136192"/>
        <c:scaling>
          <c:orientation val="minMax"/>
        </c:scaling>
        <c:delete val="0"/>
        <c:axPos val="l"/>
        <c:majorGridlines/>
        <c:numFmt formatCode="General" sourceLinked="1"/>
        <c:majorTickMark val="none"/>
        <c:minorTickMark val="none"/>
        <c:tickLblPos val="nextTo"/>
        <c:crossAx val="176130304"/>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2864429180395"/>
          <c:y val="4.3242128980452786E-2"/>
          <c:w val="0.8676793060441913"/>
          <c:h val="0.60845024508922685"/>
        </c:manualLayout>
      </c:layout>
      <c:lineChart>
        <c:grouping val="standard"/>
        <c:varyColors val="0"/>
        <c:ser>
          <c:idx val="1"/>
          <c:order val="0"/>
          <c:tx>
            <c:v>流转时间</c:v>
          </c:tx>
          <c:marker>
            <c:symbol val="none"/>
          </c:marker>
          <c:cat>
            <c:numRef>
              <c:f>'3502户-2013'!$BIG$3562:$BIG$3573</c:f>
              <c:numCache>
                <c:formatCode>General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cat>
          <c:val>
            <c:numRef>
              <c:f>'3502户-2013'!$BIH$3562:$BIH$3573</c:f>
              <c:numCache>
                <c:formatCode>General</c:formatCode>
                <c:ptCount val="12"/>
                <c:pt idx="0">
                  <c:v>4</c:v>
                </c:pt>
                <c:pt idx="1">
                  <c:v>1</c:v>
                </c:pt>
                <c:pt idx="2">
                  <c:v>6</c:v>
                </c:pt>
                <c:pt idx="3">
                  <c:v>3</c:v>
                </c:pt>
                <c:pt idx="4">
                  <c:v>1</c:v>
                </c:pt>
                <c:pt idx="5">
                  <c:v>12</c:v>
                </c:pt>
                <c:pt idx="6">
                  <c:v>13</c:v>
                </c:pt>
                <c:pt idx="7">
                  <c:v>23</c:v>
                </c:pt>
                <c:pt idx="8">
                  <c:v>18</c:v>
                </c:pt>
                <c:pt idx="9">
                  <c:v>21</c:v>
                </c:pt>
                <c:pt idx="10">
                  <c:v>27</c:v>
                </c:pt>
                <c:pt idx="11">
                  <c:v>83</c:v>
                </c:pt>
              </c:numCache>
            </c:numRef>
          </c:val>
          <c:smooth val="0"/>
        </c:ser>
        <c:dLbls>
          <c:showLegendKey val="0"/>
          <c:showVal val="0"/>
          <c:showCatName val="0"/>
          <c:showSerName val="0"/>
          <c:showPercent val="0"/>
          <c:showBubbleSize val="0"/>
        </c:dLbls>
        <c:marker val="1"/>
        <c:smooth val="0"/>
        <c:axId val="176143360"/>
        <c:axId val="185869056"/>
      </c:lineChart>
      <c:catAx>
        <c:axId val="176143360"/>
        <c:scaling>
          <c:orientation val="minMax"/>
        </c:scaling>
        <c:delete val="0"/>
        <c:axPos val="b"/>
        <c:numFmt formatCode="General" sourceLinked="1"/>
        <c:majorTickMark val="none"/>
        <c:minorTickMark val="in"/>
        <c:tickLblPos val="nextTo"/>
        <c:crossAx val="185869056"/>
        <c:crosses val="autoZero"/>
        <c:auto val="1"/>
        <c:lblAlgn val="ctr"/>
        <c:lblOffset val="100"/>
        <c:noMultiLvlLbl val="0"/>
      </c:catAx>
      <c:valAx>
        <c:axId val="185869056"/>
        <c:scaling>
          <c:orientation val="minMax"/>
        </c:scaling>
        <c:delete val="0"/>
        <c:axPos val="l"/>
        <c:numFmt formatCode="General" sourceLinked="1"/>
        <c:majorTickMark val="in"/>
        <c:minorTickMark val="none"/>
        <c:tickLblPos val="nextTo"/>
        <c:crossAx val="176143360"/>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pieChart>
        <c:varyColors val="1"/>
        <c:ser>
          <c:idx val="0"/>
          <c:order val="0"/>
          <c:dLbls>
            <c:showLegendKey val="0"/>
            <c:showVal val="0"/>
            <c:showCatName val="1"/>
            <c:showSerName val="0"/>
            <c:showPercent val="1"/>
            <c:showBubbleSize val="0"/>
            <c:showLeaderLines val="1"/>
          </c:dLbls>
          <c:cat>
            <c:strRef>
              <c:f>Sheet8!$A$1:$G$1</c:f>
              <c:strCache>
                <c:ptCount val="7"/>
                <c:pt idx="0">
                  <c:v>抵押</c:v>
                </c:pt>
                <c:pt idx="1">
                  <c:v>转让</c:v>
                </c:pt>
                <c:pt idx="2">
                  <c:v>出租</c:v>
                </c:pt>
                <c:pt idx="3">
                  <c:v>转包</c:v>
                </c:pt>
                <c:pt idx="4">
                  <c:v>互换</c:v>
                </c:pt>
                <c:pt idx="5">
                  <c:v>入股</c:v>
                </c:pt>
                <c:pt idx="6">
                  <c:v>其他</c:v>
                </c:pt>
              </c:strCache>
            </c:strRef>
          </c:cat>
          <c:val>
            <c:numRef>
              <c:f>Sheet8!$A$2:$G$2</c:f>
              <c:numCache>
                <c:formatCode>General</c:formatCode>
                <c:ptCount val="7"/>
                <c:pt idx="0">
                  <c:v>0</c:v>
                </c:pt>
                <c:pt idx="1">
                  <c:v>85</c:v>
                </c:pt>
                <c:pt idx="2">
                  <c:v>76</c:v>
                </c:pt>
                <c:pt idx="3">
                  <c:v>92</c:v>
                </c:pt>
                <c:pt idx="4">
                  <c:v>0</c:v>
                </c:pt>
                <c:pt idx="5">
                  <c:v>22</c:v>
                </c:pt>
                <c:pt idx="6">
                  <c:v>30</c:v>
                </c:pt>
              </c:numCache>
            </c:numRef>
          </c:val>
        </c:ser>
        <c:dLbls>
          <c:showLegendKey val="0"/>
          <c:showVal val="1"/>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pieChart>
        <c:varyColors val="1"/>
        <c:ser>
          <c:idx val="0"/>
          <c:order val="0"/>
          <c:dLbls>
            <c:showLegendKey val="0"/>
            <c:showVal val="0"/>
            <c:showCatName val="1"/>
            <c:showSerName val="0"/>
            <c:showPercent val="1"/>
            <c:showBubbleSize val="0"/>
            <c:showLeaderLines val="1"/>
          </c:dLbls>
          <c:cat>
            <c:strRef>
              <c:f>Sheet8!$A$5:$F$5</c:f>
              <c:strCache>
                <c:ptCount val="6"/>
                <c:pt idx="0">
                  <c:v>本村村民</c:v>
                </c:pt>
                <c:pt idx="1">
                  <c:v>外村村民</c:v>
                </c:pt>
                <c:pt idx="2">
                  <c:v>合作社</c:v>
                </c:pt>
                <c:pt idx="3">
                  <c:v>工商企业</c:v>
                </c:pt>
                <c:pt idx="4">
                  <c:v>城镇居民</c:v>
                </c:pt>
                <c:pt idx="5">
                  <c:v>其他</c:v>
                </c:pt>
              </c:strCache>
            </c:strRef>
          </c:cat>
          <c:val>
            <c:numRef>
              <c:f>Sheet8!$A$6:$F$6</c:f>
              <c:numCache>
                <c:formatCode>General</c:formatCode>
                <c:ptCount val="6"/>
                <c:pt idx="0">
                  <c:v>101</c:v>
                </c:pt>
                <c:pt idx="1">
                  <c:v>46</c:v>
                </c:pt>
                <c:pt idx="2">
                  <c:v>16</c:v>
                </c:pt>
                <c:pt idx="3">
                  <c:v>70</c:v>
                </c:pt>
                <c:pt idx="4">
                  <c:v>3</c:v>
                </c:pt>
                <c:pt idx="5">
                  <c:v>69</c:v>
                </c:pt>
              </c:numCache>
            </c:numRef>
          </c:val>
        </c:ser>
        <c:dLbls>
          <c:showLegendKey val="0"/>
          <c:showVal val="1"/>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invertIfNegative val="0"/>
          <c:cat>
            <c:numRef>
              <c:f>Sheet10!$C$1:$C$24</c:f>
              <c:numCache>
                <c:formatCode>General</c:formatCode>
                <c:ptCount val="24"/>
                <c:pt idx="0">
                  <c:v>30</c:v>
                </c:pt>
                <c:pt idx="1">
                  <c:v>60</c:v>
                </c:pt>
                <c:pt idx="2">
                  <c:v>100</c:v>
                </c:pt>
                <c:pt idx="3">
                  <c:v>200</c:v>
                </c:pt>
                <c:pt idx="4">
                  <c:v>300</c:v>
                </c:pt>
                <c:pt idx="5">
                  <c:v>400</c:v>
                </c:pt>
                <c:pt idx="6">
                  <c:v>500</c:v>
                </c:pt>
                <c:pt idx="7">
                  <c:v>600</c:v>
                </c:pt>
                <c:pt idx="8">
                  <c:v>700</c:v>
                </c:pt>
                <c:pt idx="9">
                  <c:v>800</c:v>
                </c:pt>
                <c:pt idx="10">
                  <c:v>900</c:v>
                </c:pt>
                <c:pt idx="11">
                  <c:v>1000</c:v>
                </c:pt>
                <c:pt idx="12">
                  <c:v>2000</c:v>
                </c:pt>
                <c:pt idx="13">
                  <c:v>3000</c:v>
                </c:pt>
                <c:pt idx="14">
                  <c:v>4000</c:v>
                </c:pt>
                <c:pt idx="15">
                  <c:v>5000</c:v>
                </c:pt>
                <c:pt idx="16">
                  <c:v>6000</c:v>
                </c:pt>
                <c:pt idx="17">
                  <c:v>7000</c:v>
                </c:pt>
                <c:pt idx="18">
                  <c:v>8000</c:v>
                </c:pt>
                <c:pt idx="19">
                  <c:v>9000</c:v>
                </c:pt>
                <c:pt idx="20">
                  <c:v>10000</c:v>
                </c:pt>
                <c:pt idx="21">
                  <c:v>20000</c:v>
                </c:pt>
                <c:pt idx="22">
                  <c:v>100000</c:v>
                </c:pt>
                <c:pt idx="23">
                  <c:v>200000</c:v>
                </c:pt>
              </c:numCache>
            </c:numRef>
          </c:cat>
          <c:val>
            <c:numRef>
              <c:f>Sheet10!$B$1:$B$24</c:f>
              <c:numCache>
                <c:formatCode>General</c:formatCode>
                <c:ptCount val="24"/>
                <c:pt idx="0">
                  <c:v>41</c:v>
                </c:pt>
                <c:pt idx="1">
                  <c:v>12</c:v>
                </c:pt>
                <c:pt idx="2">
                  <c:v>18</c:v>
                </c:pt>
                <c:pt idx="3">
                  <c:v>27</c:v>
                </c:pt>
                <c:pt idx="4">
                  <c:v>10</c:v>
                </c:pt>
                <c:pt idx="5">
                  <c:v>7</c:v>
                </c:pt>
                <c:pt idx="6">
                  <c:v>11</c:v>
                </c:pt>
                <c:pt idx="7">
                  <c:v>4</c:v>
                </c:pt>
                <c:pt idx="8">
                  <c:v>6</c:v>
                </c:pt>
                <c:pt idx="9">
                  <c:v>3</c:v>
                </c:pt>
                <c:pt idx="10">
                  <c:v>2</c:v>
                </c:pt>
                <c:pt idx="11">
                  <c:v>3</c:v>
                </c:pt>
                <c:pt idx="12">
                  <c:v>10</c:v>
                </c:pt>
                <c:pt idx="13">
                  <c:v>9</c:v>
                </c:pt>
                <c:pt idx="14">
                  <c:v>2</c:v>
                </c:pt>
                <c:pt idx="15">
                  <c:v>1</c:v>
                </c:pt>
                <c:pt idx="16">
                  <c:v>2</c:v>
                </c:pt>
                <c:pt idx="17">
                  <c:v>2</c:v>
                </c:pt>
                <c:pt idx="18">
                  <c:v>0</c:v>
                </c:pt>
                <c:pt idx="19">
                  <c:v>1</c:v>
                </c:pt>
                <c:pt idx="20">
                  <c:v>0</c:v>
                </c:pt>
                <c:pt idx="21">
                  <c:v>5</c:v>
                </c:pt>
                <c:pt idx="22">
                  <c:v>1</c:v>
                </c:pt>
                <c:pt idx="23">
                  <c:v>1</c:v>
                </c:pt>
              </c:numCache>
            </c:numRef>
          </c:val>
        </c:ser>
        <c:dLbls>
          <c:showLegendKey val="0"/>
          <c:showVal val="0"/>
          <c:showCatName val="0"/>
          <c:showSerName val="0"/>
          <c:showPercent val="0"/>
          <c:showBubbleSize val="0"/>
        </c:dLbls>
        <c:gapWidth val="300"/>
        <c:axId val="186315904"/>
        <c:axId val="186317824"/>
      </c:barChart>
      <c:catAx>
        <c:axId val="186315904"/>
        <c:scaling>
          <c:orientation val="minMax"/>
        </c:scaling>
        <c:delete val="0"/>
        <c:axPos val="b"/>
        <c:title>
          <c:tx>
            <c:rich>
              <a:bodyPr/>
              <a:lstStyle/>
              <a:p>
                <a:pPr>
                  <a:defRPr/>
                </a:pPr>
                <a:r>
                  <a:rPr lang="zh-CN"/>
                  <a:t>流转金额（元</a:t>
                </a:r>
                <a:r>
                  <a:rPr lang="en-US"/>
                  <a:t>/</a:t>
                </a:r>
                <a:r>
                  <a:rPr lang="zh-CN"/>
                  <a:t>亩）</a:t>
                </a:r>
                <a:endParaRPr lang="en-US"/>
              </a:p>
            </c:rich>
          </c:tx>
          <c:overlay val="0"/>
        </c:title>
        <c:numFmt formatCode="General" sourceLinked="1"/>
        <c:majorTickMark val="none"/>
        <c:minorTickMark val="none"/>
        <c:tickLblPos val="nextTo"/>
        <c:crossAx val="186317824"/>
        <c:crosses val="autoZero"/>
        <c:auto val="1"/>
        <c:lblAlgn val="ctr"/>
        <c:lblOffset val="100"/>
        <c:noMultiLvlLbl val="0"/>
      </c:catAx>
      <c:valAx>
        <c:axId val="186317824"/>
        <c:scaling>
          <c:orientation val="minMax"/>
        </c:scaling>
        <c:delete val="0"/>
        <c:axPos val="l"/>
        <c:majorGridlines/>
        <c:numFmt formatCode="General" sourceLinked="1"/>
        <c:majorTickMark val="out"/>
        <c:minorTickMark val="none"/>
        <c:tickLblPos val="nextTo"/>
        <c:crossAx val="186315904"/>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2A74C-FF4B-47CB-A895-1DA88B25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7</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8</cp:revision>
  <cp:lastPrinted>2014-03-24T07:02:00Z</cp:lastPrinted>
  <dcterms:created xsi:type="dcterms:W3CDTF">2014-03-20T16:23:00Z</dcterms:created>
  <dcterms:modified xsi:type="dcterms:W3CDTF">2014-03-27T14:53:00Z</dcterms:modified>
</cp:coreProperties>
</file>