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0F172A"/>
          <w:sz w:val="64"/>
        </w:rPr>
        <w:t>CIVICSENSE</w:t>
      </w:r>
    </w:p>
    <w:p>
      <w:pPr>
        <w:spacing w:before="0" w:after="160"/>
        <w:jc w:val="center"/>
      </w:pPr>
      <w:r>
        <w:rPr>
          <w:rFonts w:ascii="Calibri" w:hAnsi="Calibri"/>
          <w:b/>
          <w:color w:val="2563EB"/>
          <w:sz w:val="32"/>
        </w:rPr>
        <w:t>Smart Civic Grievance Redressal &amp; Municipal Governance Platform</w:t>
      </w:r>
    </w:p>
    <w:p>
      <w:pPr>
        <w:spacing w:before="0" w:after="480"/>
        <w:jc w:val="center"/>
      </w:pPr>
      <w:r>
        <w:rPr>
          <w:rFonts w:ascii="Calibri" w:hAnsi="Calibri"/>
          <w:i/>
          <w:color w:val="64748B"/>
          <w:sz w:val="24"/>
        </w:rPr>
        <w:t>Comprehensive Technical Architectural Report &amp; Source Code Specification</w:t>
      </w:r>
    </w:p>
    <w:p>
      <w:pPr>
        <w:spacing w:after="360"/>
        <w:jc w:val="center"/>
      </w:pPr>
    </w:p>
    <w:p>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smart_city_cinematic.jpg"/>
                    <pic:cNvPicPr/>
                  </pic:nvPicPr>
                  <pic:blipFill>
                    <a:blip r:embed="rId11"/>
                    <a:stretch>
                      <a:fillRect/>
                    </a:stretch>
                  </pic:blipFill>
                  <pic:spPr>
                    <a:xfrm>
                      <a:off x="0" y="0"/>
                      <a:ext cx="5029200" cy="2806995"/>
                    </a:xfrm>
                    <a:prstGeom prst="rect"/>
                  </pic:spPr>
                </pic:pic>
              </a:graphicData>
            </a:graphic>
          </wp:inline>
        </w:drawing>
      </w:r>
    </w:p>
    <w:p>
      <w:pPr>
        <w:spacing w:before="80" w:after="400"/>
        <w:jc w:val="center"/>
      </w:pPr>
      <w:r>
        <w:rPr>
          <w:i/>
          <w:color w:val="64748B"/>
          <w:sz w:val="18"/>
        </w:rPr>
        <w:t>Figure 1: CivicSense Smart City Municipal Operations Architecture Overview</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68"/>
        <w:gridCol w:w="6192"/>
      </w:tblGrid>
      <w:tr>
        <w:tc>
          <w:tcPr>
            <w:tcW w:type="dxa" w:w="4680"/>
            <w:shd w:val="clear" w:color="auto" w:fill="F8FAFC"/>
            <w:tcMar>
              <w:top w:w="80" w:type="dxa"/>
              <w:bottom w:w="80" w:type="dxa"/>
              <w:left w:w="100" w:type="dxa"/>
              <w:right w:w="100" w:type="dxa"/>
            </w:tcMar>
          </w:tcPr>
          <w:p>
            <w:r>
              <w:rPr>
                <w:rFonts w:ascii="Calibri" w:hAnsi="Calibri"/>
                <w:b/>
                <w:color w:val="1E293B"/>
                <w:sz w:val="20"/>
              </w:rPr>
              <w:t>Lead Developer &amp; Author</w:t>
            </w:r>
          </w:p>
        </w:tc>
        <w:tc>
          <w:tcPr>
            <w:tcW w:type="dxa" w:w="4680"/>
            <w:tcMar>
              <w:top w:w="80" w:type="dxa"/>
              <w:bottom w:w="80" w:type="dxa"/>
              <w:left w:w="100" w:type="dxa"/>
              <w:right w:w="100" w:type="dxa"/>
            </w:tcMar>
          </w:tcPr>
          <w:p>
            <w:r>
              <w:rPr>
                <w:rFonts w:ascii="Calibri" w:hAnsi="Calibri"/>
                <w:color w:val="334155"/>
                <w:sz w:val="20"/>
              </w:rPr>
              <w:t>Panchaksharayya</w:t>
            </w:r>
          </w:p>
        </w:tc>
      </w:tr>
      <w:tr>
        <w:tc>
          <w:tcPr>
            <w:tcW w:type="dxa" w:w="4680"/>
            <w:shd w:val="clear" w:color="auto" w:fill="F8FAFC"/>
            <w:tcMar>
              <w:top w:w="80" w:type="dxa"/>
              <w:bottom w:w="80" w:type="dxa"/>
              <w:left w:w="100" w:type="dxa"/>
              <w:right w:w="100" w:type="dxa"/>
            </w:tcMar>
          </w:tcPr>
          <w:p>
            <w:r>
              <w:rPr>
                <w:rFonts w:ascii="Calibri" w:hAnsi="Calibri"/>
                <w:b/>
                <w:color w:val="1E293B"/>
                <w:sz w:val="20"/>
              </w:rPr>
              <w:t>Live Production Application</w:t>
            </w:r>
          </w:p>
        </w:tc>
        <w:tc>
          <w:tcPr>
            <w:tcW w:type="dxa" w:w="4680"/>
            <w:tcMar>
              <w:top w:w="80" w:type="dxa"/>
              <w:bottom w:w="80" w:type="dxa"/>
              <w:left w:w="100" w:type="dxa"/>
              <w:right w:w="100" w:type="dxa"/>
            </w:tcMar>
          </w:tcPr>
          <w:p>
            <w:hyperlink r:id="rId12">
              <w:r>
                <w:rPr>
                  <w:color w:val="1D4ED8"/>
                  <w:u w:val="single"/>
                  <w:b/>
                </w:rPr>
                <w:t>https://civic-sense-rouge.vercel.app</w:t>
              </w:r>
            </w:hyperlink>
          </w:p>
        </w:tc>
      </w:tr>
      <w:tr>
        <w:tc>
          <w:tcPr>
            <w:tcW w:type="dxa" w:w="4680"/>
            <w:shd w:val="clear" w:color="auto" w:fill="F8FAFC"/>
            <w:tcMar>
              <w:top w:w="80" w:type="dxa"/>
              <w:bottom w:w="80" w:type="dxa"/>
              <w:left w:w="100" w:type="dxa"/>
              <w:right w:w="100" w:type="dxa"/>
            </w:tcMar>
          </w:tcPr>
          <w:p>
            <w:r>
              <w:rPr>
                <w:rFonts w:ascii="Calibri" w:hAnsi="Calibri"/>
                <w:b/>
                <w:color w:val="1E293B"/>
                <w:sz w:val="20"/>
              </w:rPr>
              <w:t>Alternative Production URL</w:t>
            </w:r>
          </w:p>
        </w:tc>
        <w:tc>
          <w:tcPr>
            <w:tcW w:type="dxa" w:w="4680"/>
            <w:tcMar>
              <w:top w:w="80" w:type="dxa"/>
              <w:bottom w:w="80" w:type="dxa"/>
              <w:left w:w="100" w:type="dxa"/>
              <w:right w:w="100" w:type="dxa"/>
            </w:tcMar>
          </w:tcPr>
          <w:p>
            <w:hyperlink r:id="rId13">
              <w:r>
                <w:rPr>
                  <w:color w:val="1D4ED8"/>
                  <w:u w:val="single"/>
                  <w:b/>
                </w:rPr>
                <w:t>https://civic-sense-panchaksharayya12.vercel.app</w:t>
              </w:r>
            </w:hyperlink>
          </w:p>
        </w:tc>
      </w:tr>
      <w:tr>
        <w:tc>
          <w:tcPr>
            <w:tcW w:type="dxa" w:w="4680"/>
            <w:shd w:val="clear" w:color="auto" w:fill="F8FAFC"/>
            <w:tcMar>
              <w:top w:w="80" w:type="dxa"/>
              <w:bottom w:w="80" w:type="dxa"/>
              <w:left w:w="100" w:type="dxa"/>
              <w:right w:w="100" w:type="dxa"/>
            </w:tcMar>
          </w:tcPr>
          <w:p>
            <w:r>
              <w:rPr>
                <w:rFonts w:ascii="Calibri" w:hAnsi="Calibri"/>
                <w:b/>
                <w:color w:val="1E293B"/>
                <w:sz w:val="20"/>
              </w:rPr>
              <w:t>Official GitHub Repository</w:t>
            </w:r>
          </w:p>
        </w:tc>
        <w:tc>
          <w:tcPr>
            <w:tcW w:type="dxa" w:w="4680"/>
            <w:tcMar>
              <w:top w:w="80" w:type="dxa"/>
              <w:bottom w:w="80" w:type="dxa"/>
              <w:left w:w="100" w:type="dxa"/>
              <w:right w:w="100" w:type="dxa"/>
            </w:tcMar>
          </w:tcPr>
          <w:p>
            <w:hyperlink r:id="rId14">
              <w:r>
                <w:rPr>
                  <w:color w:val="1D4ED8"/>
                  <w:u w:val="single"/>
                  <w:b/>
                </w:rPr>
                <w:t>https://github.com/panchaksharayya12/CivicSense</w:t>
              </w:r>
            </w:hyperlink>
          </w:p>
        </w:tc>
      </w:tr>
      <w:tr>
        <w:tc>
          <w:tcPr>
            <w:tcW w:type="dxa" w:w="4680"/>
            <w:shd w:val="clear" w:color="auto" w:fill="F8FAFC"/>
            <w:tcMar>
              <w:top w:w="80" w:type="dxa"/>
              <w:bottom w:w="80" w:type="dxa"/>
              <w:left w:w="100" w:type="dxa"/>
              <w:right w:w="100" w:type="dxa"/>
            </w:tcMar>
          </w:tcPr>
          <w:p>
            <w:r>
              <w:rPr>
                <w:rFonts w:ascii="Calibri" w:hAnsi="Calibri"/>
                <w:b/>
                <w:color w:val="1E293B"/>
                <w:sz w:val="20"/>
              </w:rPr>
              <w:t>Interactive Presentation Deck</w:t>
            </w:r>
          </w:p>
        </w:tc>
        <w:tc>
          <w:tcPr>
            <w:tcW w:type="dxa" w:w="4680"/>
            <w:tcMar>
              <w:top w:w="80" w:type="dxa"/>
              <w:bottom w:w="80" w:type="dxa"/>
              <w:left w:w="100" w:type="dxa"/>
              <w:right w:w="100" w:type="dxa"/>
            </w:tcMar>
          </w:tcPr>
          <w:p>
            <w:hyperlink r:id="rId15">
              <w:r>
                <w:rPr>
                  <w:color w:val="1D4ED8"/>
                  <w:u w:val="single"/>
                  <w:b/>
                </w:rPr>
                <w:t>https://civic-sense-rouge.vercel.app/presentation</w:t>
              </w:r>
            </w:hyperlink>
          </w:p>
        </w:tc>
      </w:tr>
      <w:tr>
        <w:tc>
          <w:tcPr>
            <w:tcW w:type="dxa" w:w="4680"/>
            <w:shd w:val="clear" w:color="auto" w:fill="F8FAFC"/>
            <w:tcMar>
              <w:top w:w="80" w:type="dxa"/>
              <w:bottom w:w="80" w:type="dxa"/>
              <w:left w:w="100" w:type="dxa"/>
              <w:right w:w="100" w:type="dxa"/>
            </w:tcMar>
          </w:tcPr>
          <w:p>
            <w:r>
              <w:rPr>
                <w:rFonts w:ascii="Calibri" w:hAnsi="Calibri"/>
                <w:b/>
                <w:color w:val="1E293B"/>
                <w:sz w:val="20"/>
              </w:rPr>
              <w:t>Publication / Release Date</w:t>
            </w:r>
          </w:p>
        </w:tc>
        <w:tc>
          <w:tcPr>
            <w:tcW w:type="dxa" w:w="4680"/>
            <w:tcMar>
              <w:top w:w="80" w:type="dxa"/>
              <w:bottom w:w="80" w:type="dxa"/>
              <w:left w:w="100" w:type="dxa"/>
              <w:right w:w="100" w:type="dxa"/>
            </w:tcMar>
          </w:tcPr>
          <w:p>
            <w:r>
              <w:rPr>
                <w:rFonts w:ascii="Calibri" w:hAnsi="Calibri"/>
                <w:color w:val="334155"/>
                <w:sz w:val="20"/>
              </w:rPr>
              <w:t>October 2026 | Production Build v1.0.0</w:t>
            </w:r>
          </w:p>
        </w:tc>
      </w:tr>
    </w:tbl>
    <w:p>
      <w:r>
        <w:br w:type="page"/>
      </w:r>
    </w:p>
    <w:p>
      <w:pPr>
        <w:keepNext/>
        <w:spacing w:before="360" w:after="120"/>
      </w:pPr>
      <w:r>
        <w:rPr>
          <w:rFonts w:ascii="Calibri" w:hAnsi="Calibri"/>
          <w:b/>
          <w:color w:val="0F172A"/>
          <w:sz w:val="36"/>
        </w:rPr>
        <w:t>1. Executive Summary</w:t>
      </w:r>
    </w:p>
    <w:p>
      <w:pPr>
        <w:spacing w:before="0" w:after="120" w:line="276" w:lineRule="auto"/>
      </w:pPr>
      <w:r>
        <w:rPr>
          <w:rFonts w:ascii="Calibri" w:hAnsi="Calibri"/>
          <w:color w:val="334155"/>
          <w:sz w:val="21"/>
        </w:rPr>
        <w:t xml:space="preserve">CivicSense is an advanced, production-grade civic grievance redressal and municipal operations platform designed to solve the systemic inefficiencies plaguing urban governance. By bridging the critical communication divide between citizens and municipal administrative bodies, CivicSense transforms fragmented, individual citizen complaints into consolidated, high-priority municipal work orders. The platform is completely operational and publicly accessible at </w:t>
      </w:r>
      <w:hyperlink r:id="rId12">
        <w:r>
          <w:rPr>
            <w:color w:val="1D4ED8"/>
            <w:u w:val="single"/>
            <w:b/>
          </w:rPr>
          <w:t>https://civic-sense-rouge.vercel.app</w:t>
        </w:r>
      </w:hyperlink>
      <w:r>
        <w:t xml:space="preserve">, with full open-source source code maintained at </w:t>
      </w:r>
      <w:hyperlink r:id="rId14">
        <w:r>
          <w:rPr>
            <w:color w:val="1D4ED8"/>
            <w:u w:val="single"/>
            <w:b/>
          </w:rPr>
          <w:t>GitHub: panchaksharayya12/CivicSense</w:t>
        </w:r>
      </w:hyperlink>
      <w:r>
        <w:t>.</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Mar>
              <w:top w:w="140" w:type="dxa"/>
              <w:bottom w:w="140" w:type="dxa"/>
              <w:left w:w="200" w:type="dxa"/>
              <w:right w:w="200" w:type="dxa"/>
            </w:tcMar>
            <w:tcBorders>
              <w:top w:val="none"/>
              <w:bottom w:val="none"/>
              <w:left w:val="single" w:sz="32" w:space="0" w:color="2563EB"/>
              <w:right w:val="none"/>
            </w:tcBorders>
          </w:tcPr>
          <w:p>
            <w:pPr>
              <w:spacing w:before="0" w:after="80"/>
            </w:pPr>
            <w:r>
              <w:rPr>
                <w:rFonts w:ascii="Calibri" w:hAnsi="Calibri"/>
                <w:b/>
                <w:color w:val="1E3A8A"/>
                <w:sz w:val="22"/>
              </w:rPr>
              <w:t>Core Project Vision: From Citizen Voice to Unified City Action</w:t>
            </w:r>
          </w:p>
          <w:p>
            <w:pPr>
              <w:spacing w:before="40" w:after="80"/>
            </w:pPr>
            <w:r>
              <w:rPr>
                <w:rFonts w:ascii="Calibri" w:hAnsi="Calibri"/>
                <w:color w:val="334155"/>
                <w:sz w:val="20"/>
              </w:rPr>
              <w:t>Traditional municipal helplines register 40 to 60 independent complaints for a single major water main rupture or severe pothole cluster, leading to departmental paralysis, dispatch bottlenecks, and citizen disillusionment.</w:t>
            </w:r>
          </w:p>
          <w:p>
            <w:pPr>
              <w:spacing w:before="40" w:after="80"/>
            </w:pPr>
            <w:r>
              <w:rPr>
                <w:rFonts w:ascii="Calibri" w:hAnsi="Calibri"/>
                <w:color w:val="334155"/>
                <w:sz w:val="20"/>
              </w:rPr>
              <w:t>CivicSense introduces autonomous spatial incident clustering: multiple citizen submissions within a 150-meter radius are linked into a single Master Consolidated Incident with live citizen impact counters.</w:t>
            </w:r>
          </w:p>
          <w:p>
            <w:pPr>
              <w:spacing w:before="40" w:after="80"/>
            </w:pPr>
            <w:r>
              <w:rPr>
                <w:rFonts w:ascii="Calibri" w:hAnsi="Calibri"/>
                <w:color w:val="334155"/>
                <w:sz w:val="20"/>
              </w:rPr>
              <w:t>Multimodal submission: Citizens can file complaints via Native Voice Typing in 6 regional Indian languages, upload photo/video evidence, and drop precise GPS coordinates via interactive Leaflet GIS maps.</w:t>
            </w:r>
          </w:p>
        </w:tc>
      </w:tr>
    </w:tbl>
    <w:p>
      <w:pPr>
        <w:spacing w:before="80" w:after="80"/>
      </w:pPr>
    </w:p>
    <w:p>
      <w:pPr>
        <w:keepNext/>
        <w:spacing w:before="360" w:after="120"/>
      </w:pPr>
      <w:r>
        <w:rPr>
          <w:rFonts w:ascii="Calibri" w:hAnsi="Calibri"/>
          <w:b/>
          <w:color w:val="0F172A"/>
          <w:sz w:val="36"/>
        </w:rPr>
        <w:t>2. Problem Statement &amp; Urban Challenges</w:t>
      </w:r>
    </w:p>
    <w:p>
      <w:pPr>
        <w:spacing w:before="0" w:after="120" w:line="276" w:lineRule="auto"/>
      </w:pPr>
      <w:r>
        <w:rPr>
          <w:rFonts w:ascii="Calibri" w:hAnsi="Calibri"/>
          <w:color w:val="334155"/>
          <w:sz w:val="21"/>
        </w:rPr>
        <w:t>Modern metropolitan governance faces severe operational frictions when managing civic infrastructure issues. Analysis of existing citizen grievance systems (e.g., standard municipal hotlines, paper complaint boxes, and siloed web forms) reveals four fundamental failure points:</w:t>
      </w:r>
    </w:p>
    <w:p>
      <w:pPr>
        <w:pStyle w:val="ListBullet"/>
        <w:spacing w:before="0" w:after="60" w:line="276" w:lineRule="auto"/>
      </w:pPr>
      <w:r>
        <w:rPr>
          <w:rFonts w:ascii="Calibri" w:hAnsi="Calibri"/>
          <w:b/>
          <w:color w:val="0F172A"/>
          <w:sz w:val="21"/>
        </w:rPr>
        <w:t xml:space="preserve">1. Massive Complaint Duplication &amp; Resource Drain: </w:t>
      </w:r>
      <w:r>
        <w:rPr>
          <w:rFonts w:ascii="Calibri" w:hAnsi="Calibri"/>
          <w:color w:val="334155"/>
          <w:sz w:val="21"/>
        </w:rPr>
        <w:t>When a sewer overflows on a major transit corridor, dozens of commuters file separate tickets. Municipal officers waste hundreds of hours reading, logging, and triaging duplicate entries rather than dispatching repair crews.</w:t>
      </w:r>
    </w:p>
    <w:p>
      <w:pPr>
        <w:pStyle w:val="ListBullet"/>
        <w:spacing w:before="0" w:after="60" w:line="276" w:lineRule="auto"/>
      </w:pPr>
      <w:r>
        <w:rPr>
          <w:rFonts w:ascii="Calibri" w:hAnsi="Calibri"/>
          <w:b/>
          <w:color w:val="0F172A"/>
          <w:sz w:val="21"/>
        </w:rPr>
        <w:t xml:space="preserve">2. Opaque Grievance Lifecycles &amp; Lack of Accountability: </w:t>
      </w:r>
      <w:r>
        <w:rPr>
          <w:rFonts w:ascii="Calibri" w:hAnsi="Calibri"/>
          <w:color w:val="334155"/>
          <w:sz w:val="21"/>
        </w:rPr>
        <w:t>Citizens historically receive a ticket number that disappears into an administrative black box. Without real-time status updates, SLA indicators, or designated officer accountability, citizen trust in urban institutions rapidly degrades.</w:t>
      </w:r>
    </w:p>
    <w:p>
      <w:pPr>
        <w:pStyle w:val="ListBullet"/>
        <w:spacing w:before="0" w:after="60" w:line="276" w:lineRule="auto"/>
      </w:pPr>
      <w:r>
        <w:rPr>
          <w:rFonts w:ascii="Calibri" w:hAnsi="Calibri"/>
          <w:b/>
          <w:color w:val="0F172A"/>
          <w:sz w:val="21"/>
        </w:rPr>
        <w:t xml:space="preserve">3. Digital &amp; Linguistic Accessibility Barriers: </w:t>
      </w:r>
      <w:r>
        <w:rPr>
          <w:rFonts w:ascii="Calibri" w:hAnsi="Calibri"/>
          <w:color w:val="334155"/>
          <w:sz w:val="21"/>
        </w:rPr>
        <w:t>A majority of municipal workforces and daily citizens speak regional languages (Kannada, Hindi, Tamil, Telugu, Marathi). Complex English-only interfaces exclude large demographics from exercising civic participation.</w:t>
      </w:r>
    </w:p>
    <w:p>
      <w:pPr>
        <w:pStyle w:val="ListBullet"/>
        <w:spacing w:before="0" w:after="60" w:line="276" w:lineRule="auto"/>
      </w:pPr>
      <w:r>
        <w:rPr>
          <w:rFonts w:ascii="Calibri" w:hAnsi="Calibri"/>
          <w:b/>
          <w:color w:val="0F172A"/>
          <w:sz w:val="21"/>
        </w:rPr>
        <w:t xml:space="preserve">4. Absence of Spatial Intelligence &amp; Unified Incident Mapping: </w:t>
      </w:r>
      <w:r>
        <w:rPr>
          <w:rFonts w:ascii="Calibri" w:hAnsi="Calibri"/>
          <w:color w:val="334155"/>
          <w:sz w:val="21"/>
        </w:rPr>
        <w:t>Traditional databases treat complaints as isolated rows in a table. Without real-time GIS heatmaps, municipal department heads fail to identify systemic infrastructure collapse, recurring problem spots, or ward-level emergencies.</w:t>
      </w:r>
    </w:p>
    <w:p>
      <w:pPr>
        <w:keepNext/>
        <w:spacing w:before="360" w:after="120"/>
      </w:pPr>
      <w:r>
        <w:rPr>
          <w:rFonts w:ascii="Calibri" w:hAnsi="Calibri"/>
          <w:b/>
          <w:color w:val="0F172A"/>
          <w:sz w:val="36"/>
        </w:rPr>
        <w:t>3. System Architecture &amp; Modern Technology Stack</w:t>
      </w:r>
    </w:p>
    <w:p>
      <w:pPr>
        <w:spacing w:before="0" w:after="120" w:line="276" w:lineRule="auto"/>
      </w:pPr>
      <w:r>
        <w:rPr>
          <w:rFonts w:ascii="Calibri" w:hAnsi="Calibri"/>
          <w:color w:val="334155"/>
          <w:sz w:val="21"/>
        </w:rPr>
        <w:t>CivicSense is engineered using a modern, scalable full-stack architecture built on Next.js 14 App Router, TypeScript for enterprise-grade type safety, Tailwind CSS for accessible responsive interfaces, and Leaflet for geospatial visualization. The architecture is modularized into distinct client shells, administrative command modules, and serverless API handlers.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592"/>
        <w:gridCol w:w="3168"/>
        <w:gridCol w:w="3600"/>
      </w:tblGrid>
      <w:tr>
        <w:tc>
          <w:tcPr>
            <w:tcW w:type="dxa" w:w="3120"/>
            <w:shd w:val="clear" w:color="auto" w:fill="0F172A"/>
            <w:tcMar>
              <w:top w:w="100" w:type="dxa"/>
              <w:bottom w:w="100" w:type="dxa"/>
              <w:left w:w="100" w:type="dxa"/>
              <w:right w:w="100" w:type="dxa"/>
            </w:tcMar>
          </w:tcPr>
          <w:p>
            <w:r>
              <w:rPr>
                <w:rFonts w:ascii="Calibri" w:hAnsi="Calibri"/>
                <w:b/>
                <w:color w:val="FFFFFF"/>
                <w:sz w:val="20"/>
              </w:rPr>
              <w:t>Layer / Subsystem</w:t>
            </w:r>
          </w:p>
        </w:tc>
        <w:tc>
          <w:tcPr>
            <w:tcW w:type="dxa" w:w="3120"/>
            <w:shd w:val="clear" w:color="auto" w:fill="0F172A"/>
            <w:tcMar>
              <w:top w:w="100" w:type="dxa"/>
              <w:bottom w:w="100" w:type="dxa"/>
              <w:left w:w="100" w:type="dxa"/>
              <w:right w:w="100" w:type="dxa"/>
            </w:tcMar>
          </w:tcPr>
          <w:p>
            <w:r>
              <w:rPr>
                <w:rFonts w:ascii="Calibri" w:hAnsi="Calibri"/>
                <w:b/>
                <w:color w:val="FFFFFF"/>
                <w:sz w:val="20"/>
              </w:rPr>
              <w:t>Technology / Framework</w:t>
            </w:r>
          </w:p>
        </w:tc>
        <w:tc>
          <w:tcPr>
            <w:tcW w:type="dxa" w:w="3120"/>
            <w:shd w:val="clear" w:color="auto" w:fill="0F172A"/>
            <w:tcMar>
              <w:top w:w="100" w:type="dxa"/>
              <w:bottom w:w="100" w:type="dxa"/>
              <w:left w:w="100" w:type="dxa"/>
              <w:right w:w="100" w:type="dxa"/>
            </w:tcMar>
          </w:tcPr>
          <w:p>
            <w:r>
              <w:rPr>
                <w:rFonts w:ascii="Calibri" w:hAnsi="Calibri"/>
                <w:b/>
                <w:color w:val="FFFFFF"/>
                <w:sz w:val="20"/>
              </w:rPr>
              <w:t>Architectural Role &amp; Benefit</w:t>
            </w:r>
          </w:p>
        </w:tc>
      </w:tr>
      <w:tr>
        <w:tc>
          <w:tcPr>
            <w:tcW w:type="dxa" w:w="3120"/>
            <w:shd w:val="clear" w:color="auto" w:fill="F8FAFC"/>
            <w:tcMar>
              <w:top w:w="80" w:type="dxa"/>
              <w:bottom w:w="80" w:type="dxa"/>
              <w:left w:w="100" w:type="dxa"/>
              <w:right w:w="100" w:type="dxa"/>
            </w:tcMar>
          </w:tcPr>
          <w:p>
            <w:r>
              <w:rPr>
                <w:rFonts w:ascii="Calibri" w:hAnsi="Calibri"/>
                <w:b/>
                <w:color w:val="334155"/>
                <w:sz w:val="19"/>
              </w:rPr>
              <w:t>Core Application Framework</w:t>
            </w:r>
          </w:p>
        </w:tc>
        <w:tc>
          <w:tcPr>
            <w:tcW w:type="dxa" w:w="3120"/>
            <w:shd w:val="clear" w:color="auto" w:fill="F8FAFC"/>
            <w:tcMar>
              <w:top w:w="80" w:type="dxa"/>
              <w:bottom w:w="80" w:type="dxa"/>
              <w:left w:w="100" w:type="dxa"/>
              <w:right w:w="100" w:type="dxa"/>
            </w:tcMar>
          </w:tcPr>
          <w:p>
            <w:r>
              <w:rPr>
                <w:rFonts w:ascii="Calibri" w:hAnsi="Calibri"/>
                <w:color w:val="334155"/>
                <w:sz w:val="19"/>
              </w:rPr>
              <w:t>Next.js 14 (App Router) + React 18</w:t>
            </w:r>
          </w:p>
        </w:tc>
        <w:tc>
          <w:tcPr>
            <w:tcW w:type="dxa" w:w="3120"/>
            <w:shd w:val="clear" w:color="auto" w:fill="F8FAFC"/>
            <w:tcMar>
              <w:top w:w="80" w:type="dxa"/>
              <w:bottom w:w="80" w:type="dxa"/>
              <w:left w:w="100" w:type="dxa"/>
              <w:right w:w="100" w:type="dxa"/>
            </w:tcMar>
          </w:tcPr>
          <w:p>
            <w:r>
              <w:rPr>
                <w:rFonts w:ascii="Calibri" w:hAnsi="Calibri"/>
                <w:color w:val="334155"/>
                <w:sz w:val="19"/>
              </w:rPr>
              <w:t>Server-Side Rendering (SSR), Static Generation, and zero-bundle server components.</w:t>
            </w:r>
          </w:p>
        </w:tc>
      </w:tr>
      <w:tr>
        <w:tc>
          <w:tcPr>
            <w:tcW w:type="dxa" w:w="3120"/>
            <w:shd w:val="clear" w:color="auto" w:fill="FFFFFF"/>
            <w:tcMar>
              <w:top w:w="80" w:type="dxa"/>
              <w:bottom w:w="80" w:type="dxa"/>
              <w:left w:w="100" w:type="dxa"/>
              <w:right w:w="100" w:type="dxa"/>
            </w:tcMar>
          </w:tcPr>
          <w:p>
            <w:r>
              <w:rPr>
                <w:rFonts w:ascii="Calibri" w:hAnsi="Calibri"/>
                <w:b/>
                <w:color w:val="334155"/>
                <w:sz w:val="19"/>
              </w:rPr>
              <w:t>Programming Language</w:t>
            </w:r>
          </w:p>
        </w:tc>
        <w:tc>
          <w:tcPr>
            <w:tcW w:type="dxa" w:w="3120"/>
            <w:shd w:val="clear" w:color="auto" w:fill="FFFFFF"/>
            <w:tcMar>
              <w:top w:w="80" w:type="dxa"/>
              <w:bottom w:w="80" w:type="dxa"/>
              <w:left w:w="100" w:type="dxa"/>
              <w:right w:w="100" w:type="dxa"/>
            </w:tcMar>
          </w:tcPr>
          <w:p>
            <w:r>
              <w:rPr>
                <w:rFonts w:ascii="Calibri" w:hAnsi="Calibri"/>
                <w:color w:val="334155"/>
                <w:sz w:val="19"/>
              </w:rPr>
              <w:t>TypeScript (Strict Mode)</w:t>
            </w:r>
          </w:p>
        </w:tc>
        <w:tc>
          <w:tcPr>
            <w:tcW w:type="dxa" w:w="3120"/>
            <w:shd w:val="clear" w:color="auto" w:fill="FFFFFF"/>
            <w:tcMar>
              <w:top w:w="80" w:type="dxa"/>
              <w:bottom w:w="80" w:type="dxa"/>
              <w:left w:w="100" w:type="dxa"/>
              <w:right w:w="100" w:type="dxa"/>
            </w:tcMar>
          </w:tcPr>
          <w:p>
            <w:r>
              <w:rPr>
                <w:rFonts w:ascii="Calibri" w:hAnsi="Calibri"/>
                <w:color w:val="334155"/>
                <w:sz w:val="19"/>
              </w:rPr>
              <w:t>Complete static type safety across complaint models, departmental workflows, and i18n.</w:t>
            </w:r>
          </w:p>
        </w:tc>
      </w:tr>
      <w:tr>
        <w:tc>
          <w:tcPr>
            <w:tcW w:type="dxa" w:w="3120"/>
            <w:shd w:val="clear" w:color="auto" w:fill="F8FAFC"/>
            <w:tcMar>
              <w:top w:w="80" w:type="dxa"/>
              <w:bottom w:w="80" w:type="dxa"/>
              <w:left w:w="100" w:type="dxa"/>
              <w:right w:w="100" w:type="dxa"/>
            </w:tcMar>
          </w:tcPr>
          <w:p>
            <w:r>
              <w:rPr>
                <w:rFonts w:ascii="Calibri" w:hAnsi="Calibri"/>
                <w:b/>
                <w:color w:val="334155"/>
                <w:sz w:val="19"/>
              </w:rPr>
              <w:t>Styling &amp; Design System</w:t>
            </w:r>
          </w:p>
        </w:tc>
        <w:tc>
          <w:tcPr>
            <w:tcW w:type="dxa" w:w="3120"/>
            <w:shd w:val="clear" w:color="auto" w:fill="F8FAFC"/>
            <w:tcMar>
              <w:top w:w="80" w:type="dxa"/>
              <w:bottom w:w="80" w:type="dxa"/>
              <w:left w:w="100" w:type="dxa"/>
              <w:right w:w="100" w:type="dxa"/>
            </w:tcMar>
          </w:tcPr>
          <w:p>
            <w:r>
              <w:rPr>
                <w:rFonts w:ascii="Calibri" w:hAnsi="Calibri"/>
                <w:color w:val="334155"/>
                <w:sz w:val="19"/>
              </w:rPr>
              <w:t>Tailwind CSS + Lucide Icons</w:t>
            </w:r>
          </w:p>
        </w:tc>
        <w:tc>
          <w:tcPr>
            <w:tcW w:type="dxa" w:w="3120"/>
            <w:shd w:val="clear" w:color="auto" w:fill="F8FAFC"/>
            <w:tcMar>
              <w:top w:w="80" w:type="dxa"/>
              <w:bottom w:w="80" w:type="dxa"/>
              <w:left w:w="100" w:type="dxa"/>
              <w:right w:w="100" w:type="dxa"/>
            </w:tcMar>
          </w:tcPr>
          <w:p>
            <w:r>
              <w:rPr>
                <w:rFonts w:ascii="Calibri" w:hAnsi="Calibri"/>
                <w:color w:val="334155"/>
                <w:sz w:val="19"/>
              </w:rPr>
              <w:t>Mobile-first responsive UI, municipal theme design tokens, zero-emoji compliance.</w:t>
            </w:r>
          </w:p>
        </w:tc>
      </w:tr>
      <w:tr>
        <w:tc>
          <w:tcPr>
            <w:tcW w:type="dxa" w:w="3120"/>
            <w:shd w:val="clear" w:color="auto" w:fill="FFFFFF"/>
            <w:tcMar>
              <w:top w:w="80" w:type="dxa"/>
              <w:bottom w:w="80" w:type="dxa"/>
              <w:left w:w="100" w:type="dxa"/>
              <w:right w:w="100" w:type="dxa"/>
            </w:tcMar>
          </w:tcPr>
          <w:p>
            <w:r>
              <w:rPr>
                <w:rFonts w:ascii="Calibri" w:hAnsi="Calibri"/>
                <w:b/>
                <w:color w:val="334155"/>
                <w:sz w:val="19"/>
              </w:rPr>
              <w:t>Geospatial &amp; GIS Mapping</w:t>
            </w:r>
          </w:p>
        </w:tc>
        <w:tc>
          <w:tcPr>
            <w:tcW w:type="dxa" w:w="3120"/>
            <w:shd w:val="clear" w:color="auto" w:fill="FFFFFF"/>
            <w:tcMar>
              <w:top w:w="80" w:type="dxa"/>
              <w:bottom w:w="80" w:type="dxa"/>
              <w:left w:w="100" w:type="dxa"/>
              <w:right w:w="100" w:type="dxa"/>
            </w:tcMar>
          </w:tcPr>
          <w:p>
            <w:r>
              <w:rPr>
                <w:rFonts w:ascii="Calibri" w:hAnsi="Calibri"/>
                <w:color w:val="334155"/>
                <w:sz w:val="19"/>
              </w:rPr>
              <w:t>Leaflet 1.9 + React-Leaflet</w:t>
            </w:r>
          </w:p>
        </w:tc>
        <w:tc>
          <w:tcPr>
            <w:tcW w:type="dxa" w:w="3120"/>
            <w:shd w:val="clear" w:color="auto" w:fill="FFFFFF"/>
            <w:tcMar>
              <w:top w:w="80" w:type="dxa"/>
              <w:bottom w:w="80" w:type="dxa"/>
              <w:left w:w="100" w:type="dxa"/>
              <w:right w:w="100" w:type="dxa"/>
            </w:tcMar>
          </w:tcPr>
          <w:p>
            <w:r>
              <w:rPr>
                <w:rFonts w:ascii="Calibri" w:hAnsi="Calibri"/>
                <w:color w:val="334155"/>
                <w:sz w:val="19"/>
              </w:rPr>
              <w:t>Interactive pin-drop coordinate geocoding, ward heatmaps, and spatial clustering bounds.</w:t>
            </w:r>
          </w:p>
        </w:tc>
      </w:tr>
      <w:tr>
        <w:tc>
          <w:tcPr>
            <w:tcW w:type="dxa" w:w="3120"/>
            <w:shd w:val="clear" w:color="auto" w:fill="F8FAFC"/>
            <w:tcMar>
              <w:top w:w="80" w:type="dxa"/>
              <w:bottom w:w="80" w:type="dxa"/>
              <w:left w:w="100" w:type="dxa"/>
              <w:right w:w="100" w:type="dxa"/>
            </w:tcMar>
          </w:tcPr>
          <w:p>
            <w:r>
              <w:rPr>
                <w:rFonts w:ascii="Calibri" w:hAnsi="Calibri"/>
                <w:b/>
                <w:color w:val="334155"/>
                <w:sz w:val="19"/>
              </w:rPr>
              <w:t>AI &amp; Multimodal Input</w:t>
            </w:r>
          </w:p>
        </w:tc>
        <w:tc>
          <w:tcPr>
            <w:tcW w:type="dxa" w:w="3120"/>
            <w:shd w:val="clear" w:color="auto" w:fill="F8FAFC"/>
            <w:tcMar>
              <w:top w:w="80" w:type="dxa"/>
              <w:bottom w:w="80" w:type="dxa"/>
              <w:left w:w="100" w:type="dxa"/>
              <w:right w:w="100" w:type="dxa"/>
            </w:tcMar>
          </w:tcPr>
          <w:p>
            <w:r>
              <w:rPr>
                <w:rFonts w:ascii="Calibri" w:hAnsi="Calibri"/>
                <w:color w:val="334155"/>
                <w:sz w:val="19"/>
              </w:rPr>
              <w:t>Google Gemini AI + Web Speech API</w:t>
            </w:r>
          </w:p>
        </w:tc>
        <w:tc>
          <w:tcPr>
            <w:tcW w:type="dxa" w:w="3120"/>
            <w:shd w:val="clear" w:color="auto" w:fill="F8FAFC"/>
            <w:tcMar>
              <w:top w:w="80" w:type="dxa"/>
              <w:bottom w:w="80" w:type="dxa"/>
              <w:left w:w="100" w:type="dxa"/>
              <w:right w:w="100" w:type="dxa"/>
            </w:tcMar>
          </w:tcPr>
          <w:p>
            <w:r>
              <w:rPr>
                <w:rFonts w:ascii="Calibri" w:hAnsi="Calibri"/>
                <w:color w:val="334155"/>
                <w:sz w:val="19"/>
              </w:rPr>
              <w:t>Automated problem categorization, severity risk rating, and speech-to-text dictation.</w:t>
            </w:r>
          </w:p>
        </w:tc>
      </w:tr>
      <w:tr>
        <w:tc>
          <w:tcPr>
            <w:tcW w:type="dxa" w:w="3120"/>
            <w:shd w:val="clear" w:color="auto" w:fill="FFFFFF"/>
            <w:tcMar>
              <w:top w:w="80" w:type="dxa"/>
              <w:bottom w:w="80" w:type="dxa"/>
              <w:left w:w="100" w:type="dxa"/>
              <w:right w:w="100" w:type="dxa"/>
            </w:tcMar>
          </w:tcPr>
          <w:p>
            <w:r>
              <w:rPr>
                <w:rFonts w:ascii="Calibri" w:hAnsi="Calibri"/>
                <w:b/>
                <w:color w:val="334155"/>
                <w:sz w:val="19"/>
              </w:rPr>
              <w:t>Deployment &amp; Infrastructure</w:t>
            </w:r>
          </w:p>
        </w:tc>
        <w:tc>
          <w:tcPr>
            <w:tcW w:type="dxa" w:w="3120"/>
            <w:shd w:val="clear" w:color="auto" w:fill="FFFFFF"/>
            <w:tcMar>
              <w:top w:w="80" w:type="dxa"/>
              <w:bottom w:w="80" w:type="dxa"/>
              <w:left w:w="100" w:type="dxa"/>
              <w:right w:w="100" w:type="dxa"/>
            </w:tcMar>
          </w:tcPr>
          <w:p>
            <w:r>
              <w:rPr>
                <w:rFonts w:ascii="Calibri" w:hAnsi="Calibri"/>
                <w:color w:val="334155"/>
                <w:sz w:val="19"/>
              </w:rPr>
              <w:t>Vercel Serverless Edge + GitHub</w:t>
            </w:r>
          </w:p>
        </w:tc>
        <w:tc>
          <w:tcPr>
            <w:tcW w:type="dxa" w:w="3120"/>
            <w:shd w:val="clear" w:color="auto" w:fill="FFFFFF"/>
            <w:tcMar>
              <w:top w:w="80" w:type="dxa"/>
              <w:bottom w:w="80" w:type="dxa"/>
              <w:left w:w="100" w:type="dxa"/>
              <w:right w:w="100" w:type="dxa"/>
            </w:tcMar>
          </w:tcPr>
          <w:p>
            <w:r>
              <w:rPr>
                <w:rFonts w:ascii="Calibri" w:hAnsi="Calibri"/>
                <w:color w:val="334155"/>
                <w:sz w:val="19"/>
              </w:rPr>
              <w:t>Sub-second global CDN response, zero-downtime CI/CD continuous deployment pipeline.</w:t>
            </w:r>
          </w:p>
        </w:tc>
      </w:tr>
    </w:tbl>
    <w:p>
      <w:pPr>
        <w:spacing w:after="120"/>
      </w:pPr>
    </w:p>
    <w:p>
      <w:pPr>
        <w:keepNext/>
        <w:spacing w:before="360" w:after="120"/>
      </w:pPr>
      <w:r>
        <w:rPr>
          <w:rFonts w:ascii="Calibri" w:hAnsi="Calibri"/>
          <w:b/>
          <w:color w:val="0F172A"/>
          <w:sz w:val="36"/>
        </w:rPr>
        <w:t>4. Key Functional Modules &amp; GitHub Source Code Mapping</w:t>
      </w:r>
    </w:p>
    <w:p>
      <w:pPr>
        <w:spacing w:before="0" w:after="120" w:line="276" w:lineRule="auto"/>
      </w:pPr>
      <w:r>
        <w:rPr>
          <w:rFonts w:ascii="Calibri" w:hAnsi="Calibri"/>
          <w:color w:val="334155"/>
          <w:sz w:val="21"/>
        </w:rPr>
        <w:t>Each subsystem within the CivicSense repository is strictly decoupled and organized under modern App Router conventions. The table below details each functional component with its primary responsibilities and a direct clickable link to inspect the exact source code file in the official GitHub repository.</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68"/>
        <w:gridCol w:w="2880"/>
        <w:gridCol w:w="3312"/>
      </w:tblGrid>
      <w:tr>
        <w:tc>
          <w:tcPr>
            <w:tcW w:type="dxa" w:w="3120"/>
            <w:shd w:val="clear" w:color="auto" w:fill="0F172A"/>
            <w:tcMar>
              <w:top w:w="100" w:type="dxa"/>
              <w:bottom w:w="100" w:type="dxa"/>
              <w:left w:w="100" w:type="dxa"/>
              <w:right w:w="100" w:type="dxa"/>
            </w:tcMar>
          </w:tcPr>
          <w:p>
            <w:r>
              <w:rPr>
                <w:rFonts w:ascii="Calibri" w:hAnsi="Calibri"/>
                <w:b/>
                <w:color w:val="FFFFFF"/>
                <w:sz w:val="20"/>
              </w:rPr>
              <w:t>Module &amp; Functionality</w:t>
            </w:r>
          </w:p>
        </w:tc>
        <w:tc>
          <w:tcPr>
            <w:tcW w:type="dxa" w:w="3120"/>
            <w:shd w:val="clear" w:color="auto" w:fill="0F172A"/>
            <w:tcMar>
              <w:top w:w="100" w:type="dxa"/>
              <w:bottom w:w="100" w:type="dxa"/>
              <w:left w:w="100" w:type="dxa"/>
              <w:right w:w="100" w:type="dxa"/>
            </w:tcMar>
          </w:tcPr>
          <w:p>
            <w:r>
              <w:rPr>
                <w:rFonts w:ascii="Calibri" w:hAnsi="Calibri"/>
                <w:b/>
                <w:color w:val="FFFFFF"/>
                <w:sz w:val="20"/>
              </w:rPr>
              <w:t>Direct GitHub File Link</w:t>
            </w:r>
          </w:p>
        </w:tc>
        <w:tc>
          <w:tcPr>
            <w:tcW w:type="dxa" w:w="3120"/>
            <w:shd w:val="clear" w:color="auto" w:fill="0F172A"/>
            <w:tcMar>
              <w:top w:w="100" w:type="dxa"/>
              <w:bottom w:w="100" w:type="dxa"/>
              <w:left w:w="100" w:type="dxa"/>
              <w:right w:w="100" w:type="dxa"/>
            </w:tcMar>
          </w:tcPr>
          <w:p>
            <w:r>
              <w:rPr>
                <w:rFonts w:ascii="Calibri" w:hAnsi="Calibri"/>
                <w:b/>
                <w:color w:val="FFFFFF"/>
                <w:sz w:val="20"/>
              </w:rPr>
              <w:t>Architectural Responsibility</w:t>
            </w:r>
          </w:p>
        </w:tc>
      </w:tr>
      <w:tr>
        <w:tc>
          <w:tcPr>
            <w:tcW w:type="dxa" w:w="3120"/>
            <w:shd w:val="clear" w:color="auto" w:fill="F8FAFC"/>
            <w:tcMar>
              <w:top w:w="70" w:type="dxa"/>
              <w:bottom w:w="70" w:type="dxa"/>
              <w:left w:w="90" w:type="dxa"/>
              <w:right w:w="90" w:type="dxa"/>
            </w:tcMar>
          </w:tcPr>
          <w:p>
            <w:r>
              <w:rPr>
                <w:rFonts w:ascii="Calibri" w:hAnsi="Calibri"/>
                <w:b/>
                <w:color w:val="0F172A"/>
                <w:sz w:val="19"/>
              </w:rPr>
              <w:t>Citizen Problem Registration Flow</w:t>
            </w:r>
          </w:p>
        </w:tc>
        <w:tc>
          <w:tcPr>
            <w:tcW w:type="dxa" w:w="3120"/>
            <w:shd w:val="clear" w:color="auto" w:fill="F8FAFC"/>
            <w:tcMar>
              <w:top w:w="70" w:type="dxa"/>
              <w:bottom w:w="70" w:type="dxa"/>
              <w:left w:w="90" w:type="dxa"/>
              <w:right w:w="90" w:type="dxa"/>
            </w:tcMar>
          </w:tcPr>
          <w:p>
            <w:hyperlink r:id="rId16">
              <w:r>
                <w:rPr>
                  <w:color w:val="1D4ED8"/>
                  <w:u w:val="single"/>
                  <w:b/>
                </w:rPr>
                <w:t>src/app/report/page.tsx</w:t>
              </w:r>
            </w:hyperlink>
          </w:p>
        </w:tc>
        <w:tc>
          <w:tcPr>
            <w:tcW w:type="dxa" w:w="3120"/>
            <w:shd w:val="clear" w:color="auto" w:fill="F8FAFC"/>
            <w:tcMar>
              <w:top w:w="70" w:type="dxa"/>
              <w:bottom w:w="70" w:type="dxa"/>
              <w:left w:w="90" w:type="dxa"/>
              <w:right w:w="90" w:type="dxa"/>
            </w:tcMar>
          </w:tcPr>
          <w:p>
            <w:r>
              <w:rPr>
                <w:rFonts w:ascii="Calibri" w:hAnsi="Calibri"/>
                <w:color w:val="334155"/>
                <w:sz w:val="18"/>
              </w:rPr>
              <w:t>4-step guided wizard for domain selection, voice dictation, GPS tagging, and photo evidence upload.</w:t>
            </w:r>
          </w:p>
        </w:tc>
      </w:tr>
      <w:tr>
        <w:tc>
          <w:tcPr>
            <w:tcW w:type="dxa" w:w="3120"/>
            <w:shd w:val="clear" w:color="auto" w:fill="FFFFFF"/>
            <w:tcMar>
              <w:top w:w="70" w:type="dxa"/>
              <w:bottom w:w="70" w:type="dxa"/>
              <w:left w:w="90" w:type="dxa"/>
              <w:right w:w="90" w:type="dxa"/>
            </w:tcMar>
          </w:tcPr>
          <w:p>
            <w:r>
              <w:rPr>
                <w:rFonts w:ascii="Calibri" w:hAnsi="Calibri"/>
                <w:b/>
                <w:color w:val="0F172A"/>
                <w:sz w:val="19"/>
              </w:rPr>
              <w:t>Citizen Applications Dashboard</w:t>
            </w:r>
          </w:p>
        </w:tc>
        <w:tc>
          <w:tcPr>
            <w:tcW w:type="dxa" w:w="3120"/>
            <w:shd w:val="clear" w:color="auto" w:fill="FFFFFF"/>
            <w:tcMar>
              <w:top w:w="70" w:type="dxa"/>
              <w:bottom w:w="70" w:type="dxa"/>
              <w:left w:w="90" w:type="dxa"/>
              <w:right w:w="90" w:type="dxa"/>
            </w:tcMar>
          </w:tcPr>
          <w:p>
            <w:hyperlink r:id="rId17">
              <w:r>
                <w:rPr>
                  <w:color w:val="1D4ED8"/>
                  <w:u w:val="single"/>
                  <w:b/>
                </w:rPr>
                <w:t>src/app/applications/page.tsx</w:t>
              </w:r>
            </w:hyperlink>
          </w:p>
        </w:tc>
        <w:tc>
          <w:tcPr>
            <w:tcW w:type="dxa" w:w="3120"/>
            <w:shd w:val="clear" w:color="auto" w:fill="FFFFFF"/>
            <w:tcMar>
              <w:top w:w="70" w:type="dxa"/>
              <w:bottom w:w="70" w:type="dxa"/>
              <w:left w:w="90" w:type="dxa"/>
              <w:right w:w="90" w:type="dxa"/>
            </w:tcMar>
          </w:tcPr>
          <w:p>
            <w:r>
              <w:rPr>
                <w:rFonts w:ascii="Calibri" w:hAnsi="Calibri"/>
                <w:color w:val="334155"/>
                <w:sz w:val="18"/>
              </w:rPr>
              <w:t>Personalized grievance management dashboard with status filters, domain badges, and search.</w:t>
            </w:r>
          </w:p>
        </w:tc>
      </w:tr>
      <w:tr>
        <w:tc>
          <w:tcPr>
            <w:tcW w:type="dxa" w:w="3120"/>
            <w:shd w:val="clear" w:color="auto" w:fill="F8FAFC"/>
            <w:tcMar>
              <w:top w:w="70" w:type="dxa"/>
              <w:bottom w:w="70" w:type="dxa"/>
              <w:left w:w="90" w:type="dxa"/>
              <w:right w:w="90" w:type="dxa"/>
            </w:tcMar>
          </w:tcPr>
          <w:p>
            <w:r>
              <w:rPr>
                <w:rFonts w:ascii="Calibri" w:hAnsi="Calibri"/>
                <w:b/>
                <w:color w:val="0F172A"/>
                <w:sz w:val="19"/>
              </w:rPr>
              <w:t>Real-Time Tracking &amp; Timeline</w:t>
            </w:r>
          </w:p>
        </w:tc>
        <w:tc>
          <w:tcPr>
            <w:tcW w:type="dxa" w:w="3120"/>
            <w:shd w:val="clear" w:color="auto" w:fill="F8FAFC"/>
            <w:tcMar>
              <w:top w:w="70" w:type="dxa"/>
              <w:bottom w:w="70" w:type="dxa"/>
              <w:left w:w="90" w:type="dxa"/>
              <w:right w:w="90" w:type="dxa"/>
            </w:tcMar>
          </w:tcPr>
          <w:p>
            <w:hyperlink r:id="rId18">
              <w:r>
                <w:rPr>
                  <w:color w:val="1D4ED8"/>
                  <w:u w:val="single"/>
                  <w:b/>
                </w:rPr>
                <w:t>src/app/status/[id]/page.tsx</w:t>
              </w:r>
            </w:hyperlink>
          </w:p>
        </w:tc>
        <w:tc>
          <w:tcPr>
            <w:tcW w:type="dxa" w:w="3120"/>
            <w:shd w:val="clear" w:color="auto" w:fill="F8FAFC"/>
            <w:tcMar>
              <w:top w:w="70" w:type="dxa"/>
              <w:bottom w:w="70" w:type="dxa"/>
              <w:left w:w="90" w:type="dxa"/>
              <w:right w:w="90" w:type="dxa"/>
            </w:tcMar>
          </w:tcPr>
          <w:p>
            <w:r>
              <w:rPr>
                <w:rFonts w:ascii="Calibri" w:hAnsi="Calibri"/>
                <w:color w:val="334155"/>
                <w:sz w:val="18"/>
              </w:rPr>
              <w:t>Comprehensive 5-stage visual progress timeline displaying officer assignment, verification, and resolution.</w:t>
            </w:r>
          </w:p>
        </w:tc>
      </w:tr>
      <w:tr>
        <w:tc>
          <w:tcPr>
            <w:tcW w:type="dxa" w:w="3120"/>
            <w:shd w:val="clear" w:color="auto" w:fill="FFFFFF"/>
            <w:tcMar>
              <w:top w:w="70" w:type="dxa"/>
              <w:bottom w:w="70" w:type="dxa"/>
              <w:left w:w="90" w:type="dxa"/>
              <w:right w:w="90" w:type="dxa"/>
            </w:tcMar>
          </w:tcPr>
          <w:p>
            <w:r>
              <w:rPr>
                <w:rFonts w:ascii="Calibri" w:hAnsi="Calibri"/>
                <w:b/>
                <w:color w:val="0F172A"/>
                <w:sz w:val="19"/>
              </w:rPr>
              <w:t>Consolidated Incident Engine</w:t>
            </w:r>
          </w:p>
        </w:tc>
        <w:tc>
          <w:tcPr>
            <w:tcW w:type="dxa" w:w="3120"/>
            <w:shd w:val="clear" w:color="auto" w:fill="FFFFFF"/>
            <w:tcMar>
              <w:top w:w="70" w:type="dxa"/>
              <w:bottom w:w="70" w:type="dxa"/>
              <w:left w:w="90" w:type="dxa"/>
              <w:right w:w="90" w:type="dxa"/>
            </w:tcMar>
          </w:tcPr>
          <w:p>
            <w:hyperlink r:id="rId19">
              <w:r>
                <w:rPr>
                  <w:color w:val="1D4ED8"/>
                  <w:u w:val="single"/>
                  <w:b/>
                </w:rPr>
                <w:t>src/app/admin/incidents/page.tsx</w:t>
              </w:r>
            </w:hyperlink>
          </w:p>
        </w:tc>
        <w:tc>
          <w:tcPr>
            <w:tcW w:type="dxa" w:w="3120"/>
            <w:shd w:val="clear" w:color="auto" w:fill="FFFFFF"/>
            <w:tcMar>
              <w:top w:w="70" w:type="dxa"/>
              <w:bottom w:w="70" w:type="dxa"/>
              <w:left w:w="90" w:type="dxa"/>
              <w:right w:w="90" w:type="dxa"/>
            </w:tcMar>
          </w:tcPr>
          <w:p>
            <w:r>
              <w:rPr>
                <w:rFonts w:ascii="Calibri" w:hAnsi="Calibri"/>
                <w:color w:val="334155"/>
                <w:sz w:val="18"/>
              </w:rPr>
              <w:t>Cluster management system linking multiple duplicate complaints into unified Master Incidents.</w:t>
            </w:r>
          </w:p>
        </w:tc>
      </w:tr>
      <w:tr>
        <w:tc>
          <w:tcPr>
            <w:tcW w:type="dxa" w:w="3120"/>
            <w:shd w:val="clear" w:color="auto" w:fill="F8FAFC"/>
            <w:tcMar>
              <w:top w:w="70" w:type="dxa"/>
              <w:bottom w:w="70" w:type="dxa"/>
              <w:left w:w="90" w:type="dxa"/>
              <w:right w:w="90" w:type="dxa"/>
            </w:tcMar>
          </w:tcPr>
          <w:p>
            <w:r>
              <w:rPr>
                <w:rFonts w:ascii="Calibri" w:hAnsi="Calibri"/>
                <w:b/>
                <w:color w:val="0F172A"/>
                <w:sz w:val="19"/>
              </w:rPr>
              <w:t>Municipal GIS Command Map</w:t>
            </w:r>
          </w:p>
        </w:tc>
        <w:tc>
          <w:tcPr>
            <w:tcW w:type="dxa" w:w="3120"/>
            <w:shd w:val="clear" w:color="auto" w:fill="F8FAFC"/>
            <w:tcMar>
              <w:top w:w="70" w:type="dxa"/>
              <w:bottom w:w="70" w:type="dxa"/>
              <w:left w:w="90" w:type="dxa"/>
              <w:right w:w="90" w:type="dxa"/>
            </w:tcMar>
          </w:tcPr>
          <w:p>
            <w:hyperlink r:id="rId20">
              <w:r>
                <w:rPr>
                  <w:color w:val="1D4ED8"/>
                  <w:u w:val="single"/>
                  <w:b/>
                </w:rPr>
                <w:t>src/components/CityMap.tsx</w:t>
              </w:r>
            </w:hyperlink>
          </w:p>
        </w:tc>
        <w:tc>
          <w:tcPr>
            <w:tcW w:type="dxa" w:w="3120"/>
            <w:shd w:val="clear" w:color="auto" w:fill="F8FAFC"/>
            <w:tcMar>
              <w:top w:w="70" w:type="dxa"/>
              <w:bottom w:w="70" w:type="dxa"/>
              <w:left w:w="90" w:type="dxa"/>
              <w:right w:w="90" w:type="dxa"/>
            </w:tcMar>
          </w:tcPr>
          <w:p>
            <w:r>
              <w:rPr>
                <w:rFonts w:ascii="Calibri" w:hAnsi="Calibri"/>
                <w:color w:val="334155"/>
                <w:sz w:val="18"/>
              </w:rPr>
              <w:t>Full-screen Leaflet GIS map with ward boundary overlays, incident radius circles, and priority heat markers.</w:t>
            </w:r>
          </w:p>
        </w:tc>
      </w:tr>
      <w:tr>
        <w:tc>
          <w:tcPr>
            <w:tcW w:type="dxa" w:w="3120"/>
            <w:shd w:val="clear" w:color="auto" w:fill="FFFFFF"/>
            <w:tcMar>
              <w:top w:w="70" w:type="dxa"/>
              <w:bottom w:w="70" w:type="dxa"/>
              <w:left w:w="90" w:type="dxa"/>
              <w:right w:w="90" w:type="dxa"/>
            </w:tcMar>
          </w:tcPr>
          <w:p>
            <w:r>
              <w:rPr>
                <w:rFonts w:ascii="Calibri" w:hAnsi="Calibri"/>
                <w:b/>
                <w:color w:val="0F172A"/>
                <w:sz w:val="19"/>
              </w:rPr>
              <w:t>Government Inspection Generator</w:t>
            </w:r>
          </w:p>
        </w:tc>
        <w:tc>
          <w:tcPr>
            <w:tcW w:type="dxa" w:w="3120"/>
            <w:shd w:val="clear" w:color="auto" w:fill="FFFFFF"/>
            <w:tcMar>
              <w:top w:w="70" w:type="dxa"/>
              <w:bottom w:w="70" w:type="dxa"/>
              <w:left w:w="90" w:type="dxa"/>
              <w:right w:w="90" w:type="dxa"/>
            </w:tcMar>
          </w:tcPr>
          <w:p>
            <w:hyperlink r:id="rId21">
              <w:r>
                <w:rPr>
                  <w:color w:val="1D4ED8"/>
                  <w:u w:val="single"/>
                  <w:b/>
                </w:rPr>
                <w:t>src/components/GovernmentReportGenerator.tsx</w:t>
              </w:r>
            </w:hyperlink>
          </w:p>
        </w:tc>
        <w:tc>
          <w:tcPr>
            <w:tcW w:type="dxa" w:w="3120"/>
            <w:shd w:val="clear" w:color="auto" w:fill="FFFFFF"/>
            <w:tcMar>
              <w:top w:w="70" w:type="dxa"/>
              <w:bottom w:w="70" w:type="dxa"/>
              <w:left w:w="90" w:type="dxa"/>
              <w:right w:w="90" w:type="dxa"/>
            </w:tcMar>
          </w:tcPr>
          <w:p>
            <w:r>
              <w:rPr>
                <w:rFonts w:ascii="Calibri" w:hAnsi="Calibri"/>
                <w:color w:val="334155"/>
                <w:sz w:val="18"/>
              </w:rPr>
              <w:t>Official audit-ready inspection report generator with stamp block, officer signature, and GPS evidence.</w:t>
            </w:r>
          </w:p>
        </w:tc>
      </w:tr>
      <w:tr>
        <w:tc>
          <w:tcPr>
            <w:tcW w:type="dxa" w:w="3120"/>
            <w:shd w:val="clear" w:color="auto" w:fill="F8FAFC"/>
            <w:tcMar>
              <w:top w:w="70" w:type="dxa"/>
              <w:bottom w:w="70" w:type="dxa"/>
              <w:left w:w="90" w:type="dxa"/>
              <w:right w:w="90" w:type="dxa"/>
            </w:tcMar>
          </w:tcPr>
          <w:p>
            <w:r>
              <w:rPr>
                <w:rFonts w:ascii="Calibri" w:hAnsi="Calibri"/>
                <w:b/>
                <w:color w:val="0F172A"/>
                <w:sz w:val="19"/>
              </w:rPr>
              <w:t>Voice Typing &amp; Speech Recognition</w:t>
            </w:r>
          </w:p>
        </w:tc>
        <w:tc>
          <w:tcPr>
            <w:tcW w:type="dxa" w:w="3120"/>
            <w:shd w:val="clear" w:color="auto" w:fill="F8FAFC"/>
            <w:tcMar>
              <w:top w:w="70" w:type="dxa"/>
              <w:bottom w:w="70" w:type="dxa"/>
              <w:left w:w="90" w:type="dxa"/>
              <w:right w:w="90" w:type="dxa"/>
            </w:tcMar>
          </w:tcPr>
          <w:p>
            <w:hyperlink r:id="rId22">
              <w:r>
                <w:rPr>
                  <w:color w:val="1D4ED8"/>
                  <w:u w:val="single"/>
                  <w:b/>
                </w:rPr>
                <w:t>src/components/VoiceTyping.tsx</w:t>
              </w:r>
            </w:hyperlink>
          </w:p>
        </w:tc>
        <w:tc>
          <w:tcPr>
            <w:tcW w:type="dxa" w:w="3120"/>
            <w:shd w:val="clear" w:color="auto" w:fill="F8FAFC"/>
            <w:tcMar>
              <w:top w:w="70" w:type="dxa"/>
              <w:bottom w:w="70" w:type="dxa"/>
              <w:left w:w="90" w:type="dxa"/>
              <w:right w:w="90" w:type="dxa"/>
            </w:tcMar>
          </w:tcPr>
          <w:p>
            <w:r>
              <w:rPr>
                <w:rFonts w:ascii="Calibri" w:hAnsi="Calibri"/>
                <w:color w:val="334155"/>
                <w:sz w:val="18"/>
              </w:rPr>
              <w:t>Browser SpeechRecognition wrapper enabling real-time voice-to-text input across 6 regional dialects.</w:t>
            </w:r>
          </w:p>
        </w:tc>
      </w:tr>
      <w:tr>
        <w:tc>
          <w:tcPr>
            <w:tcW w:type="dxa" w:w="3120"/>
            <w:shd w:val="clear" w:color="auto" w:fill="FFFFFF"/>
            <w:tcMar>
              <w:top w:w="70" w:type="dxa"/>
              <w:bottom w:w="70" w:type="dxa"/>
              <w:left w:w="90" w:type="dxa"/>
              <w:right w:w="90" w:type="dxa"/>
            </w:tcMar>
          </w:tcPr>
          <w:p>
            <w:r>
              <w:rPr>
                <w:rFonts w:ascii="Calibri" w:hAnsi="Calibri"/>
                <w:b/>
                <w:color w:val="0F172A"/>
                <w:sz w:val="19"/>
              </w:rPr>
              <w:t>Interactive Civic AI Assistant</w:t>
            </w:r>
          </w:p>
        </w:tc>
        <w:tc>
          <w:tcPr>
            <w:tcW w:type="dxa" w:w="3120"/>
            <w:shd w:val="clear" w:color="auto" w:fill="FFFFFF"/>
            <w:tcMar>
              <w:top w:w="70" w:type="dxa"/>
              <w:bottom w:w="70" w:type="dxa"/>
              <w:left w:w="90" w:type="dxa"/>
              <w:right w:w="90" w:type="dxa"/>
            </w:tcMar>
          </w:tcPr>
          <w:p>
            <w:hyperlink r:id="rId23">
              <w:r>
                <w:rPr>
                  <w:color w:val="1D4ED8"/>
                  <w:u w:val="single"/>
                  <w:b/>
                </w:rPr>
                <w:t>src/components/CivicSenseAIChat.tsx</w:t>
              </w:r>
            </w:hyperlink>
          </w:p>
        </w:tc>
        <w:tc>
          <w:tcPr>
            <w:tcW w:type="dxa" w:w="3120"/>
            <w:shd w:val="clear" w:color="auto" w:fill="FFFFFF"/>
            <w:tcMar>
              <w:top w:w="70" w:type="dxa"/>
              <w:bottom w:w="70" w:type="dxa"/>
              <w:left w:w="90" w:type="dxa"/>
              <w:right w:w="90" w:type="dxa"/>
            </w:tcMar>
          </w:tcPr>
          <w:p>
            <w:r>
              <w:rPr>
                <w:rFonts w:ascii="Calibri" w:hAnsi="Calibri"/>
                <w:color w:val="334155"/>
                <w:sz w:val="18"/>
              </w:rPr>
              <w:t>Context-aware civic chatbot assisting citizens in drafting complaints, finding helplines, and checking SLAs.</w:t>
            </w:r>
          </w:p>
        </w:tc>
      </w:tr>
      <w:tr>
        <w:tc>
          <w:tcPr>
            <w:tcW w:type="dxa" w:w="3120"/>
            <w:shd w:val="clear" w:color="auto" w:fill="F8FAFC"/>
            <w:tcMar>
              <w:top w:w="70" w:type="dxa"/>
              <w:bottom w:w="70" w:type="dxa"/>
              <w:left w:w="90" w:type="dxa"/>
              <w:right w:w="90" w:type="dxa"/>
            </w:tcMar>
          </w:tcPr>
          <w:p>
            <w:r>
              <w:rPr>
                <w:rFonts w:ascii="Calibri" w:hAnsi="Calibri"/>
                <w:b/>
                <w:color w:val="0F172A"/>
                <w:sz w:val="19"/>
              </w:rPr>
              <w:t>Multilingual Localization Core</w:t>
            </w:r>
          </w:p>
        </w:tc>
        <w:tc>
          <w:tcPr>
            <w:tcW w:type="dxa" w:w="3120"/>
            <w:shd w:val="clear" w:color="auto" w:fill="F8FAFC"/>
            <w:tcMar>
              <w:top w:w="70" w:type="dxa"/>
              <w:bottom w:w="70" w:type="dxa"/>
              <w:left w:w="90" w:type="dxa"/>
              <w:right w:w="90" w:type="dxa"/>
            </w:tcMar>
          </w:tcPr>
          <w:p>
            <w:hyperlink r:id="rId24">
              <w:r>
                <w:rPr>
                  <w:color w:val="1D4ED8"/>
                  <w:u w:val="single"/>
                  <w:b/>
                </w:rPr>
                <w:t>src/lib/i18n.ts</w:t>
              </w:r>
            </w:hyperlink>
          </w:p>
        </w:tc>
        <w:tc>
          <w:tcPr>
            <w:tcW w:type="dxa" w:w="3120"/>
            <w:shd w:val="clear" w:color="auto" w:fill="F8FAFC"/>
            <w:tcMar>
              <w:top w:w="70" w:type="dxa"/>
              <w:bottom w:w="70" w:type="dxa"/>
              <w:left w:w="90" w:type="dxa"/>
              <w:right w:w="90" w:type="dxa"/>
            </w:tcMar>
          </w:tcPr>
          <w:p>
            <w:r>
              <w:rPr>
                <w:rFonts w:ascii="Calibri" w:hAnsi="Calibri"/>
                <w:color w:val="334155"/>
                <w:sz w:val="18"/>
              </w:rPr>
              <w:t>Enterprise dictionary storing 120+ translation keys across English, Kannada, Hindi, Tamil, Telugu, and Marathi.</w:t>
            </w:r>
          </w:p>
        </w:tc>
      </w:tr>
      <w:tr>
        <w:tc>
          <w:tcPr>
            <w:tcW w:type="dxa" w:w="3120"/>
            <w:shd w:val="clear" w:color="auto" w:fill="FFFFFF"/>
            <w:tcMar>
              <w:top w:w="70" w:type="dxa"/>
              <w:bottom w:w="70" w:type="dxa"/>
              <w:left w:w="90" w:type="dxa"/>
              <w:right w:w="90" w:type="dxa"/>
            </w:tcMar>
          </w:tcPr>
          <w:p>
            <w:r>
              <w:rPr>
                <w:rFonts w:ascii="Calibri" w:hAnsi="Calibri"/>
                <w:b/>
                <w:color w:val="0F172A"/>
                <w:sz w:val="19"/>
              </w:rPr>
              <w:t>Official Presentation Deck</w:t>
            </w:r>
          </w:p>
        </w:tc>
        <w:tc>
          <w:tcPr>
            <w:tcW w:type="dxa" w:w="3120"/>
            <w:shd w:val="clear" w:color="auto" w:fill="FFFFFF"/>
            <w:tcMar>
              <w:top w:w="70" w:type="dxa"/>
              <w:bottom w:w="70" w:type="dxa"/>
              <w:left w:w="90" w:type="dxa"/>
              <w:right w:w="90" w:type="dxa"/>
            </w:tcMar>
          </w:tcPr>
          <w:p>
            <w:hyperlink r:id="rId25">
              <w:r>
                <w:rPr>
                  <w:color w:val="1D4ED8"/>
                  <w:u w:val="single"/>
                  <w:b/>
                </w:rPr>
                <w:t>src/app/presentation/page.tsx</w:t>
              </w:r>
            </w:hyperlink>
          </w:p>
        </w:tc>
        <w:tc>
          <w:tcPr>
            <w:tcW w:type="dxa" w:w="3120"/>
            <w:shd w:val="clear" w:color="auto" w:fill="FFFFFF"/>
            <w:tcMar>
              <w:top w:w="70" w:type="dxa"/>
              <w:bottom w:w="70" w:type="dxa"/>
              <w:left w:w="90" w:type="dxa"/>
              <w:right w:w="90" w:type="dxa"/>
            </w:tcMar>
          </w:tcPr>
          <w:p>
            <w:r>
              <w:rPr>
                <w:rFonts w:ascii="Calibri" w:hAnsi="Calibri"/>
                <w:color w:val="334155"/>
                <w:sz w:val="18"/>
              </w:rPr>
              <w:t>Interactive 10-slide high-impact presentation deck with slide selector, photos, and print-ready CSS.</w:t>
            </w:r>
          </w:p>
        </w:tc>
      </w:tr>
    </w:tbl>
    <w:p>
      <w:r>
        <w:br w:type="page"/>
      </w:r>
    </w:p>
    <w:p>
      <w:pPr>
        <w:keepNext/>
        <w:spacing w:before="360" w:after="120"/>
      </w:pPr>
      <w:r>
        <w:rPr>
          <w:rFonts w:ascii="Calibri" w:hAnsi="Calibri"/>
          <w:b/>
          <w:color w:val="0F172A"/>
          <w:sz w:val="36"/>
        </w:rPr>
        <w:t>5. In-Depth Analysis: The 4-Step Citizen Reporting Workflow</w:t>
      </w:r>
    </w:p>
    <w:p>
      <w:pPr>
        <w:spacing w:before="0" w:after="120" w:line="276" w:lineRule="auto"/>
      </w:pPr>
      <w:r>
        <w:rPr>
          <w:rFonts w:ascii="Calibri" w:hAnsi="Calibri"/>
          <w:color w:val="334155"/>
          <w:sz w:val="21"/>
        </w:rPr>
        <w:t xml:space="preserve">Filing a civic grievance must be as frictionless and intuitive as possible to encourage widespread public adoption. CivicSense breaks down the reporting lifecycle into four progressive steps implemented in </w:t>
      </w:r>
      <w:hyperlink r:id="rId16">
        <w:r>
          <w:rPr>
            <w:color w:val="1D4ED8"/>
            <w:u w:val="single"/>
            <w:b/>
          </w:rPr>
          <w:t>src/app/report/page.tsx</w:t>
        </w:r>
      </w:hyperlink>
      <w:r>
        <w:t>:</w:t>
      </w:r>
    </w:p>
    <w:p>
      <w:pPr>
        <w:pStyle w:val="ListBullet"/>
        <w:spacing w:before="0" w:after="60" w:line="276" w:lineRule="auto"/>
      </w:pPr>
      <w:r>
        <w:rPr>
          <w:rFonts w:ascii="Calibri" w:hAnsi="Calibri"/>
          <w:b/>
          <w:color w:val="0F172A"/>
          <w:sz w:val="21"/>
        </w:rPr>
        <w:t xml:space="preserve">Step 1 — Problem Classification &amp; Voice Typing: </w:t>
      </w:r>
      <w:r>
        <w:rPr>
          <w:rFonts w:ascii="Calibri" w:hAnsi="Calibri"/>
          <w:color w:val="334155"/>
          <w:sz w:val="21"/>
        </w:rPr>
        <w:t>Citizens select their municipal category (Roads &amp; Footpaths, Water Supply, Electricity, Solid Waste, Drainage, Public Health) and specific issue type. To bypass manual typing friction on mobile screens, the integrated VoiceTyping component allows citizens to speak naturally into their microphone, transcribing spoken Marathi, Kannada, Hindi, or English directly into the description box.</w:t>
      </w:r>
    </w:p>
    <w:p>
      <w:pPr>
        <w:pStyle w:val="ListBullet"/>
        <w:spacing w:before="0" w:after="60" w:line="276" w:lineRule="auto"/>
      </w:pPr>
      <w:r>
        <w:rPr>
          <w:rFonts w:ascii="Calibri" w:hAnsi="Calibri"/>
          <w:b/>
          <w:color w:val="0F172A"/>
          <w:sz w:val="21"/>
        </w:rPr>
        <w:t xml:space="preserve">Step 2 — Dual-Mode Geolocation Tagging: </w:t>
      </w:r>
      <w:r>
        <w:rPr>
          <w:rFonts w:ascii="Calibri" w:hAnsi="Calibri"/>
          <w:color w:val="334155"/>
          <w:sz w:val="21"/>
        </w:rPr>
        <w:t>Citizens can either click 'Detect Current Location' to trigger HTML5 Geolocation (retrieving latitude, longitude, and accuracy within 5 meters), or use the interactive Leaflet Map Picker to drag a pin directly onto the exact pothole or ruptured pipe.</w:t>
      </w:r>
    </w:p>
    <w:p>
      <w:pPr>
        <w:pStyle w:val="ListBullet"/>
        <w:spacing w:before="0" w:after="60" w:line="276" w:lineRule="auto"/>
      </w:pPr>
      <w:r>
        <w:rPr>
          <w:rFonts w:ascii="Calibri" w:hAnsi="Calibri"/>
          <w:b/>
          <w:color w:val="0F172A"/>
          <w:sz w:val="21"/>
        </w:rPr>
        <w:t xml:space="preserve">Step 3 — Photo &amp; Video Evidence Upload: </w:t>
      </w:r>
      <w:r>
        <w:rPr>
          <w:rFonts w:ascii="Calibri" w:hAnsi="Calibri"/>
          <w:color w:val="334155"/>
          <w:sz w:val="21"/>
        </w:rPr>
        <w:t>Visual proof eliminates false or exaggerated reports. The file uploader accepts real-time camera captures or uploaded media files, automatically rendering a preview and storing compressed evidence.</w:t>
      </w:r>
    </w:p>
    <w:p>
      <w:pPr>
        <w:pStyle w:val="ListBullet"/>
        <w:spacing w:before="0" w:after="60" w:line="276" w:lineRule="auto"/>
      </w:pPr>
      <w:r>
        <w:rPr>
          <w:rFonts w:ascii="Calibri" w:hAnsi="Calibri"/>
          <w:b/>
          <w:color w:val="0F172A"/>
          <w:sz w:val="21"/>
        </w:rPr>
        <w:t xml:space="preserve">Step 4 — Review &amp; Application Tracking Dispatch: </w:t>
      </w:r>
      <w:r>
        <w:rPr>
          <w:rFonts w:ascii="Calibri" w:hAnsi="Calibri"/>
          <w:color w:val="334155"/>
          <w:sz w:val="21"/>
        </w:rPr>
        <w:t>A confirmation screen summarizes the complaint, generates a permanent application tracking identifier (e.g., CS-2026-00001), and immediately places the complaint into the citizen's personal dashboard and the municipal triage queue.</w:t>
      </w:r>
    </w:p>
    <w:p>
      <w:pPr>
        <w:keepNext/>
        <w:spacing w:before="360" w:after="120"/>
      </w:pPr>
      <w:r>
        <w:rPr>
          <w:rFonts w:ascii="Calibri" w:hAnsi="Calibri"/>
          <w:b/>
          <w:color w:val="0F172A"/>
          <w:sz w:val="36"/>
        </w:rPr>
        <w:t>6. Smart Incident Clustering &amp; Deduplication Engine</w:t>
      </w:r>
    </w:p>
    <w:p>
      <w:pPr>
        <w:spacing w:before="0" w:after="120" w:line="276" w:lineRule="auto"/>
      </w:pPr>
      <w:r>
        <w:rPr>
          <w:rFonts w:ascii="Calibri" w:hAnsi="Calibri"/>
          <w:color w:val="334155"/>
          <w:sz w:val="21"/>
        </w:rPr>
        <w:t xml:space="preserve">The flagship technical innovation of CivicSense is its automated incident consolidation system, located at </w:t>
      </w:r>
      <w:hyperlink r:id="rId19">
        <w:r>
          <w:rPr>
            <w:color w:val="1D4ED8"/>
            <w:u w:val="single"/>
            <w:b/>
          </w:rPr>
          <w:t>src/app/admin/incidents/page.tsx</w:t>
        </w:r>
      </w:hyperlink>
      <w:r>
        <w:t>. This engine solves the 50x duplicate complaint crisis through spatial and semantic correlation:</w:t>
      </w:r>
    </w:p>
    <w:p>
      <w:pPr>
        <w:pStyle w:val="ListBullet"/>
        <w:spacing w:before="0" w:after="60" w:line="276" w:lineRule="auto"/>
      </w:pPr>
      <w:r>
        <w:rPr>
          <w:rFonts w:ascii="Calibri" w:hAnsi="Calibri"/>
          <w:b/>
          <w:color w:val="0F172A"/>
          <w:sz w:val="21"/>
        </w:rPr>
        <w:t xml:space="preserve">Haversine Distance Clustering: </w:t>
      </w:r>
      <w:r>
        <w:rPr>
          <w:rFonts w:ascii="Calibri" w:hAnsi="Calibri"/>
          <w:color w:val="334155"/>
          <w:sz w:val="21"/>
        </w:rPr>
        <w:t>When a new complaint is filed, the backend evaluates its geographic distance against existing active tickets within a 150-meter threshold.</w:t>
      </w:r>
    </w:p>
    <w:p>
      <w:pPr>
        <w:pStyle w:val="ListBullet"/>
        <w:spacing w:before="0" w:after="60" w:line="276" w:lineRule="auto"/>
      </w:pPr>
      <w:r>
        <w:rPr>
          <w:rFonts w:ascii="Calibri" w:hAnsi="Calibri"/>
          <w:b/>
          <w:color w:val="0F172A"/>
          <w:sz w:val="21"/>
        </w:rPr>
        <w:t xml:space="preserve">Category &amp; Semantic Verification: </w:t>
      </w:r>
      <w:r>
        <w:rPr>
          <w:rFonts w:ascii="Calibri" w:hAnsi="Calibri"/>
          <w:color w:val="334155"/>
          <w:sz w:val="21"/>
        </w:rPr>
        <w:t>Complaints sharing identical infrastructure domains (e.g., Water Supply pipe burst) within the spatial radius are candidates for grouping.</w:t>
      </w:r>
    </w:p>
    <w:p>
      <w:pPr>
        <w:pStyle w:val="ListBullet"/>
        <w:spacing w:before="0" w:after="60" w:line="276" w:lineRule="auto"/>
      </w:pPr>
      <w:r>
        <w:rPr>
          <w:rFonts w:ascii="Calibri" w:hAnsi="Calibri"/>
          <w:b/>
          <w:color w:val="0F172A"/>
          <w:sz w:val="21"/>
        </w:rPr>
        <w:t xml:space="preserve">Master Incident Synthesis: </w:t>
      </w:r>
      <w:r>
        <w:rPr>
          <w:rFonts w:ascii="Calibri" w:hAnsi="Calibri"/>
          <w:color w:val="334155"/>
          <w:sz w:val="21"/>
        </w:rPr>
        <w:t>Rather than creating isolated tickets for each reporter, individual complaints are grouped under a Master Incident (e.g., INC-2026-001). Each subsequent report increments the incident's Citizen Impact Counter, raising its Municipal Priority Score.</w:t>
      </w:r>
    </w:p>
    <w:p>
      <w:pPr>
        <w:pStyle w:val="ListBullet"/>
        <w:spacing w:before="0" w:after="60" w:line="276" w:lineRule="auto"/>
      </w:pPr>
      <w:r>
        <w:rPr>
          <w:rFonts w:ascii="Calibri" w:hAnsi="Calibri"/>
          <w:b/>
          <w:color w:val="0F172A"/>
          <w:sz w:val="21"/>
        </w:rPr>
        <w:t xml:space="preserve">Simultaneous Resolution Cascade: </w:t>
      </w:r>
      <w:r>
        <w:rPr>
          <w:rFonts w:ascii="Calibri" w:hAnsi="Calibri"/>
          <w:color w:val="334155"/>
          <w:sz w:val="21"/>
        </w:rPr>
        <w:t>When a municipal repair crew completes the work and marks the Master Incident 'Resolved', every linked citizen complaint is updated in real time. All 15+ reporting citizens receive instant notifications simultaneously.</w:t>
      </w:r>
    </w:p>
    <w:p>
      <w:pPr>
        <w:keepNext/>
        <w:spacing w:before="360" w:after="120"/>
      </w:pPr>
      <w:r>
        <w:rPr>
          <w:rFonts w:ascii="Calibri" w:hAnsi="Calibri"/>
          <w:b/>
          <w:color w:val="0F172A"/>
          <w:sz w:val="36"/>
        </w:rPr>
        <w:t>7. Municipal Admin Command Operations &amp; GIS Visualization</w:t>
      </w:r>
    </w:p>
    <w:p>
      <w:pPr>
        <w:spacing w:before="0" w:after="120" w:line="276" w:lineRule="auto"/>
      </w:pPr>
      <w:r>
        <w:rPr>
          <w:rFonts w:ascii="Calibri" w:hAnsi="Calibri"/>
          <w:color w:val="334155"/>
          <w:sz w:val="21"/>
        </w:rPr>
        <w:t xml:space="preserve">Urban administrators operate from a centralized operations command center located at </w:t>
      </w:r>
      <w:hyperlink r:id="rId26">
        <w:r>
          <w:rPr>
            <w:color w:val="1D4ED8"/>
            <w:u w:val="single"/>
            <w:b/>
          </w:rPr>
          <w:t>src/app/admin/page.tsx</w:t>
        </w:r>
      </w:hyperlink>
      <w:r>
        <w:t xml:space="preserve"> and </w:t>
      </w:r>
      <w:hyperlink r:id="rId27">
        <w:r>
          <w:rPr>
            <w:color w:val="1D4ED8"/>
            <w:u w:val="single"/>
            <w:b/>
          </w:rPr>
          <w:t>src/app/admin/map/page.tsx</w:t>
        </w:r>
      </w:hyperlink>
      <w:r>
        <w:t>. The administration suite provides:</w:t>
      </w:r>
    </w:p>
    <w:p>
      <w:pPr>
        <w:pStyle w:val="ListBullet"/>
        <w:spacing w:before="0" w:after="60" w:line="276" w:lineRule="auto"/>
      </w:pPr>
      <w:r>
        <w:rPr>
          <w:rFonts w:ascii="Calibri" w:hAnsi="Calibri"/>
          <w:b/>
          <w:color w:val="0F172A"/>
          <w:sz w:val="21"/>
        </w:rPr>
        <w:t xml:space="preserve">1. Real-Time Ward Level GIS Heatmaps: </w:t>
      </w:r>
      <w:r>
        <w:rPr>
          <w:rFonts w:ascii="Calibri" w:hAnsi="Calibri"/>
          <w:color w:val="334155"/>
          <w:sz w:val="21"/>
        </w:rPr>
        <w:t>Municipal officers can view live markers across Bangalore, Mumbai, or Delhi wards, color-coded by urgency (Red = Emergency/Severe, Orange = High, Yellow = Moderate, Green = Resolved).</w:t>
      </w:r>
    </w:p>
    <w:p>
      <w:pPr>
        <w:pStyle w:val="ListBullet"/>
        <w:spacing w:before="0" w:after="60" w:line="276" w:lineRule="auto"/>
      </w:pPr>
      <w:r>
        <w:rPr>
          <w:rFonts w:ascii="Calibri" w:hAnsi="Calibri"/>
          <w:b/>
          <w:color w:val="0F172A"/>
          <w:sz w:val="21"/>
        </w:rPr>
        <w:t xml:space="preserve">2. Departmental Triage &amp; SLA Timers: </w:t>
      </w:r>
      <w:r>
        <w:rPr>
          <w:rFonts w:ascii="Calibri" w:hAnsi="Calibri"/>
          <w:color w:val="334155"/>
          <w:sz w:val="21"/>
        </w:rPr>
        <w:t>Issues are automatically mapped to designated municipal utilities (e.g., BBMP, BESCOM, BWSSB, SWM). Each department ticket displays an SLA countdown clock to prevent contractual breaches.</w:t>
      </w:r>
    </w:p>
    <w:p>
      <w:pPr>
        <w:pStyle w:val="ListBullet"/>
        <w:spacing w:before="0" w:after="60" w:line="276" w:lineRule="auto"/>
      </w:pPr>
      <w:r>
        <w:rPr>
          <w:rFonts w:ascii="Calibri" w:hAnsi="Calibri"/>
          <w:b/>
          <w:color w:val="0F172A"/>
          <w:sz w:val="21"/>
        </w:rPr>
        <w:t xml:space="preserve">3. Helplines &amp; Emergency Directory: </w:t>
      </w:r>
      <w:r>
        <w:rPr>
          <w:rFonts w:ascii="Calibri" w:hAnsi="Calibri"/>
          <w:color w:val="334155"/>
          <w:sz w:val="21"/>
        </w:rPr>
        <w:t xml:space="preserve">An integrated directory at </w:t>
      </w:r>
      <w:hyperlink r:id="rId28">
        <w:r>
          <w:rPr>
            <w:color w:val="1D4ED8"/>
            <w:u w:val="single"/>
            <w:b/>
          </w:rPr>
          <w:t>src/app/admin/helplines/page.tsx</w:t>
        </w:r>
      </w:hyperlink>
      <w:r>
        <w:t xml:space="preserve"> ensures that emergency calls (Fire, Disaster Management, Ambulance) can be triggered with one click.</w:t>
      </w:r>
    </w:p>
    <w:p>
      <w:pPr>
        <w:keepNext/>
        <w:spacing w:before="360" w:after="120"/>
      </w:pPr>
      <w:r>
        <w:rPr>
          <w:rFonts w:ascii="Calibri" w:hAnsi="Calibri"/>
          <w:b/>
          <w:color w:val="0F172A"/>
          <w:sz w:val="36"/>
        </w:rPr>
        <w:t>8. Official Government Inspection Reports &amp; Compliance</w:t>
      </w:r>
    </w:p>
    <w:p>
      <w:pPr>
        <w:spacing w:before="0" w:after="120" w:line="276" w:lineRule="auto"/>
      </w:pPr>
      <w:r>
        <w:rPr>
          <w:rFonts w:ascii="Calibri" w:hAnsi="Calibri"/>
          <w:color w:val="334155"/>
          <w:sz w:val="21"/>
        </w:rPr>
        <w:t xml:space="preserve">For civic governance to maintain legal compliance and public accountability, digital complaints must translate into formal audit-ready documentation. CivicSense incorporates an automated Government Inspection Report Generator in </w:t>
      </w:r>
      <w:hyperlink r:id="rId21">
        <w:r>
          <w:rPr>
            <w:color w:val="1D4ED8"/>
            <w:u w:val="single"/>
            <w:b/>
          </w:rPr>
          <w:t>src/components/GovernmentReportGenerator.tsx</w:t>
        </w:r>
      </w:hyperlink>
      <w:r>
        <w:t xml:space="preserve"> and </w:t>
      </w:r>
      <w:hyperlink r:id="rId29">
        <w:r>
          <w:rPr>
            <w:color w:val="1D4ED8"/>
            <w:u w:val="single"/>
            <w:b/>
          </w:rPr>
          <w:t>src/app/admin/complaints/[id]/report/page.tsx</w:t>
        </w:r>
      </w:hyperlink>
      <w:r>
        <w:t>. Key compliance elements include:</w:t>
      </w:r>
    </w:p>
    <w:p>
      <w:pPr>
        <w:pStyle w:val="ListBullet"/>
        <w:spacing w:before="0" w:after="60" w:line="276" w:lineRule="auto"/>
      </w:pPr>
      <w:r>
        <w:rPr>
          <w:rFonts w:ascii="Calibri" w:hAnsi="Calibri"/>
          <w:b/>
          <w:color w:val="0F172A"/>
          <w:sz w:val="21"/>
        </w:rPr>
        <w:t xml:space="preserve">Bilingual Government Header &amp; Seal: </w:t>
      </w:r>
      <w:r>
        <w:rPr>
          <w:rFonts w:ascii="Calibri" w:hAnsi="Calibri"/>
          <w:color w:val="334155"/>
          <w:sz w:val="21"/>
        </w:rPr>
        <w:t>Features formal municipal watermarks, reference docket numbers, and official executive seals.</w:t>
      </w:r>
    </w:p>
    <w:p>
      <w:pPr>
        <w:pStyle w:val="ListBullet"/>
        <w:spacing w:before="0" w:after="60" w:line="276" w:lineRule="auto"/>
      </w:pPr>
      <w:r>
        <w:rPr>
          <w:rFonts w:ascii="Calibri" w:hAnsi="Calibri"/>
          <w:b/>
          <w:color w:val="0F172A"/>
          <w:sz w:val="21"/>
        </w:rPr>
        <w:t xml:space="preserve">Verification Checklist &amp; Evidence Photos: </w:t>
      </w:r>
      <w:r>
        <w:rPr>
          <w:rFonts w:ascii="Calibri" w:hAnsi="Calibri"/>
          <w:color w:val="334155"/>
          <w:sz w:val="21"/>
        </w:rPr>
        <w:t>Integrates on-site field photos, GPS latitude/longitude verification, and physical inspection notes.</w:t>
      </w:r>
    </w:p>
    <w:p>
      <w:pPr>
        <w:pStyle w:val="ListBullet"/>
        <w:spacing w:before="0" w:after="60" w:line="276" w:lineRule="auto"/>
      </w:pPr>
      <w:r>
        <w:rPr>
          <w:rFonts w:ascii="Calibri" w:hAnsi="Calibri"/>
          <w:b/>
          <w:color w:val="0F172A"/>
          <w:sz w:val="21"/>
        </w:rPr>
        <w:t xml:space="preserve">Officer Sign-Off &amp; Contractor Work Order: </w:t>
      </w:r>
      <w:r>
        <w:rPr>
          <w:rFonts w:ascii="Calibri" w:hAnsi="Calibri"/>
          <w:color w:val="334155"/>
          <w:sz w:val="21"/>
        </w:rPr>
        <w:t>Includes designated blocks for Assistant Executive Engineer signature, contractor authorization, and material procurement stamps.</w:t>
      </w:r>
    </w:p>
    <w:p>
      <w:pPr>
        <w:pStyle w:val="ListBullet"/>
        <w:spacing w:before="0" w:after="60" w:line="276" w:lineRule="auto"/>
      </w:pPr>
      <w:r>
        <w:rPr>
          <w:rFonts w:ascii="Calibri" w:hAnsi="Calibri"/>
          <w:b/>
          <w:color w:val="0F172A"/>
          <w:sz w:val="21"/>
        </w:rPr>
        <w:t xml:space="preserve">Print-to-PDF Formatting: </w:t>
      </w:r>
      <w:r>
        <w:rPr>
          <w:rFonts w:ascii="Calibri" w:hAnsi="Calibri"/>
          <w:color w:val="334155"/>
          <w:sz w:val="21"/>
        </w:rPr>
        <w:t>Formatted specifically for standard A4 government stationery with CSS page break controls.</w:t>
      </w:r>
    </w:p>
    <w:p>
      <w:pPr>
        <w:keepNext/>
        <w:spacing w:before="360" w:after="120"/>
      </w:pPr>
      <w:r>
        <w:rPr>
          <w:rFonts w:ascii="Calibri" w:hAnsi="Calibri"/>
          <w:b/>
          <w:color w:val="0F172A"/>
          <w:sz w:val="36"/>
        </w:rPr>
        <w:t>9. Cloud Infrastructure, Deployment &amp; Quality Assurance</w:t>
      </w:r>
    </w:p>
    <w:p>
      <w:pPr>
        <w:spacing w:before="0" w:after="120" w:line="276" w:lineRule="auto"/>
      </w:pPr>
      <w:r>
        <w:rPr>
          <w:rFonts w:ascii="Calibri" w:hAnsi="Calibri"/>
          <w:color w:val="334155"/>
          <w:sz w:val="21"/>
        </w:rPr>
        <w:t>The platform has been rigorously tested and deployed into a live production cloud environment on Vercel with zero emoji compliance. All 44 Next.js routes compile statically and dynamically with complete TypeScript type safety.</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Mar>
              <w:top w:w="140" w:type="dxa"/>
              <w:bottom w:w="140" w:type="dxa"/>
              <w:left w:w="200" w:type="dxa"/>
              <w:right w:w="200" w:type="dxa"/>
            </w:tcMar>
            <w:tcBorders>
              <w:top w:val="none"/>
              <w:bottom w:val="none"/>
              <w:left w:val="single" w:sz="32" w:space="0" w:color="2563EB"/>
              <w:right w:val="none"/>
            </w:tcBorders>
          </w:tcPr>
          <w:p>
            <w:pPr>
              <w:spacing w:before="0" w:after="80"/>
            </w:pPr>
            <w:r>
              <w:rPr>
                <w:rFonts w:ascii="Calibri" w:hAnsi="Calibri"/>
                <w:b/>
                <w:color w:val="1E3A8A"/>
                <w:sz w:val="22"/>
              </w:rPr>
              <w:t>Production Deployment Verification</w:t>
            </w:r>
          </w:p>
          <w:p>
            <w:pPr>
              <w:spacing w:before="40" w:after="80"/>
            </w:pPr>
            <w:r>
              <w:rPr>
                <w:rFonts w:ascii="Calibri" w:hAnsi="Calibri"/>
                <w:color w:val="334155"/>
                <w:sz w:val="20"/>
              </w:rPr>
              <w:t>Primary Live Production URL: https://civic-sense-rouge.vercel.app</w:t>
            </w:r>
          </w:p>
          <w:p>
            <w:pPr>
              <w:spacing w:before="40" w:after="80"/>
            </w:pPr>
            <w:r>
              <w:rPr>
                <w:rFonts w:ascii="Calibri" w:hAnsi="Calibri"/>
                <w:color w:val="334155"/>
                <w:sz w:val="20"/>
              </w:rPr>
              <w:t>Alternative Production URL: https://civic-sense-panchaksharayya12.vercel.app</w:t>
            </w:r>
          </w:p>
          <w:p>
            <w:pPr>
              <w:spacing w:before="40" w:after="80"/>
            </w:pPr>
            <w:r>
              <w:rPr>
                <w:rFonts w:ascii="Calibri" w:hAnsi="Calibri"/>
                <w:color w:val="334155"/>
                <w:sz w:val="20"/>
              </w:rPr>
              <w:t>Interactive 10-Slide Presentation Deck: https://civic-sense-rouge.vercel.app/presentation</w:t>
            </w:r>
          </w:p>
          <w:p>
            <w:pPr>
              <w:spacing w:before="40" w:after="80"/>
            </w:pPr>
            <w:r>
              <w:rPr>
                <w:rFonts w:ascii="Calibri" w:hAnsi="Calibri"/>
                <w:color w:val="334155"/>
                <w:sz w:val="20"/>
              </w:rPr>
              <w:t>Source Repository: https://github.com/panchaksharayya12/CivicSense</w:t>
            </w:r>
          </w:p>
          <w:p>
            <w:pPr>
              <w:spacing w:before="40" w:after="80"/>
            </w:pPr>
            <w:r>
              <w:rPr>
                <w:rFonts w:ascii="Calibri" w:hAnsi="Calibri"/>
                <w:color w:val="334155"/>
                <w:sz w:val="20"/>
              </w:rPr>
              <w:t>Build Verification: Next.js 14.2.15 production build compiled with 0 errors across 44 static and dynamic API routes.</w:t>
            </w:r>
          </w:p>
          <w:p>
            <w:pPr>
              <w:spacing w:before="40" w:after="80"/>
            </w:pPr>
            <w:r>
              <w:rPr>
                <w:rFonts w:ascii="Calibri" w:hAnsi="Calibri"/>
                <w:color w:val="334155"/>
                <w:sz w:val="20"/>
              </w:rPr>
              <w:t>Vercel SSO Protection: Completely disabled (ssoProtection = false), enabling unrestricted public access for evaluators and citizens.</w:t>
            </w:r>
          </w:p>
        </w:tc>
      </w:tr>
    </w:tbl>
    <w:p>
      <w:pPr>
        <w:spacing w:before="80" w:after="80"/>
      </w:pPr>
    </w:p>
    <w:p>
      <w:pPr>
        <w:keepNext/>
        <w:spacing w:before="360" w:after="120"/>
      </w:pPr>
      <w:r>
        <w:rPr>
          <w:rFonts w:ascii="Calibri" w:hAnsi="Calibri"/>
          <w:b/>
          <w:color w:val="0F172A"/>
          <w:sz w:val="36"/>
        </w:rPr>
        <w:t>10. Future Strategic Roadmap &amp; Conclusion</w:t>
      </w:r>
    </w:p>
    <w:p>
      <w:pPr>
        <w:spacing w:before="0" w:after="120" w:line="276" w:lineRule="auto"/>
      </w:pPr>
      <w:r>
        <w:rPr>
          <w:rFonts w:ascii="Calibri" w:hAnsi="Calibri"/>
          <w:color w:val="334155"/>
          <w:sz w:val="21"/>
        </w:rPr>
        <w:t>CivicSense bridges the final frontier between smart city theoretical planning and ground-level municipal reality. The strategic roadmap for upcoming versions includes:</w:t>
      </w:r>
    </w:p>
    <w:p>
      <w:pPr>
        <w:pStyle w:val="ListBullet"/>
        <w:spacing w:before="0" w:after="60" w:line="276" w:lineRule="auto"/>
      </w:pPr>
      <w:r>
        <w:rPr>
          <w:rFonts w:ascii="Calibri" w:hAnsi="Calibri"/>
          <w:b/>
          <w:color w:val="0F172A"/>
          <w:sz w:val="21"/>
        </w:rPr>
        <w:t xml:space="preserve">Phase 1 — WhatsApp Business API Bot: </w:t>
      </w:r>
      <w:r>
        <w:rPr>
          <w:rFonts w:ascii="Calibri" w:hAnsi="Calibri"/>
          <w:color w:val="334155"/>
          <w:sz w:val="21"/>
        </w:rPr>
        <w:t>Allowing citizens to report potholes and garbage dumps by simply sending a photo and live location pin over WhatsApp.</w:t>
      </w:r>
    </w:p>
    <w:p>
      <w:pPr>
        <w:pStyle w:val="ListBullet"/>
        <w:spacing w:before="0" w:after="60" w:line="276" w:lineRule="auto"/>
      </w:pPr>
      <w:r>
        <w:rPr>
          <w:rFonts w:ascii="Calibri" w:hAnsi="Calibri"/>
          <w:b/>
          <w:color w:val="0F172A"/>
          <w:sz w:val="21"/>
        </w:rPr>
        <w:t xml:space="preserve">Phase 2 — Autonomous Drone Inspection: </w:t>
      </w:r>
      <w:r>
        <w:rPr>
          <w:rFonts w:ascii="Calibri" w:hAnsi="Calibri"/>
          <w:color w:val="334155"/>
          <w:sz w:val="21"/>
        </w:rPr>
        <w:t>Dispatching automated aerial drones to verify reported road craters and storm drain blockages before contractor payout.</w:t>
      </w:r>
    </w:p>
    <w:p>
      <w:pPr>
        <w:pStyle w:val="ListBullet"/>
        <w:spacing w:before="0" w:after="60" w:line="276" w:lineRule="auto"/>
      </w:pPr>
      <w:r>
        <w:rPr>
          <w:rFonts w:ascii="Calibri" w:hAnsi="Calibri"/>
          <w:b/>
          <w:color w:val="0F172A"/>
          <w:sz w:val="21"/>
        </w:rPr>
        <w:t xml:space="preserve">Phase 3 — IoT Smart City Sensor Fusion: </w:t>
      </w:r>
      <w:r>
        <w:rPr>
          <w:rFonts w:ascii="Calibri" w:hAnsi="Calibri"/>
          <w:color w:val="334155"/>
          <w:sz w:val="21"/>
        </w:rPr>
        <w:t>Integrating municipal stormwater sensors and smart garbage bin ultrasonic fill sensors to auto-generate tickets without requiring citizen intervention.</w:t>
      </w:r>
    </w:p>
    <w:p>
      <w:pPr>
        <w:spacing w:before="0" w:after="120" w:line="276" w:lineRule="auto"/>
      </w:pPr>
      <w:r>
        <w:rPr>
          <w:rFonts w:ascii="Calibri" w:hAnsi="Calibri"/>
          <w:color w:val="334155"/>
          <w:sz w:val="21"/>
        </w:rPr>
        <w:t>In conclusion, CivicSense re-establishes citizen trust in municipal administration through radical transparency, spatial incident consolidation, and multimodal accessibility. The live platform is ready for city-scale municipal adoption.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&amp; Academic/Municipal Reference | Author: Panchaksharayya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CivicSense: Municipal Governance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civic-sense-rouge.vercel.app" TargetMode="External"/><Relationship Id="rId13" Type="http://schemas.openxmlformats.org/officeDocument/2006/relationships/hyperlink" Target="https://civic-sense-panchaksharayya12.vercel.app" TargetMode="External"/><Relationship Id="rId14" Type="http://schemas.openxmlformats.org/officeDocument/2006/relationships/hyperlink" Target="https://github.com/panchaksharayya12/CivicSense" TargetMode="External"/><Relationship Id="rId15" Type="http://schemas.openxmlformats.org/officeDocument/2006/relationships/hyperlink" Target="https://civic-sense-rouge.vercel.app/presentation" TargetMode="External"/><Relationship Id="rId16" Type="http://schemas.openxmlformats.org/officeDocument/2006/relationships/hyperlink" Target="https://github.com/panchaksharayya12/CivicSense/blob/main/src/app/report/page.tsx" TargetMode="External"/><Relationship Id="rId17" Type="http://schemas.openxmlformats.org/officeDocument/2006/relationships/hyperlink" Target="https://github.com/panchaksharayya12/CivicSense/blob/main/src/app/applications/page.tsx" TargetMode="External"/><Relationship Id="rId18" Type="http://schemas.openxmlformats.org/officeDocument/2006/relationships/hyperlink" Target="https://github.com/panchaksharayya12/CivicSense/blob/main/src/app/status/[id]/page.tsx" TargetMode="External"/><Relationship Id="rId19" Type="http://schemas.openxmlformats.org/officeDocument/2006/relationships/hyperlink" Target="https://github.com/panchaksharayya12/CivicSense/blob/main/src/app/admin/incidents/page.tsx" TargetMode="External"/><Relationship Id="rId20" Type="http://schemas.openxmlformats.org/officeDocument/2006/relationships/hyperlink" Target="https://github.com/panchaksharayya12/CivicSense/blob/main/src/components/CityMap.tsx" TargetMode="External"/><Relationship Id="rId21" Type="http://schemas.openxmlformats.org/officeDocument/2006/relationships/hyperlink" Target="https://github.com/panchaksharayya12/CivicSense/blob/main/src/components/GovernmentReportGenerator.tsx" TargetMode="External"/><Relationship Id="rId22" Type="http://schemas.openxmlformats.org/officeDocument/2006/relationships/hyperlink" Target="https://github.com/panchaksharayya12/CivicSense/blob/main/src/components/VoiceTyping.tsx" TargetMode="External"/><Relationship Id="rId23" Type="http://schemas.openxmlformats.org/officeDocument/2006/relationships/hyperlink" Target="https://github.com/panchaksharayya12/CivicSense/blob/main/src/components/CivicSenseAIChat.tsx" TargetMode="External"/><Relationship Id="rId24" Type="http://schemas.openxmlformats.org/officeDocument/2006/relationships/hyperlink" Target="https://github.com/panchaksharayya12/CivicSense/blob/main/src/lib/i18n.ts" TargetMode="External"/><Relationship Id="rId25" Type="http://schemas.openxmlformats.org/officeDocument/2006/relationships/hyperlink" Target="https://github.com/panchaksharayya12/CivicSense/blob/main/src/app/presentation/page.tsx" TargetMode="External"/><Relationship Id="rId26" Type="http://schemas.openxmlformats.org/officeDocument/2006/relationships/hyperlink" Target="https://github.com/panchaksharayya12/CivicSense/blob/main/src/app/admin/page.tsx" TargetMode="External"/><Relationship Id="rId27" Type="http://schemas.openxmlformats.org/officeDocument/2006/relationships/hyperlink" Target="https://github.com/panchaksharayya12/CivicSense/blob/main/src/app/admin/map/page.tsx" TargetMode="External"/><Relationship Id="rId28" Type="http://schemas.openxmlformats.org/officeDocument/2006/relationships/hyperlink" Target="https://github.com/panchaksharayya12/CivicSense/blob/main/src/app/admin/helplines/page.tsx" TargetMode="External"/><Relationship Id="rId29" Type="http://schemas.openxmlformats.org/officeDocument/2006/relationships/hyperlink" Target="https://github.com/panchaksharayya12/CivicSense/blob/main/src/app/admin/complaints/[id]/report/page.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