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0A0F"/>
          <w:sz w:val="56"/>
        </w:rPr>
        <w:t>DealWise AI</w:t>
      </w:r>
    </w:p>
    <w:p>
      <w:r>
        <w:rPr>
          <w:i/>
          <w:color w:val="5A5A64"/>
          <w:sz w:val="26"/>
        </w:rPr>
        <w:t>Comprehensive Technical &amp; Product Diligence Report</w:t>
        <w:br/>
        <w:t>Tagline: "Know the deal before you buy."</w:t>
      </w:r>
    </w:p>
    <w:p>
      <w:pPr>
        <w:spacing w:after="360"/>
      </w:pPr>
      <w:r>
        <w:rPr>
          <w:b/>
        </w:rPr>
        <w:t>Author: Panchaksharayya</w:t>
        <w:br/>
      </w:r>
      <w:r>
        <w:t>Repository: https://github.com/panchaksharayya12/DealwiseAi</w:t>
        <w:br/>
      </w:r>
      <w:r>
        <w:t>Date: October 2026 | Version: 1.0.0 (Production Release)</w:t>
        <w:br/>
      </w:r>
    </w:p>
    <w:p>
      <w:pPr>
        <w:pStyle w:val="Heading1"/>
        <w:spacing w:before="280" w:after="120"/>
      </w:pPr>
      <w:r>
        <w:rPr>
          <w:b/>
          <w:color w:val="0F172A"/>
          <w:sz w:val="32"/>
        </w:rPr>
        <w:t>1. Executive Summary</w:t>
      </w:r>
    </w:p>
    <w:p>
      <w:r>
        <w:t>Real estate purchases represent significant financial commitments for retail buyers, institutional investors, and syndicates. However, the majority of property evaluations rely on promotional broker marketing, surface-level asking prices, or subjective visual impressions rather than quantitative scrutiny.</w:t>
      </w:r>
    </w:p>
    <w:p>
      <w:r>
        <w:t>DealWise AI is a full-stack real-estate deal analyzer engineered to answer the critical question: "Is this property actually a good deal?" By coupling 100% deterministic actuarial and financial calculations with an objective 5-pillar scoring algorithm and contextual AI synthesis, DealWise AI equips buyers with data-driven clarity, risk warnings, multi-property benchmarking, and verifiable investment diligence reports.</w:t>
      </w:r>
    </w:p>
    <w:p>
      <w:pPr>
        <w:pStyle w:val="Heading1"/>
        <w:spacing w:before="280" w:after="120"/>
      </w:pPr>
      <w:r>
        <w:rPr>
          <w:b/>
          <w:color w:val="0F172A"/>
          <w:sz w:val="32"/>
        </w:rPr>
        <w:t>2. Problem Statement &amp; Market Opportunity</w:t>
      </w:r>
    </w:p>
    <w:p>
      <w:pPr>
        <w:pStyle w:val="Heading2"/>
        <w:spacing w:before="200" w:after="80"/>
      </w:pPr>
      <w:r>
        <w:rPr>
          <w:b/>
          <w:color w:val="334155"/>
          <w:sz w:val="26"/>
        </w:rPr>
        <w:t>2.1 The Value vs. Price Distortion</w:t>
      </w:r>
    </w:p>
    <w:p>
      <w:r>
        <w:t>Homebuyers frequently conflate the asking price of a property with its investment value. Without calculating capitalization rates, net operating yield, or total financing costs, buyers regularly commit capital to properties that deliver below-inflation returns.</w:t>
      </w:r>
    </w:p>
    <w:p>
      <w:pPr>
        <w:pStyle w:val="Heading2"/>
        <w:spacing w:before="200" w:after="80"/>
      </w:pPr>
      <w:r>
        <w:rPr>
          <w:b/>
          <w:color w:val="334155"/>
          <w:sz w:val="26"/>
        </w:rPr>
        <w:t>2.2 Negative Carry and Debt Traps</w:t>
      </w:r>
    </w:p>
    <w:p>
      <w:r>
        <w:t>High Loan-to-Value (LTV) loans paired with recurring society maintenance fees often create an uncalculated monthly cash deficit. When the combined monthly EMI and maintenance charges exceed the gross rent, owners face substantial recurring out-of-pocket expenses.</w:t>
      </w:r>
    </w:p>
    <w:p>
      <w:pPr>
        <w:pStyle w:val="Heading2"/>
        <w:spacing w:before="200" w:after="80"/>
      </w:pPr>
      <w:r>
        <w:rPr>
          <w:b/>
          <w:color w:val="334155"/>
          <w:sz w:val="26"/>
        </w:rPr>
        <w:t>2.3 Artificial Intelligence Hallucinations in Financial Modeling</w:t>
      </w:r>
    </w:p>
    <w:p>
      <w:r>
        <w:t>General-purpose Large Language Models (LLMs) frequently hallucinate amortization schedules, compound interest tallies, and yields. DealWise AI solves this by keeping all mathematics strictly within deterministic TypeScript code routines, reserving AI exclusively for qualitative interpretation and due-diligence guidance.</w:t>
      </w:r>
    </w:p>
    <w:p>
      <w:pPr>
        <w:pStyle w:val="Heading1"/>
        <w:spacing w:before="280" w:after="120"/>
      </w:pPr>
      <w:r>
        <w:rPr>
          <w:b/>
          <w:color w:val="0F172A"/>
          <w:sz w:val="32"/>
        </w:rPr>
        <w:t>3. System Architecture &amp; Tech Stack</w:t>
      </w:r>
    </w:p>
    <w:p>
      <w:r>
        <w:t>DealWise AI is structured with a decoupled, high-throughput architecture separating the client interface, REST API services, deterministic calculation utilities, and optional cloud persistence.</w:t>
      </w:r>
    </w:p>
    <w:tbl>
      <w:tblPr>
        <w:tblW w:type="auto" w:w="0"/>
        <w:jc w:val="center"/>
        <w:tblLook w:firstColumn="1" w:firstRow="1" w:lastColumn="0" w:lastRow="0" w:noHBand="0" w:noVBand="1" w:val="04A0"/>
      </w:tblPr>
      <w:tblGrid>
        <w:gridCol w:w="3120"/>
        <w:gridCol w:w="3120"/>
        <w:gridCol w:w="3120"/>
      </w:tblGrid>
      <w:tr>
        <w:tc>
          <w:tcPr>
            <w:tcW w:type="dxa" w:w="3120"/>
            <w:shd w:fill="F1F5F9"/>
          </w:tcPr>
          <w:p>
            <w:r>
              <w:rPr>
                <w:b/>
              </w:rPr>
              <w:t>Tier</w:t>
            </w:r>
          </w:p>
        </w:tc>
        <w:tc>
          <w:tcPr>
            <w:tcW w:type="dxa" w:w="3120"/>
            <w:shd w:fill="F1F5F9"/>
          </w:tcPr>
          <w:p>
            <w:r>
              <w:rPr>
                <w:b/>
              </w:rPr>
              <w:t>Technology</w:t>
            </w:r>
          </w:p>
        </w:tc>
        <w:tc>
          <w:tcPr>
            <w:tcW w:type="dxa" w:w="3120"/>
            <w:shd w:fill="F1F5F9"/>
          </w:tcPr>
          <w:p>
            <w:r>
              <w:rPr>
                <w:b/>
              </w:rPr>
              <w:t>Functional Purpose</w:t>
            </w:r>
          </w:p>
        </w:tc>
      </w:tr>
      <w:tr>
        <w:tc>
          <w:tcPr>
            <w:tcW w:type="dxa" w:w="3120"/>
          </w:tcPr>
          <w:p>
            <w:r>
              <w:rPr>
                <w:b/>
                <w:sz w:val="19"/>
              </w:rPr>
              <w:t>Frontend Client</w:t>
            </w:r>
          </w:p>
        </w:tc>
        <w:tc>
          <w:tcPr>
            <w:tcW w:type="dxa" w:w="3120"/>
          </w:tcPr>
          <w:p>
            <w:r>
              <w:rPr>
                <w:sz w:val="19"/>
              </w:rPr>
              <w:t>React 18, TypeScript, Vite</w:t>
            </w:r>
          </w:p>
        </w:tc>
        <w:tc>
          <w:tcPr>
            <w:tcW w:type="dxa" w:w="3120"/>
          </w:tcPr>
          <w:p>
            <w:r>
              <w:rPr>
                <w:sz w:val="19"/>
              </w:rPr>
              <w:t>Interactive UI, input validation, state management, and real-time counter rendering.</w:t>
            </w:r>
          </w:p>
        </w:tc>
      </w:tr>
      <w:tr>
        <w:tc>
          <w:tcPr>
            <w:tcW w:type="dxa" w:w="3120"/>
          </w:tcPr>
          <w:p>
            <w:r>
              <w:rPr>
                <w:b/>
                <w:sz w:val="19"/>
              </w:rPr>
              <w:t>Design System</w:t>
            </w:r>
          </w:p>
        </w:tc>
        <w:tc>
          <w:tcPr>
            <w:tcW w:type="dxa" w:w="3120"/>
          </w:tcPr>
          <w:p>
            <w:r>
              <w:rPr>
                <w:sz w:val="19"/>
              </w:rPr>
              <w:t>Tailwind CSS, Liquid Glass</w:t>
            </w:r>
          </w:p>
        </w:tc>
        <w:tc>
          <w:tcPr>
            <w:tcW w:type="dxa" w:w="3120"/>
          </w:tcPr>
          <w:p>
            <w:r>
              <w:rPr>
                <w:sz w:val="19"/>
              </w:rPr>
              <w:t>Minimal VEX-inspired aesthetic: pure black (#000000), white, zinc gray, specular borders, zero gradients.</w:t>
            </w:r>
          </w:p>
        </w:tc>
      </w:tr>
      <w:tr>
        <w:tc>
          <w:tcPr>
            <w:tcW w:type="dxa" w:w="3120"/>
          </w:tcPr>
          <w:p>
            <w:r>
              <w:rPr>
                <w:b/>
                <w:sz w:val="19"/>
              </w:rPr>
              <w:t>Visual Analytics</w:t>
            </w:r>
          </w:p>
        </w:tc>
        <w:tc>
          <w:tcPr>
            <w:tcW w:type="dxa" w:w="3120"/>
          </w:tcPr>
          <w:p>
            <w:r>
              <w:rPr>
                <w:sz w:val="19"/>
              </w:rPr>
              <w:t>Recharts (SVG)</w:t>
            </w:r>
          </w:p>
        </w:tc>
        <w:tc>
          <w:tcPr>
            <w:tcW w:type="dxa" w:w="3120"/>
          </w:tcPr>
          <w:p>
            <w:r>
              <w:rPr>
                <w:sz w:val="19"/>
              </w:rPr>
              <w:t>Responsive 5-year capital growth and accumulated rental income projections with interactive appreciation slider.</w:t>
            </w:r>
          </w:p>
        </w:tc>
      </w:tr>
      <w:tr>
        <w:tc>
          <w:tcPr>
            <w:tcW w:type="dxa" w:w="3120"/>
          </w:tcPr>
          <w:p>
            <w:r>
              <w:rPr>
                <w:b/>
                <w:sz w:val="19"/>
              </w:rPr>
              <w:t>Document Engine</w:t>
            </w:r>
          </w:p>
        </w:tc>
        <w:tc>
          <w:tcPr>
            <w:tcW w:type="dxa" w:w="3120"/>
          </w:tcPr>
          <w:p>
            <w:r>
              <w:rPr>
                <w:sz w:val="19"/>
              </w:rPr>
              <w:t>jsPDF</w:t>
            </w:r>
          </w:p>
        </w:tc>
        <w:tc>
          <w:tcPr>
            <w:tcW w:type="dxa" w:w="3120"/>
          </w:tcPr>
          <w:p>
            <w:r>
              <w:rPr>
                <w:sz w:val="19"/>
              </w:rPr>
              <w:t>Client-side vector generation of formal executive due-diligence reports.</w:t>
            </w:r>
          </w:p>
        </w:tc>
      </w:tr>
      <w:tr>
        <w:tc>
          <w:tcPr>
            <w:tcW w:type="dxa" w:w="3120"/>
          </w:tcPr>
          <w:p>
            <w:r>
              <w:rPr>
                <w:b/>
                <w:sz w:val="19"/>
              </w:rPr>
              <w:t>Backend Server</w:t>
            </w:r>
          </w:p>
        </w:tc>
        <w:tc>
          <w:tcPr>
            <w:tcW w:type="dxa" w:w="3120"/>
          </w:tcPr>
          <w:p>
            <w:r>
              <w:rPr>
                <w:sz w:val="19"/>
              </w:rPr>
              <w:t>Express, Node.js, tsx</w:t>
            </w:r>
          </w:p>
        </w:tc>
        <w:tc>
          <w:tcPr>
            <w:tcW w:type="dxa" w:w="3120"/>
          </w:tcPr>
          <w:p>
            <w:r>
              <w:rPr>
                <w:sz w:val="19"/>
              </w:rPr>
              <w:t>REST API validating property inputs, computing deterministic metrics, and serving multi-property comparison logic.</w:t>
            </w:r>
          </w:p>
        </w:tc>
      </w:tr>
      <w:tr>
        <w:tc>
          <w:tcPr>
            <w:tcW w:type="dxa" w:w="3120"/>
          </w:tcPr>
          <w:p>
            <w:r>
              <w:rPr>
                <w:b/>
                <w:sz w:val="19"/>
              </w:rPr>
              <w:t>AI Layer</w:t>
            </w:r>
          </w:p>
        </w:tc>
        <w:tc>
          <w:tcPr>
            <w:tcW w:type="dxa" w:w="3120"/>
          </w:tcPr>
          <w:p>
            <w:r>
              <w:rPr>
                <w:sz w:val="19"/>
              </w:rPr>
              <w:t>OpenAI GPT-4o-mini</w:t>
            </w:r>
          </w:p>
        </w:tc>
        <w:tc>
          <w:tcPr>
            <w:tcW w:type="dxa" w:w="3120"/>
          </w:tcPr>
          <w:p>
            <w:r>
              <w:rPr>
                <w:sz w:val="19"/>
              </w:rPr>
              <w:t>Context-aware qualitative synthesis, seller negotiation strategies, and conversational queries with automatic local fallback.</w:t>
            </w:r>
          </w:p>
        </w:tc>
      </w:tr>
      <w:tr>
        <w:tc>
          <w:tcPr>
            <w:tcW w:type="dxa" w:w="3120"/>
          </w:tcPr>
          <w:p>
            <w:r>
              <w:rPr>
                <w:b/>
                <w:sz w:val="19"/>
              </w:rPr>
              <w:t>Data Persistence</w:t>
            </w:r>
          </w:p>
        </w:tc>
        <w:tc>
          <w:tcPr>
            <w:tcW w:type="dxa" w:w="3120"/>
          </w:tcPr>
          <w:p>
            <w:r>
              <w:rPr>
                <w:sz w:val="19"/>
              </w:rPr>
              <w:t>Supabase &amp; localStorage</w:t>
            </w:r>
          </w:p>
        </w:tc>
        <w:tc>
          <w:tcPr>
            <w:tcW w:type="dxa" w:w="3120"/>
          </w:tcPr>
          <w:p>
            <w:r>
              <w:rPr>
                <w:sz w:val="19"/>
              </w:rPr>
              <w:t>Dual-mode persistence: cloud PostgreSQL synchronization when configured, and automatic browser storage fallback.</w:t>
            </w:r>
          </w:p>
        </w:tc>
      </w:tr>
    </w:tbl>
    <w:p>
      <w:pPr>
        <w:spacing w:after="200"/>
      </w:pPr>
    </w:p>
    <w:p>
      <w:pPr>
        <w:pStyle w:val="Heading1"/>
        <w:spacing w:before="280" w:after="120"/>
      </w:pPr>
      <w:r>
        <w:rPr>
          <w:b/>
          <w:color w:val="0F172A"/>
          <w:sz w:val="32"/>
        </w:rPr>
        <w:t>4. Deterministic Financial Modeling &amp; Actuarial Formulas</w:t>
      </w:r>
    </w:p>
    <w:p>
      <w:r>
        <w:t>All calculations executed by DealWise AI are deterministic, auditable, and mathematically grounded. The following core formulas govern the evaluation:</w:t>
      </w:r>
    </w:p>
    <w:p>
      <w:pPr>
        <w:spacing w:after="60"/>
      </w:pPr>
      <w:r>
        <w:rPr>
          <w:b/>
        </w:rPr>
        <w:t xml:space="preserve">• Price per Square Foot: </w:t>
      </w:r>
      <w:r>
        <w:t>Price / sq.ft = Asking Price / Built-up Area</w:t>
      </w:r>
    </w:p>
    <w:p>
      <w:pPr>
        <w:spacing w:after="60"/>
      </w:pPr>
      <w:r>
        <w:rPr>
          <w:b/>
        </w:rPr>
        <w:t xml:space="preserve">• Gross Rental Yield: </w:t>
      </w:r>
      <w:r>
        <w:t>Gross Yield (%) = (Expected Monthly Rent * 12 / Asking Price) * 100</w:t>
      </w:r>
    </w:p>
    <w:p>
      <w:pPr>
        <w:spacing w:after="60"/>
      </w:pPr>
      <w:r>
        <w:rPr>
          <w:b/>
        </w:rPr>
        <w:t xml:space="preserve">• Net Rental Yield: </w:t>
      </w:r>
      <w:r>
        <w:t>Net Yield (%) = ((Monthly Rent - Monthly Maintenance) * 12 / Asking Price) * 100</w:t>
      </w:r>
    </w:p>
    <w:p>
      <w:pPr>
        <w:spacing w:after="60"/>
      </w:pPr>
      <w:r>
        <w:rPr>
          <w:b/>
        </w:rPr>
        <w:t xml:space="preserve">• Loan Amount: </w:t>
      </w:r>
      <w:r>
        <w:t>Loan Amount = max(0, Asking Price - Down Payment)</w:t>
      </w:r>
    </w:p>
    <w:p>
      <w:pPr>
        <w:spacing w:after="60"/>
      </w:pPr>
      <w:r>
        <w:rPr>
          <w:b/>
        </w:rPr>
        <w:t xml:space="preserve">• Monthly EMI (Standard Amortization): </w:t>
      </w:r>
      <w:r>
        <w:t>EMI = P * r * (1+r)^n / ((1+r)^n - 1), where P = Loan Amount, r = Annual Rate / (12 * 100), n = Tenure * 12</w:t>
      </w:r>
    </w:p>
    <w:p>
      <w:pPr>
        <w:spacing w:after="60"/>
      </w:pPr>
      <w:r>
        <w:rPr>
          <w:b/>
        </w:rPr>
        <w:t xml:space="preserve">• Total Interest Payable: </w:t>
      </w:r>
      <w:r>
        <w:t>Total Interest = (EMI * n) - Loan Amount</w:t>
      </w:r>
    </w:p>
    <w:p>
      <w:pPr>
        <w:spacing w:after="60"/>
      </w:pPr>
      <w:r>
        <w:rPr>
          <w:b/>
        </w:rPr>
        <w:t xml:space="preserve">• Monthly Cashflow Carry: </w:t>
      </w:r>
      <w:r>
        <w:t>Monthly Cashflow = Expected Monthly Rent - Monthly Maintenance - Monthly EMI</w:t>
      </w:r>
    </w:p>
    <w:p>
      <w:pPr>
        <w:spacing w:after="60"/>
      </w:pPr>
      <w:r>
        <w:rPr>
          <w:b/>
        </w:rPr>
        <w:t xml:space="preserve">• Loan-to-Value (LTV) Ratio: </w:t>
      </w:r>
      <w:r>
        <w:t>LTV (%) = (Loan Amount / Asking Price) * 100</w:t>
      </w:r>
    </w:p>
    <w:p>
      <w:pPr>
        <w:spacing w:after="60"/>
      </w:pPr>
      <w:r>
        <w:rPr>
          <w:b/>
        </w:rPr>
        <w:t xml:space="preserve">• Cash-on-Cash ROI: </w:t>
      </w:r>
      <w:r>
        <w:t>ROI (%) = (Annual Net Cashflow / Down Payment) * 100</w:t>
      </w:r>
    </w:p>
    <w:p>
      <w:pPr>
        <w:pStyle w:val="Heading1"/>
        <w:spacing w:before="280" w:after="120"/>
      </w:pPr>
      <w:r>
        <w:rPr>
          <w:b/>
          <w:color w:val="0F172A"/>
          <w:sz w:val="32"/>
        </w:rPr>
        <w:t>5. The Proprietary 5-Pillar Deal Score (0–100)</w:t>
      </w:r>
    </w:p>
    <w:p>
      <w:r>
        <w:t>DealWise AI aggregates five weighted quantitative pillars to establish a single, transparent Deal Score between 0 and 100:</w:t>
      </w:r>
    </w:p>
    <w:p>
      <w:r>
        <w:t>Deal Score = (0.35 * Financial Health) + (0.20 * Rental Yield) + (0.20 * Price Efficiency) + (0.15 * Loan Burden) + (0.10 * Risk Buffer)</w:t>
      </w:r>
    </w:p>
    <w:tbl>
      <w:tblPr>
        <w:tblW w:type="auto" w:w="0"/>
        <w:jc w:val="center"/>
        <w:tblLook w:firstColumn="1" w:firstRow="1" w:lastColumn="0" w:lastRow="0" w:noHBand="0" w:noVBand="1" w:val="04A0"/>
      </w:tblPr>
      <w:tblGrid>
        <w:gridCol w:w="3120"/>
        <w:gridCol w:w="3120"/>
        <w:gridCol w:w="3120"/>
      </w:tblGrid>
      <w:tr>
        <w:tc>
          <w:tcPr>
            <w:tcW w:type="dxa" w:w="3120"/>
            <w:shd w:fill="F1F5F9"/>
          </w:tcPr>
          <w:p>
            <w:r>
              <w:rPr>
                <w:b/>
              </w:rPr>
              <w:t>Pillar</w:t>
            </w:r>
          </w:p>
        </w:tc>
        <w:tc>
          <w:tcPr>
            <w:tcW w:type="dxa" w:w="3120"/>
            <w:shd w:fill="F1F5F9"/>
          </w:tcPr>
          <w:p>
            <w:r>
              <w:rPr>
                <w:b/>
              </w:rPr>
              <w:t>Weight</w:t>
            </w:r>
          </w:p>
        </w:tc>
        <w:tc>
          <w:tcPr>
            <w:tcW w:type="dxa" w:w="3120"/>
            <w:shd w:fill="F1F5F9"/>
          </w:tcPr>
          <w:p>
            <w:r>
              <w:rPr>
                <w:b/>
              </w:rPr>
              <w:t>Quantitative Criteria</w:t>
            </w:r>
          </w:p>
        </w:tc>
      </w:tr>
      <w:tr>
        <w:tc>
          <w:tcPr>
            <w:tcW w:type="dxa" w:w="3120"/>
          </w:tcPr>
          <w:p>
            <w:r>
              <w:rPr>
                <w:b/>
                <w:sz w:val="19"/>
              </w:rPr>
              <w:t>Financial Health</w:t>
            </w:r>
          </w:p>
        </w:tc>
        <w:tc>
          <w:tcPr>
            <w:tcW w:type="dxa" w:w="3120"/>
          </w:tcPr>
          <w:p>
            <w:r>
              <w:rPr>
                <w:sz w:val="19"/>
              </w:rPr>
              <w:t>35%</w:t>
            </w:r>
          </w:p>
        </w:tc>
        <w:tc>
          <w:tcPr>
            <w:tcW w:type="dxa" w:w="3120"/>
          </w:tcPr>
          <w:p>
            <w:r>
              <w:rPr>
                <w:sz w:val="19"/>
              </w:rPr>
              <w:t>Evaluates net rental yield relative to cost of capital, monthly cashflow coverage, and cash-on-cash equity yield.</w:t>
            </w:r>
          </w:p>
        </w:tc>
      </w:tr>
      <w:tr>
        <w:tc>
          <w:tcPr>
            <w:tcW w:type="dxa" w:w="3120"/>
          </w:tcPr>
          <w:p>
            <w:r>
              <w:rPr>
                <w:b/>
                <w:sz w:val="19"/>
              </w:rPr>
              <w:t>Rental Yield Power</w:t>
            </w:r>
          </w:p>
        </w:tc>
        <w:tc>
          <w:tcPr>
            <w:tcW w:type="dxa" w:w="3120"/>
          </w:tcPr>
          <w:p>
            <w:r>
              <w:rPr>
                <w:sz w:val="19"/>
              </w:rPr>
              <w:t>20%</w:t>
            </w:r>
          </w:p>
        </w:tc>
        <w:tc>
          <w:tcPr>
            <w:tcW w:type="dxa" w:w="3120"/>
          </w:tcPr>
          <w:p>
            <w:r>
              <w:rPr>
                <w:sz w:val="19"/>
              </w:rPr>
              <w:t>Benchmarks gross rental yield against metropolitan residential benchmarks (&gt;5.5% = exceptional, 4.0-5.4% = good, &lt;2.5% = poor).</w:t>
            </w:r>
          </w:p>
        </w:tc>
      </w:tr>
      <w:tr>
        <w:tc>
          <w:tcPr>
            <w:tcW w:type="dxa" w:w="3120"/>
          </w:tcPr>
          <w:p>
            <w:r>
              <w:rPr>
                <w:b/>
                <w:sz w:val="19"/>
              </w:rPr>
              <w:t>Price Efficiency</w:t>
            </w:r>
          </w:p>
        </w:tc>
        <w:tc>
          <w:tcPr>
            <w:tcW w:type="dxa" w:w="3120"/>
          </w:tcPr>
          <w:p>
            <w:r>
              <w:rPr>
                <w:sz w:val="19"/>
              </w:rPr>
              <w:t>20%</w:t>
            </w:r>
          </w:p>
        </w:tc>
        <w:tc>
          <w:tcPr>
            <w:tcW w:type="dxa" w:w="3120"/>
          </w:tcPr>
          <w:p>
            <w:r>
              <w:rPr>
                <w:sz w:val="19"/>
              </w:rPr>
              <w:t>Affordability and capitalization rate per square foot relative to the asset configuration and total capital outlay.</w:t>
            </w:r>
          </w:p>
        </w:tc>
      </w:tr>
      <w:tr>
        <w:tc>
          <w:tcPr>
            <w:tcW w:type="dxa" w:w="3120"/>
          </w:tcPr>
          <w:p>
            <w:r>
              <w:rPr>
                <w:b/>
                <w:sz w:val="19"/>
              </w:rPr>
              <w:t>Loan Burden</w:t>
            </w:r>
          </w:p>
        </w:tc>
        <w:tc>
          <w:tcPr>
            <w:tcW w:type="dxa" w:w="3120"/>
          </w:tcPr>
          <w:p>
            <w:r>
              <w:rPr>
                <w:sz w:val="19"/>
              </w:rPr>
              <w:t>15%</w:t>
            </w:r>
          </w:p>
        </w:tc>
        <w:tc>
          <w:tcPr>
            <w:tcW w:type="dxa" w:w="3120"/>
          </w:tcPr>
          <w:p>
            <w:r>
              <w:rPr>
                <w:sz w:val="19"/>
              </w:rPr>
              <w:t>Assesses leverage stress through Loan-to-Value (LTV) percentage and monthly debt service coverage (EMI vs. expected rent).</w:t>
            </w:r>
          </w:p>
        </w:tc>
      </w:tr>
      <w:tr>
        <w:tc>
          <w:tcPr>
            <w:tcW w:type="dxa" w:w="3120"/>
          </w:tcPr>
          <w:p>
            <w:r>
              <w:rPr>
                <w:b/>
                <w:sz w:val="19"/>
              </w:rPr>
              <w:t>Risk Buffer</w:t>
            </w:r>
          </w:p>
        </w:tc>
        <w:tc>
          <w:tcPr>
            <w:tcW w:type="dxa" w:w="3120"/>
          </w:tcPr>
          <w:p>
            <w:r>
              <w:rPr>
                <w:sz w:val="19"/>
              </w:rPr>
              <w:t>10%</w:t>
            </w:r>
          </w:p>
        </w:tc>
        <w:tc>
          <w:tcPr>
            <w:tcW w:type="dxa" w:w="3120"/>
          </w:tcPr>
          <w:p>
            <w:r>
              <w:rPr>
                <w:sz w:val="19"/>
              </w:rPr>
              <w:t>Structural age depreciation liability, maintenance drag percentage, and dedicated parking inclusion.</w:t>
            </w:r>
          </w:p>
        </w:tc>
      </w:tr>
    </w:tbl>
    <w:p>
      <w:pPr>
        <w:spacing w:after="160"/>
      </w:pPr>
    </w:p>
    <w:p>
      <w:pPr>
        <w:pStyle w:val="Heading2"/>
        <w:spacing w:before="200" w:after="80"/>
      </w:pPr>
      <w:r>
        <w:rPr>
          <w:b/>
          <w:color w:val="334155"/>
          <w:sz w:val="26"/>
        </w:rPr>
        <w:t>5.1 Classification Thresholds</w:t>
      </w:r>
    </w:p>
    <w:p>
      <w:r>
        <w:t>• 80 – 100: Strong Deal (Solid fundamentals, favorable yields, sustainable leverage, positive/balanced carry).</w:t>
      </w:r>
    </w:p>
    <w:p>
      <w:r>
        <w:t>• 60 – 79: Fair Deal (Viable property with reasonable returns; minor negotiation or down payment increase advised).</w:t>
      </w:r>
    </w:p>
    <w:p>
      <w:r>
        <w:t>• 40 – 59: Needs Review (Friction identified: compressed rental yield, elevated financing cost, or maintenance drag).</w:t>
      </w:r>
    </w:p>
    <w:p>
      <w:r>
        <w:t>• 0 – 39: Risky Deal (Severe negative carry, excessive debt burden, or disproportionate asking price versus rental income).</w:t>
      </w:r>
    </w:p>
    <w:p>
      <w:pPr>
        <w:pStyle w:val="Heading1"/>
        <w:spacing w:before="280" w:after="120"/>
      </w:pPr>
      <w:r>
        <w:rPr>
          <w:b/>
          <w:color w:val="0F172A"/>
          <w:sz w:val="32"/>
        </w:rPr>
        <w:t>6. Risk Diagnostics &amp; Pre-Purchase Due-Diligence Checklist</w:t>
      </w:r>
    </w:p>
    <w:p>
      <w:r>
        <w:t>DealWise AI classifies operational, structural, and debt liabilities into High, Medium, and Low severity flags. Furthermore, each evaluation provides an 8-point due-diligence checklist that buyers must physically verify:</w:t>
      </w:r>
    </w:p>
    <w:p>
      <w:r>
        <w:t>1. Marketable Title Deed: Verify a 30-year unbroken chain of title documents and registered conveyance deeds.</w:t>
      </w:r>
    </w:p>
    <w:p>
      <w:r>
        <w:t>2. RERA Registration &amp; Sanctions: Confirm state Real Estate Regulatory Authority approval, sanctioned plans, and Commencement/Occupancy Certificates (CC/OC).</w:t>
      </w:r>
    </w:p>
    <w:p>
      <w:r>
        <w:t>3. Encumbrance Certificate (EC): Obtain an up-to-date EC from the sub-registrar office covering at least 15–30 years to verify absence of mortgages.</w:t>
      </w:r>
    </w:p>
    <w:p>
      <w:r>
        <w:t>4. Local Micro-Market Comparables: Cross-reference actual registered sale deed prices of comparable units within a 500-meter radius.</w:t>
      </w:r>
    </w:p>
    <w:p>
      <w:r>
        <w:t>5. Society Maintenance Health: Inspect association balance sheets, sinking fund reserves, and pending special repair assessments.</w:t>
      </w:r>
    </w:p>
    <w:p>
      <w:r>
        <w:t>6. Rental Absorption Rates: Confirm prevailing rental demand and tenant turnover rates directly with local independent brokers.</w:t>
      </w:r>
    </w:p>
    <w:p>
      <w:r>
        <w:t>7. Municipal Clearance: Confirm payment receipts for property tax, electricity, water, and sewerage charges.</w:t>
      </w:r>
    </w:p>
    <w:p>
      <w:r>
        <w:t>8. Bank Project Approval: Ensure the development is pre-approved for mortgage financing (APF) by major financial institutions.</w:t>
      </w:r>
    </w:p>
    <w:p>
      <w:pPr>
        <w:pStyle w:val="Heading1"/>
        <w:spacing w:before="280" w:after="120"/>
      </w:pPr>
      <w:r>
        <w:rPr>
          <w:b/>
          <w:color w:val="0F172A"/>
          <w:sz w:val="32"/>
        </w:rPr>
        <w:t>7. REST API Endpoints Specification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Pr>
          <w:p>
            <w:r>
              <w:rPr>
                <w:b/>
              </w:rPr>
              <w:t>Method</w:t>
            </w:r>
          </w:p>
        </w:tc>
        <w:tc>
          <w:tcPr>
            <w:tcW w:type="dxa" w:w="2340"/>
            <w:shd w:fill="F1F5F9"/>
          </w:tcPr>
          <w:p>
            <w:r>
              <w:rPr>
                <w:b/>
              </w:rPr>
              <w:t>Endpoint</w:t>
            </w:r>
          </w:p>
        </w:tc>
        <w:tc>
          <w:tcPr>
            <w:tcW w:type="dxa" w:w="2340"/>
            <w:shd w:fill="F1F5F9"/>
          </w:tcPr>
          <w:p>
            <w:r>
              <w:rPr>
                <w:b/>
              </w:rPr>
              <w:t>Payload</w:t>
            </w:r>
          </w:p>
        </w:tc>
        <w:tc>
          <w:tcPr>
            <w:tcW w:type="dxa" w:w="2340"/>
            <w:shd w:fill="F1F5F9"/>
          </w:tcPr>
          <w:p>
            <w:r>
              <w:rPr>
                <w:b/>
              </w:rPr>
              <w:t>Description</w:t>
            </w:r>
          </w:p>
        </w:tc>
      </w:tr>
      <w:tr>
        <w:tc>
          <w:tcPr>
            <w:tcW w:type="dxa" w:w="2340"/>
          </w:tcPr>
          <w:p>
            <w:r>
              <w:rPr>
                <w:b/>
                <w:sz w:val="18"/>
              </w:rPr>
              <w:t>GET</w:t>
            </w:r>
          </w:p>
        </w:tc>
        <w:tc>
          <w:tcPr>
            <w:tcW w:type="dxa" w:w="2340"/>
          </w:tcPr>
          <w:p>
            <w:r>
              <w:rPr>
                <w:sz w:val="18"/>
              </w:rPr>
              <w:t>/api/health</w:t>
            </w:r>
          </w:p>
        </w:tc>
        <w:tc>
          <w:tcPr>
            <w:tcW w:type="dxa" w:w="2340"/>
          </w:tcPr>
          <w:p>
            <w:r>
              <w:rPr>
                <w:sz w:val="18"/>
              </w:rPr>
              <w:t>None</w:t>
            </w:r>
          </w:p>
        </w:tc>
        <w:tc>
          <w:tcPr>
            <w:tcW w:type="dxa" w:w="2340"/>
          </w:tcPr>
          <w:p>
            <w:r>
              <w:rPr>
                <w:sz w:val="18"/>
              </w:rPr>
              <w:t>Service uptime, timestamp, and active integration flags.</w:t>
            </w:r>
          </w:p>
        </w:tc>
      </w:tr>
      <w:tr>
        <w:tc>
          <w:tcPr>
            <w:tcW w:type="dxa" w:w="2340"/>
          </w:tcPr>
          <w:p>
            <w:r>
              <w:rPr>
                <w:b/>
                <w:sz w:val="18"/>
              </w:rPr>
              <w:t>POST</w:t>
            </w:r>
          </w:p>
        </w:tc>
        <w:tc>
          <w:tcPr>
            <w:tcW w:type="dxa" w:w="2340"/>
          </w:tcPr>
          <w:p>
            <w:r>
              <w:rPr>
                <w:sz w:val="18"/>
              </w:rPr>
              <w:t>/api/analyze</w:t>
            </w:r>
          </w:p>
        </w:tc>
        <w:tc>
          <w:tcPr>
            <w:tcW w:type="dxa" w:w="2340"/>
          </w:tcPr>
          <w:p>
            <w:r>
              <w:rPr>
                <w:sz w:val="18"/>
              </w:rPr>
              <w:t>{ property, appreciationRate }</w:t>
            </w:r>
          </w:p>
        </w:tc>
        <w:tc>
          <w:tcPr>
            <w:tcW w:type="dxa" w:w="2340"/>
          </w:tcPr>
          <w:p>
            <w:r>
              <w:rPr>
                <w:sz w:val="18"/>
              </w:rPr>
              <w:t>Validates input, computes metrics, generates score, and returns analysis.</w:t>
            </w:r>
          </w:p>
        </w:tc>
      </w:tr>
      <w:tr>
        <w:tc>
          <w:tcPr>
            <w:tcW w:type="dxa" w:w="2340"/>
          </w:tcPr>
          <w:p>
            <w:r>
              <w:rPr>
                <w:b/>
                <w:sz w:val="18"/>
              </w:rPr>
              <w:t>POST</w:t>
            </w:r>
          </w:p>
        </w:tc>
        <w:tc>
          <w:tcPr>
            <w:tcW w:type="dxa" w:w="2340"/>
          </w:tcPr>
          <w:p>
            <w:r>
              <w:rPr>
                <w:sz w:val="18"/>
              </w:rPr>
              <w:t>/api/ai/chat</w:t>
            </w:r>
          </w:p>
        </w:tc>
        <w:tc>
          <w:tcPr>
            <w:tcW w:type="dxa" w:w="2340"/>
          </w:tcPr>
          <w:p>
            <w:r>
              <w:rPr>
                <w:sz w:val="18"/>
              </w:rPr>
              <w:t>{ property, metrics, score, userQuestion }</w:t>
            </w:r>
          </w:p>
        </w:tc>
        <w:tc>
          <w:tcPr>
            <w:tcW w:type="dxa" w:w="2340"/>
          </w:tcPr>
          <w:p>
            <w:r>
              <w:rPr>
                <w:sz w:val="18"/>
              </w:rPr>
              <w:t>Conversational AI responses grounded in the current property context.</w:t>
            </w:r>
          </w:p>
        </w:tc>
      </w:tr>
      <w:tr>
        <w:tc>
          <w:tcPr>
            <w:tcW w:type="dxa" w:w="2340"/>
          </w:tcPr>
          <w:p>
            <w:r>
              <w:rPr>
                <w:b/>
                <w:sz w:val="18"/>
              </w:rPr>
              <w:t>POST</w:t>
            </w:r>
          </w:p>
        </w:tc>
        <w:tc>
          <w:tcPr>
            <w:tcW w:type="dxa" w:w="2340"/>
          </w:tcPr>
          <w:p>
            <w:r>
              <w:rPr>
                <w:sz w:val="18"/>
              </w:rPr>
              <w:t>/api/compare</w:t>
            </w:r>
          </w:p>
        </w:tc>
        <w:tc>
          <w:tcPr>
            <w:tcW w:type="dxa" w:w="2340"/>
          </w:tcPr>
          <w:p>
            <w:r>
              <w:rPr>
                <w:sz w:val="18"/>
              </w:rPr>
              <w:t>{ properties: PropertyInput[] }</w:t>
            </w:r>
          </w:p>
        </w:tc>
        <w:tc>
          <w:tcPr>
            <w:tcW w:type="dxa" w:w="2340"/>
          </w:tcPr>
          <w:p>
            <w:r>
              <w:rPr>
                <w:sz w:val="18"/>
              </w:rPr>
              <w:t>Multi-property benchmarking with category winner determinations.</w:t>
            </w:r>
          </w:p>
        </w:tc>
      </w:tr>
      <w:tr>
        <w:tc>
          <w:tcPr>
            <w:tcW w:type="dxa" w:w="2340"/>
          </w:tcPr>
          <w:p>
            <w:r>
              <w:rPr>
                <w:b/>
                <w:sz w:val="18"/>
              </w:rPr>
              <w:t>GET</w:t>
            </w:r>
          </w:p>
        </w:tc>
        <w:tc>
          <w:tcPr>
            <w:tcW w:type="dxa" w:w="2340"/>
          </w:tcPr>
          <w:p>
            <w:r>
              <w:rPr>
                <w:sz w:val="18"/>
              </w:rPr>
              <w:t>/api/analyses</w:t>
            </w:r>
          </w:p>
        </w:tc>
        <w:tc>
          <w:tcPr>
            <w:tcW w:type="dxa" w:w="2340"/>
          </w:tcPr>
          <w:p>
            <w:r>
              <w:rPr>
                <w:sz w:val="18"/>
              </w:rPr>
              <w:t>None</w:t>
            </w:r>
          </w:p>
        </w:tc>
        <w:tc>
          <w:tcPr>
            <w:tcW w:type="dxa" w:w="2340"/>
          </w:tcPr>
          <w:p>
            <w:r>
              <w:rPr>
                <w:sz w:val="18"/>
              </w:rPr>
              <w:t>Retrieves stored property evaluations from Supabase or memory store.</w:t>
            </w:r>
          </w:p>
        </w:tc>
      </w:tr>
      <w:tr>
        <w:tc>
          <w:tcPr>
            <w:tcW w:type="dxa" w:w="2340"/>
          </w:tcPr>
          <w:p>
            <w:r>
              <w:rPr>
                <w:b/>
                <w:sz w:val="18"/>
              </w:rPr>
              <w:t>POST</w:t>
            </w:r>
          </w:p>
        </w:tc>
        <w:tc>
          <w:tcPr>
            <w:tcW w:type="dxa" w:w="2340"/>
          </w:tcPr>
          <w:p>
            <w:r>
              <w:rPr>
                <w:sz w:val="18"/>
              </w:rPr>
              <w:t>/api/analyses</w:t>
            </w:r>
          </w:p>
        </w:tc>
        <w:tc>
          <w:tcPr>
            <w:tcW w:type="dxa" w:w="2340"/>
          </w:tcPr>
          <w:p>
            <w:r>
              <w:rPr>
                <w:sz w:val="18"/>
              </w:rPr>
              <w:t>SavedAnalysisRecord</w:t>
            </w:r>
          </w:p>
        </w:tc>
        <w:tc>
          <w:tcPr>
            <w:tcW w:type="dxa" w:w="2340"/>
          </w:tcPr>
          <w:p>
            <w:r>
              <w:rPr>
                <w:sz w:val="18"/>
              </w:rPr>
              <w:t>Persists evaluated deal records.</w:t>
            </w:r>
          </w:p>
        </w:tc>
      </w:tr>
      <w:tr>
        <w:tc>
          <w:tcPr>
            <w:tcW w:type="dxa" w:w="2340"/>
          </w:tcPr>
          <w:p>
            <w:r>
              <w:rPr>
                <w:b/>
                <w:sz w:val="18"/>
              </w:rPr>
              <w:t>DELETE</w:t>
            </w:r>
          </w:p>
        </w:tc>
        <w:tc>
          <w:tcPr>
            <w:tcW w:type="dxa" w:w="2340"/>
          </w:tcPr>
          <w:p>
            <w:r>
              <w:rPr>
                <w:sz w:val="18"/>
              </w:rPr>
              <w:t>/api/analyses/:id</w:t>
            </w:r>
          </w:p>
        </w:tc>
        <w:tc>
          <w:tcPr>
            <w:tcW w:type="dxa" w:w="2340"/>
          </w:tcPr>
          <w:p>
            <w:r>
              <w:rPr>
                <w:sz w:val="18"/>
              </w:rPr>
              <w:t>URL param: id</w:t>
            </w:r>
          </w:p>
        </w:tc>
        <w:tc>
          <w:tcPr>
            <w:tcW w:type="dxa" w:w="2340"/>
          </w:tcPr>
          <w:p>
            <w:r>
              <w:rPr>
                <w:sz w:val="18"/>
              </w:rPr>
              <w:t>Deletes a stored property analysis.</w:t>
            </w:r>
          </w:p>
        </w:tc>
      </w:tr>
      <w:tr>
        <w:tc>
          <w:tcPr>
            <w:tcW w:type="dxa" w:w="2340"/>
          </w:tcPr>
          <w:p>
            <w:r>
              <w:rPr>
                <w:b/>
                <w:sz w:val="18"/>
              </w:rPr>
              <w:t>POST</w:t>
            </w:r>
          </w:p>
        </w:tc>
        <w:tc>
          <w:tcPr>
            <w:tcW w:type="dxa" w:w="2340"/>
          </w:tcPr>
          <w:p>
            <w:r>
              <w:rPr>
                <w:sz w:val="18"/>
              </w:rPr>
              <w:t>/api/report</w:t>
            </w:r>
          </w:p>
        </w:tc>
        <w:tc>
          <w:tcPr>
            <w:tcW w:type="dxa" w:w="2340"/>
          </w:tcPr>
          <w:p>
            <w:r>
              <w:rPr>
                <w:sz w:val="18"/>
              </w:rPr>
              <w:t>{ analysis }</w:t>
            </w:r>
          </w:p>
        </w:tc>
        <w:tc>
          <w:tcPr>
            <w:tcW w:type="dxa" w:w="2340"/>
          </w:tcPr>
          <w:p>
            <w:r>
              <w:rPr>
                <w:sz w:val="18"/>
              </w:rPr>
              <w:t>Validates and formats metadata for investment report exports.</w:t>
            </w:r>
          </w:p>
        </w:tc>
      </w:tr>
    </w:tbl>
    <w:p>
      <w:pPr>
        <w:spacing w:after="200"/>
      </w:pPr>
    </w:p>
    <w:p>
      <w:pPr>
        <w:pStyle w:val="Heading1"/>
        <w:spacing w:before="280" w:after="120"/>
      </w:pPr>
      <w:r>
        <w:rPr>
          <w:b/>
          <w:color w:val="0F172A"/>
          <w:sz w:val="32"/>
        </w:rPr>
        <w:t>8. Verification &amp; Quality Assurance Summary</w:t>
      </w:r>
    </w:p>
    <w:p>
      <w:r>
        <w:t>The system has completed rigorous verification testing across environments: TypeScript static type checks pass with zero errors (tsc -b), the Vite production build minifies without warnings, universal host binding (0.0.0.0) guarantees access via localhost, 127.0.0.1, and local networks, and client-side PDF generation functions without server dependencies.</w:t>
      </w:r>
    </w:p>
    <w:p>
      <w:pPr>
        <w:pStyle w:val="Heading1"/>
        <w:spacing w:before="280" w:after="120"/>
      </w:pPr>
      <w:r>
        <w:rPr>
          <w:b/>
          <w:color w:val="0F172A"/>
          <w:sz w:val="32"/>
        </w:rPr>
        <w:t>9. Legal &amp; Financial Disclaimer</w:t>
      </w:r>
    </w:p>
    <w:p>
      <w:r>
        <w:t>DealWise AI provides deterministic analytical estimates and qualitative AI interpretations for educational and decision-support purposes only. DealWise AI is not a registered financial advisor, licensed broker, or legal practice. Future property values, capital appreciation rates, and rental incomes are estimates, not guarantees. Buyers must independently verify all municipal documentation and title deeds prior to contract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