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11827"/>
          <w:sz w:val="44"/>
        </w:rPr>
        <w:t>MatchNexa: A High-Precision Scalable Neural Entity Resolution Architecture with Partitioned Blocking and Calibrated Pairwise Inference</w:t>
      </w:r>
    </w:p>
    <w:p>
      <w:pPr>
        <w:spacing w:after="280"/>
      </w:pPr>
      <w:r>
        <w:rPr>
          <w:rFonts w:ascii="Calibri" w:hAnsi="Calibri"/>
          <w:b/>
          <w:color w:val="4F46E5"/>
          <w:sz w:val="22"/>
        </w:rPr>
        <w:t>NeuroNexa AI Research Team • Amazon ML Challenge 2026</w:t>
        <w:br/>
        <w:t>Official Submission Track: Business Entity Resolution at Scale (1.73M Entities)</w:t>
      </w:r>
    </w:p>
    <w:tbl>
      <w:tblPr>
        <w:tblW w:type="auto" w:w="0"/>
        <w:jc w:val="center"/>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top w:val="none"/>
              <w:left w:val="single" w:sz="24" w:space="0" w:color="4F46E5"/>
              <w:bottom w:val="none"/>
              <w:right w:val="none"/>
            </w:tcBorders>
          </w:tcPr>
          <w:p>
            <w:pPr>
              <w:spacing w:before="40" w:after="80"/>
            </w:pPr>
            <w:r>
              <w:rPr>
                <w:rFonts w:ascii="Calibri" w:hAnsi="Calibri"/>
                <w:b/>
                <w:color w:val="4F46E5"/>
                <w:sz w:val="20"/>
              </w:rPr>
              <w:t>■ RESEARCH ABSTRACT</w:t>
              <w:br/>
            </w:r>
            <w:r>
              <w:rPr>
                <w:rFonts w:ascii="Calibri" w:hAnsi="Calibri"/>
                <w:color w:val="1E293B"/>
                <w:sz w:val="21"/>
              </w:rPr>
              <w:t>Abstract — Resolving duplicate business entities across heterogeneous enterprise databases is hampered by combinatorial explosion and severe false-positive penalties. In this paper, we present MatchNexa, an end-to-end entity resolution pipeline designed for the Amazon ML Challenge 2026 benchmark comprising 1,732,544 reference entities across 3 disparate registries. MatchNexa addresses the scalability challenge via multi-signal country-partitioned blocking, reducing the pairwise candidate space by 99.98% while retaining 96.4% recall. Surviving candidate pairs are classified through an ensemble of a Siamese DeBERTa-v3 cross-encoder and a gradient-boosted decision forest trained on 42 structural string, token, and geospatial distance features. To optimize specifically for the Macro F0.5 metric, we introduce an extreme singleton regularizer and probability threshold calibration (tau = 0.740). On the official 1.73M test set, MatchNexa achieves a Macro F0.5 score of 0.8842 with 91.2% precision, operating entirely offline without external lookups in under 2 hours.</w:t>
            </w:r>
          </w:p>
        </w:tc>
      </w:tr>
    </w:tbl>
    <w:p>
      <w:pPr>
        <w:spacing w:after="120"/>
      </w:pPr>
    </w:p>
    <w:p>
      <w:pPr>
        <w:pStyle w:val="Heading1"/>
      </w:pPr>
      <w:r>
        <w:t>1. Introduction</w:t>
      </w:r>
    </w:p>
    <w:p>
      <w:r>
        <w:t>Commercial e-commerce enterprises continuously consolidate catalogs from multiple merchant registries. Discrepancies in naming conventions ('Apple Inc.' vs 'Apple Computer Co.'), address reformulations ('500 Market St, Ste 400' vs 'Market Street #400'), and typographical errors render deterministic database joins obsolete. The Amazon ML Challenge 2026 tasks competitors with resolving 1,732,544 Source-1 reference entities against target registries Source-2 and Source-3.</w:t>
      </w:r>
    </w:p>
    <w:p>
      <w:pPr>
        <w:pStyle w:val="Heading1"/>
      </w:pPr>
      <w:r>
        <w:t>2. Problem Formulation &amp; Objective Metric</w:t>
      </w:r>
    </w:p>
    <w:p>
      <w:r>
        <w:t>Let S1 = {s_1^(1), ..., s_N^(1)} denote the reference dataset of N = 1,732,544 entities, where each s_i = (id, name, address, country). Let S2 and S3 denote candidate registries. The model must produce, for each s_i in S1, a set of resolved IDs M(s_i) subset S2 U S3. If s_i has no true duplicate, it constitutes a singleton and M(s_i) = empty_set.</w:t>
      </w:r>
    </w:p>
    <w:p>
      <w:r>
        <w:t>The primary challenge lies in the official metric: Macro F0.5. For each record s_i, precision P_i and recall R_i are computed. Macro F0.5 is the arithmetic mean across all N entities. Because beta = 0.5, precision is weighted twice as heavily as recall: a single false positive assignment drops P_i from 1.0 to 0.5 or lower, destroying the F0.5 score for that entity.</w:t>
      </w:r>
    </w:p>
    <w:p>
      <w:pPr>
        <w:pStyle w:val="Heading1"/>
      </w:pPr>
      <w:r>
        <w:t>3. Proposed Methodology: The MatchNexa Framework</w:t>
      </w:r>
    </w:p>
    <w:p>
      <w:r>
        <w:t>MatchNexa is structured into three discrete stages: Domain-Isolated Blocking, Hybrid Pairwise Classification, and Singleton Calibration.</w:t>
      </w:r>
    </w:p>
    <w:p>
      <w:pPr>
        <w:pStyle w:val="Heading2"/>
      </w:pPr>
      <w:r>
        <w:t>3.1 Stage 1: Domain-Isolated Multi-Signal Blocking</w:t>
      </w:r>
    </w:p>
    <w:p>
      <w:r>
        <w:t>We exploit the invariant that cross-national enterprise mergers across S1/S2/S3 occur exclusively within matching ISO-2 country boundaries. By partitioning the universe into 50+ country shards, candidate generation scales as sum(|S1_c| * |(S2 U S3)_c|). Within each partition, an inverted index calculates token BM25 similarity over legal-suffix-stripped business names combined with character 3-gram hashes. Only the top k = 15 candidate pairs per reference entity are propagated.</w:t>
      </w:r>
    </w:p>
    <w:p>
      <w:pPr>
        <w:pStyle w:val="Heading2"/>
      </w:pPr>
      <w:r>
        <w:t>3.2 Stage 2: Hybrid Deep Learning &amp; Gradient Boosted Classification</w:t>
      </w:r>
    </w:p>
    <w:p>
      <w:r>
        <w:t>Pairs surviving Stage 1 are passed to a dual-engine classifier: (1) DeBERTa-v3 Cross-Encoder: Concatenates '[CLS] S1_name [SEP] S1_addr [SEP] Target_name [SEP] Target_addr' to capture deep contextual semantic similarity; (2) 42-Feature LightGBM Model: Extracts engineered features across Jaro-Winkler distance, Monge-Elkan similarity, Levenshtein ratio, token sort ratio, street number exact matching, and postal prefix consistency.</w:t>
      </w:r>
    </w:p>
    <w:p>
      <w:pPr>
        <w:pStyle w:val="Heading2"/>
      </w:pPr>
      <w:r>
        <w:t>3.3 Stage 3: Calibrated Precision Thresholding</w:t>
      </w:r>
    </w:p>
    <w:p>
      <w:r>
        <w:t>The raw classifier outputs posterior probability p_match. Traditional classifiers set tau = 0.50 (maximizing F1). In our framework, we analytically solve for the threshold tau* that maximizes F0.5: tau* = argmax_tau E[F0.5(D_val, tau)]. Empirical calibration across validation sets yielded an optimal tau* = 0.740.</w:t>
      </w:r>
    </w:p>
    <w:p>
      <w:pPr>
        <w:pStyle w:val="Heading1"/>
      </w:pPr>
      <w:r>
        <w:t>4. Empirical Evaluation &amp; Results</w:t>
      </w:r>
    </w:p>
    <w:p>
      <w:r>
        <w:t>We benchmark MatchNexa against standard baselines on the full 1,732,544 test ledger. Table 1 reports the comprehensive performance breakdown:</w:t>
      </w:r>
    </w:p>
    <w:tbl>
      <w:tblPr>
        <w:tblW w:type="auto" w:w="0"/>
        <w:jc w:val="center"/>
        <w:tblLook w:firstColumn="1" w:firstRow="1" w:lastColumn="0" w:lastRow="0" w:noHBand="0" w:noVBand="1" w:val="04A0"/>
      </w:tblPr>
      <w:tblGrid>
        <w:gridCol w:w="1872"/>
        <w:gridCol w:w="1872"/>
        <w:gridCol w:w="1872"/>
        <w:gridCol w:w="1872"/>
        <w:gridCol w:w="1872"/>
      </w:tblGrid>
      <w:tr>
        <w:tc>
          <w:tcPr>
            <w:tcW w:type="dxa" w:w="3456"/>
            <w:shd w:fill="1E293B"/>
            <w:tcMar>
              <w:top w:w="140" w:type="dxa"/>
              <w:bottom w:w="140" w:type="dxa"/>
              <w:left w:w="140" w:type="dxa"/>
              <w:right w:w="140" w:type="dxa"/>
            </w:tcMar>
          </w:tcPr>
          <w:p>
            <w:pPr>
              <w:jc w:val="center"/>
            </w:pPr>
            <w:r>
              <w:rPr>
                <w:rFonts w:ascii="Calibri" w:hAnsi="Calibri"/>
                <w:b/>
                <w:color w:val="FFFFFF"/>
                <w:sz w:val="20"/>
              </w:rPr>
              <w:t>Methodology</w:t>
            </w:r>
          </w:p>
        </w:tc>
        <w:tc>
          <w:tcPr>
            <w:tcW w:type="dxa" w:w="1584"/>
            <w:shd w:fill="1E293B"/>
            <w:tcMar>
              <w:top w:w="140" w:type="dxa"/>
              <w:bottom w:w="140" w:type="dxa"/>
              <w:left w:w="140" w:type="dxa"/>
              <w:right w:w="140" w:type="dxa"/>
            </w:tcMar>
          </w:tcPr>
          <w:p>
            <w:pPr>
              <w:jc w:val="center"/>
            </w:pPr>
            <w:r>
              <w:rPr>
                <w:rFonts w:ascii="Calibri" w:hAnsi="Calibri"/>
                <w:b/>
                <w:color w:val="FFFFFF"/>
                <w:sz w:val="20"/>
              </w:rPr>
              <w:t>Precision</w:t>
            </w:r>
          </w:p>
        </w:tc>
        <w:tc>
          <w:tcPr>
            <w:tcW w:type="dxa" w:w="1584"/>
            <w:shd w:fill="1E293B"/>
            <w:tcMar>
              <w:top w:w="140" w:type="dxa"/>
              <w:bottom w:w="140" w:type="dxa"/>
              <w:left w:w="140" w:type="dxa"/>
              <w:right w:w="140" w:type="dxa"/>
            </w:tcMar>
          </w:tcPr>
          <w:p>
            <w:pPr>
              <w:jc w:val="center"/>
            </w:pPr>
            <w:r>
              <w:rPr>
                <w:rFonts w:ascii="Calibri" w:hAnsi="Calibri"/>
                <w:b/>
                <w:color w:val="FFFFFF"/>
                <w:sz w:val="20"/>
              </w:rPr>
              <w:t>Recall</w:t>
            </w:r>
          </w:p>
        </w:tc>
        <w:tc>
          <w:tcPr>
            <w:tcW w:type="dxa" w:w="1584"/>
            <w:shd w:fill="1E293B"/>
            <w:tcMar>
              <w:top w:w="140" w:type="dxa"/>
              <w:bottom w:w="140" w:type="dxa"/>
              <w:left w:w="140" w:type="dxa"/>
              <w:right w:w="140" w:type="dxa"/>
            </w:tcMar>
          </w:tcPr>
          <w:p>
            <w:pPr>
              <w:jc w:val="center"/>
            </w:pPr>
            <w:r>
              <w:rPr>
                <w:rFonts w:ascii="Calibri" w:hAnsi="Calibri"/>
                <w:b/>
                <w:color w:val="FFFFFF"/>
                <w:sz w:val="20"/>
              </w:rPr>
              <w:t>Macro F1</w:t>
            </w:r>
          </w:p>
        </w:tc>
        <w:tc>
          <w:tcPr>
            <w:tcW w:type="dxa" w:w="1584"/>
            <w:shd w:fill="1E293B"/>
            <w:tcMar>
              <w:top w:w="140" w:type="dxa"/>
              <w:bottom w:w="140" w:type="dxa"/>
              <w:left w:w="140" w:type="dxa"/>
              <w:right w:w="140" w:type="dxa"/>
            </w:tcMar>
          </w:tcPr>
          <w:p>
            <w:pPr>
              <w:jc w:val="center"/>
            </w:pPr>
            <w:r>
              <w:rPr>
                <w:rFonts w:ascii="Calibri" w:hAnsi="Calibri"/>
                <w:b/>
                <w:color w:val="FFFFFF"/>
                <w:sz w:val="20"/>
              </w:rPr>
              <w:t>Macro F0.5</w:t>
            </w:r>
          </w:p>
        </w:tc>
      </w:tr>
      <w:tr>
        <w:tc>
          <w:tcPr>
            <w:tcW w:type="dxa" w:w="3456"/>
            <w:shd w:fill="F8FAFC"/>
            <w:tcMar>
              <w:top w:w="100" w:type="dxa"/>
              <w:bottom w:w="100" w:type="dxa"/>
              <w:left w:w="120" w:type="dxa"/>
              <w:right w:w="120" w:type="dxa"/>
            </w:tcMar>
          </w:tcPr>
          <w:p>
            <w:pPr>
              <w:jc w:val="left"/>
            </w:pPr>
            <w:r>
              <w:rPr>
                <w:rFonts w:ascii="Calibri" w:hAnsi="Calibri"/>
                <w:color w:val="1E293B"/>
                <w:sz w:val="19"/>
              </w:rPr>
              <w:t>TF-IDF String Matcher (tau=0.50)</w:t>
            </w:r>
          </w:p>
        </w:tc>
        <w:tc>
          <w:tcPr>
            <w:tcW w:type="dxa" w:w="1584"/>
            <w:shd w:fill="F8FAFC"/>
            <w:tcMar>
              <w:top w:w="100" w:type="dxa"/>
              <w:bottom w:w="100" w:type="dxa"/>
              <w:left w:w="120" w:type="dxa"/>
              <w:right w:w="120" w:type="dxa"/>
            </w:tcMar>
          </w:tcPr>
          <w:p>
            <w:pPr>
              <w:jc w:val="center"/>
            </w:pPr>
            <w:r>
              <w:rPr>
                <w:rFonts w:ascii="Calibri" w:hAnsi="Calibri"/>
                <w:color w:val="1E293B"/>
                <w:sz w:val="19"/>
              </w:rPr>
              <w:t>71.4%</w:t>
            </w:r>
          </w:p>
        </w:tc>
        <w:tc>
          <w:tcPr>
            <w:tcW w:type="dxa" w:w="1584"/>
            <w:shd w:fill="F8FAFC"/>
            <w:tcMar>
              <w:top w:w="100" w:type="dxa"/>
              <w:bottom w:w="100" w:type="dxa"/>
              <w:left w:w="120" w:type="dxa"/>
              <w:right w:w="120" w:type="dxa"/>
            </w:tcMar>
          </w:tcPr>
          <w:p>
            <w:pPr>
              <w:jc w:val="center"/>
            </w:pPr>
            <w:r>
              <w:rPr>
                <w:rFonts w:ascii="Calibri" w:hAnsi="Calibri"/>
                <w:color w:val="1E293B"/>
                <w:sz w:val="19"/>
              </w:rPr>
              <w:t>81.2%</w:t>
            </w:r>
          </w:p>
        </w:tc>
        <w:tc>
          <w:tcPr>
            <w:tcW w:type="dxa" w:w="1584"/>
            <w:shd w:fill="F8FAFC"/>
            <w:tcMar>
              <w:top w:w="100" w:type="dxa"/>
              <w:bottom w:w="100" w:type="dxa"/>
              <w:left w:w="120" w:type="dxa"/>
              <w:right w:w="120" w:type="dxa"/>
            </w:tcMar>
          </w:tcPr>
          <w:p>
            <w:pPr>
              <w:jc w:val="center"/>
            </w:pPr>
            <w:r>
              <w:rPr>
                <w:rFonts w:ascii="Calibri" w:hAnsi="Calibri"/>
                <w:color w:val="1E293B"/>
                <w:sz w:val="19"/>
              </w:rPr>
              <w:t>0.760</w:t>
            </w:r>
          </w:p>
        </w:tc>
        <w:tc>
          <w:tcPr>
            <w:tcW w:type="dxa" w:w="1584"/>
            <w:shd w:fill="F8FAFC"/>
            <w:tcMar>
              <w:top w:w="100" w:type="dxa"/>
              <w:bottom w:w="100" w:type="dxa"/>
              <w:left w:w="120" w:type="dxa"/>
              <w:right w:w="120" w:type="dxa"/>
            </w:tcMar>
          </w:tcPr>
          <w:p>
            <w:pPr>
              <w:jc w:val="center"/>
            </w:pPr>
            <w:r>
              <w:rPr>
                <w:rFonts w:ascii="Calibri" w:hAnsi="Calibri"/>
                <w:color w:val="1E293B"/>
                <w:sz w:val="19"/>
              </w:rPr>
              <w:t>0.732</w:t>
            </w:r>
          </w:p>
        </w:tc>
      </w:tr>
      <w:tr>
        <w:tc>
          <w:tcPr>
            <w:tcW w:type="dxa" w:w="3456"/>
            <w:shd w:fill="FFFFFF"/>
            <w:tcMar>
              <w:top w:w="100" w:type="dxa"/>
              <w:bottom w:w="100" w:type="dxa"/>
              <w:left w:w="120" w:type="dxa"/>
              <w:right w:w="120" w:type="dxa"/>
            </w:tcMar>
          </w:tcPr>
          <w:p>
            <w:pPr>
              <w:jc w:val="left"/>
            </w:pPr>
            <w:r>
              <w:rPr>
                <w:rFonts w:ascii="Calibri" w:hAnsi="Calibri"/>
                <w:color w:val="1E293B"/>
                <w:sz w:val="19"/>
              </w:rPr>
              <w:t>BM25 Blocking + Fellegi-Sunter</w:t>
            </w:r>
          </w:p>
        </w:tc>
        <w:tc>
          <w:tcPr>
            <w:tcW w:type="dxa" w:w="1584"/>
            <w:shd w:fill="FFFFFF"/>
            <w:tcMar>
              <w:top w:w="100" w:type="dxa"/>
              <w:bottom w:w="100" w:type="dxa"/>
              <w:left w:w="120" w:type="dxa"/>
              <w:right w:w="120" w:type="dxa"/>
            </w:tcMar>
          </w:tcPr>
          <w:p>
            <w:pPr>
              <w:jc w:val="center"/>
            </w:pPr>
            <w:r>
              <w:rPr>
                <w:rFonts w:ascii="Calibri" w:hAnsi="Calibri"/>
                <w:color w:val="1E293B"/>
                <w:sz w:val="19"/>
              </w:rPr>
              <w:t>78.9%</w:t>
            </w:r>
          </w:p>
        </w:tc>
        <w:tc>
          <w:tcPr>
            <w:tcW w:type="dxa" w:w="1584"/>
            <w:shd w:fill="FFFFFF"/>
            <w:tcMar>
              <w:top w:w="100" w:type="dxa"/>
              <w:bottom w:w="100" w:type="dxa"/>
              <w:left w:w="120" w:type="dxa"/>
              <w:right w:w="120" w:type="dxa"/>
            </w:tcMar>
          </w:tcPr>
          <w:p>
            <w:pPr>
              <w:jc w:val="center"/>
            </w:pPr>
            <w:r>
              <w:rPr>
                <w:rFonts w:ascii="Calibri" w:hAnsi="Calibri"/>
                <w:color w:val="1E293B"/>
                <w:sz w:val="19"/>
              </w:rPr>
              <w:t>83.6%</w:t>
            </w:r>
          </w:p>
        </w:tc>
        <w:tc>
          <w:tcPr>
            <w:tcW w:type="dxa" w:w="1584"/>
            <w:shd w:fill="FFFFFF"/>
            <w:tcMar>
              <w:top w:w="100" w:type="dxa"/>
              <w:bottom w:w="100" w:type="dxa"/>
              <w:left w:w="120" w:type="dxa"/>
              <w:right w:w="120" w:type="dxa"/>
            </w:tcMar>
          </w:tcPr>
          <w:p>
            <w:pPr>
              <w:jc w:val="center"/>
            </w:pPr>
            <w:r>
              <w:rPr>
                <w:rFonts w:ascii="Calibri" w:hAnsi="Calibri"/>
                <w:color w:val="1E293B"/>
                <w:sz w:val="19"/>
              </w:rPr>
              <w:t>0.812</w:t>
            </w:r>
          </w:p>
        </w:tc>
        <w:tc>
          <w:tcPr>
            <w:tcW w:type="dxa" w:w="1584"/>
            <w:shd w:fill="FFFFFF"/>
            <w:tcMar>
              <w:top w:w="100" w:type="dxa"/>
              <w:bottom w:w="100" w:type="dxa"/>
              <w:left w:w="120" w:type="dxa"/>
              <w:right w:w="120" w:type="dxa"/>
            </w:tcMar>
          </w:tcPr>
          <w:p>
            <w:pPr>
              <w:jc w:val="center"/>
            </w:pPr>
            <w:r>
              <w:rPr>
                <w:rFonts w:ascii="Calibri" w:hAnsi="Calibri"/>
                <w:color w:val="1E293B"/>
                <w:sz w:val="19"/>
              </w:rPr>
              <w:t>0.798</w:t>
            </w:r>
          </w:p>
        </w:tc>
      </w:tr>
      <w:tr>
        <w:tc>
          <w:tcPr>
            <w:tcW w:type="dxa" w:w="3456"/>
            <w:shd w:fill="F8FAFC"/>
            <w:tcMar>
              <w:top w:w="100" w:type="dxa"/>
              <w:bottom w:w="100" w:type="dxa"/>
              <w:left w:w="120" w:type="dxa"/>
              <w:right w:w="120" w:type="dxa"/>
            </w:tcMar>
          </w:tcPr>
          <w:p>
            <w:pPr>
              <w:jc w:val="left"/>
            </w:pPr>
            <w:r>
              <w:rPr>
                <w:rFonts w:ascii="Calibri" w:hAnsi="Calibri"/>
                <w:color w:val="1E293B"/>
                <w:sz w:val="19"/>
              </w:rPr>
              <w:t>BM25 + 42 Feature LightGBM</w:t>
            </w:r>
          </w:p>
        </w:tc>
        <w:tc>
          <w:tcPr>
            <w:tcW w:type="dxa" w:w="1584"/>
            <w:shd w:fill="F8FAFC"/>
            <w:tcMar>
              <w:top w:w="100" w:type="dxa"/>
              <w:bottom w:w="100" w:type="dxa"/>
              <w:left w:w="120" w:type="dxa"/>
              <w:right w:w="120" w:type="dxa"/>
            </w:tcMar>
          </w:tcPr>
          <w:p>
            <w:pPr>
              <w:jc w:val="center"/>
            </w:pPr>
            <w:r>
              <w:rPr>
                <w:rFonts w:ascii="Calibri" w:hAnsi="Calibri"/>
                <w:color w:val="1E293B"/>
                <w:sz w:val="19"/>
              </w:rPr>
              <w:t>86.1%</w:t>
            </w:r>
          </w:p>
        </w:tc>
        <w:tc>
          <w:tcPr>
            <w:tcW w:type="dxa" w:w="1584"/>
            <w:shd w:fill="F8FAFC"/>
            <w:tcMar>
              <w:top w:w="100" w:type="dxa"/>
              <w:bottom w:w="100" w:type="dxa"/>
              <w:left w:w="120" w:type="dxa"/>
              <w:right w:w="120" w:type="dxa"/>
            </w:tcMar>
          </w:tcPr>
          <w:p>
            <w:pPr>
              <w:jc w:val="center"/>
            </w:pPr>
            <w:r>
              <w:rPr>
                <w:rFonts w:ascii="Calibri" w:hAnsi="Calibri"/>
                <w:color w:val="1E293B"/>
                <w:sz w:val="19"/>
              </w:rPr>
              <w:t>79.4%</w:t>
            </w:r>
          </w:p>
        </w:tc>
        <w:tc>
          <w:tcPr>
            <w:tcW w:type="dxa" w:w="1584"/>
            <w:shd w:fill="F8FAFC"/>
            <w:tcMar>
              <w:top w:w="100" w:type="dxa"/>
              <w:bottom w:w="100" w:type="dxa"/>
              <w:left w:w="120" w:type="dxa"/>
              <w:right w:w="120" w:type="dxa"/>
            </w:tcMar>
          </w:tcPr>
          <w:p>
            <w:pPr>
              <w:jc w:val="center"/>
            </w:pPr>
            <w:r>
              <w:rPr>
                <w:rFonts w:ascii="Calibri" w:hAnsi="Calibri"/>
                <w:color w:val="1E293B"/>
                <w:sz w:val="19"/>
              </w:rPr>
              <w:t>0.826</w:t>
            </w:r>
          </w:p>
        </w:tc>
        <w:tc>
          <w:tcPr>
            <w:tcW w:type="dxa" w:w="1584"/>
            <w:shd w:fill="F8FAFC"/>
            <w:tcMar>
              <w:top w:w="100" w:type="dxa"/>
              <w:bottom w:w="100" w:type="dxa"/>
              <w:left w:w="120" w:type="dxa"/>
              <w:right w:w="120" w:type="dxa"/>
            </w:tcMar>
          </w:tcPr>
          <w:p>
            <w:pPr>
              <w:jc w:val="center"/>
            </w:pPr>
            <w:r>
              <w:rPr>
                <w:rFonts w:ascii="Calibri" w:hAnsi="Calibri"/>
                <w:color w:val="1E293B"/>
                <w:sz w:val="19"/>
              </w:rPr>
              <w:t>0.847</w:t>
            </w:r>
          </w:p>
        </w:tc>
      </w:tr>
      <w:tr>
        <w:tc>
          <w:tcPr>
            <w:tcW w:type="dxa" w:w="3456"/>
            <w:shd w:fill="FFFFFF"/>
            <w:tcMar>
              <w:top w:w="100" w:type="dxa"/>
              <w:bottom w:w="100" w:type="dxa"/>
              <w:left w:w="120" w:type="dxa"/>
              <w:right w:w="120" w:type="dxa"/>
            </w:tcMar>
          </w:tcPr>
          <w:p>
            <w:pPr>
              <w:jc w:val="left"/>
            </w:pPr>
            <w:r>
              <w:rPr>
                <w:rFonts w:ascii="Calibri" w:hAnsi="Calibri"/>
                <w:color w:val="1E293B"/>
                <w:sz w:val="19"/>
              </w:rPr>
              <w:t>MatchNexa Ensemble (tau=0.740)</w:t>
            </w:r>
          </w:p>
        </w:tc>
        <w:tc>
          <w:tcPr>
            <w:tcW w:type="dxa" w:w="1584"/>
            <w:shd w:fill="FFFFFF"/>
            <w:tcMar>
              <w:top w:w="100" w:type="dxa"/>
              <w:bottom w:w="100" w:type="dxa"/>
              <w:left w:w="120" w:type="dxa"/>
              <w:right w:w="120" w:type="dxa"/>
            </w:tcMar>
          </w:tcPr>
          <w:p>
            <w:pPr>
              <w:jc w:val="center"/>
            </w:pPr>
            <w:r>
              <w:rPr>
                <w:rFonts w:ascii="Calibri" w:hAnsi="Calibri"/>
                <w:color w:val="1E293B"/>
                <w:sz w:val="19"/>
              </w:rPr>
              <w:t>91.2%</w:t>
            </w:r>
          </w:p>
        </w:tc>
        <w:tc>
          <w:tcPr>
            <w:tcW w:type="dxa" w:w="1584"/>
            <w:shd w:fill="FFFFFF"/>
            <w:tcMar>
              <w:top w:w="100" w:type="dxa"/>
              <w:bottom w:w="100" w:type="dxa"/>
              <w:left w:w="120" w:type="dxa"/>
              <w:right w:w="120" w:type="dxa"/>
            </w:tcMar>
          </w:tcPr>
          <w:p>
            <w:pPr>
              <w:jc w:val="center"/>
            </w:pPr>
            <w:r>
              <w:rPr>
                <w:rFonts w:ascii="Calibri" w:hAnsi="Calibri"/>
                <w:color w:val="1E293B"/>
                <w:sz w:val="19"/>
              </w:rPr>
              <w:t>78.6%</w:t>
            </w:r>
          </w:p>
        </w:tc>
        <w:tc>
          <w:tcPr>
            <w:tcW w:type="dxa" w:w="1584"/>
            <w:shd w:fill="FFFFFF"/>
            <w:tcMar>
              <w:top w:w="100" w:type="dxa"/>
              <w:bottom w:w="100" w:type="dxa"/>
              <w:left w:w="120" w:type="dxa"/>
              <w:right w:w="120" w:type="dxa"/>
            </w:tcMar>
          </w:tcPr>
          <w:p>
            <w:pPr>
              <w:jc w:val="center"/>
            </w:pPr>
            <w:r>
              <w:rPr>
                <w:rFonts w:ascii="Calibri" w:hAnsi="Calibri"/>
                <w:color w:val="1E293B"/>
                <w:sz w:val="19"/>
              </w:rPr>
              <w:t>0.844</w:t>
            </w:r>
          </w:p>
        </w:tc>
        <w:tc>
          <w:tcPr>
            <w:tcW w:type="dxa" w:w="1584"/>
            <w:shd w:fill="FFFFFF"/>
            <w:tcMar>
              <w:top w:w="100" w:type="dxa"/>
              <w:bottom w:w="100" w:type="dxa"/>
              <w:left w:w="120" w:type="dxa"/>
              <w:right w:w="120" w:type="dxa"/>
            </w:tcMar>
          </w:tcPr>
          <w:p>
            <w:pPr>
              <w:jc w:val="center"/>
            </w:pPr>
            <w:r>
              <w:rPr>
                <w:rFonts w:ascii="Calibri" w:hAnsi="Calibri"/>
                <w:color w:val="1E293B"/>
                <w:sz w:val="19"/>
              </w:rPr>
              <w:t>0.8842</w:t>
            </w:r>
          </w:p>
        </w:tc>
      </w:tr>
    </w:tbl>
    <w:p>
      <w:pPr>
        <w:pStyle w:val="Heading1"/>
      </w:pPr>
      <w:r>
        <w:t>5. Conclusion</w:t>
      </w:r>
    </w:p>
    <w:p>
      <w:r>
        <w:t>MatchNexa demonstrates that industrial-scale business entity resolution can achieve over 91% precision and 0.8842 Macro F0.5 without external APIs or cloud dependencies. The combination of country-partitioned blocking, hybrid neural-tabular scoring, and calibrated singleton suppression sets a new state-of-the-art benchmark for the Amazon ML Challenge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