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11827"/>
          <w:sz w:val="48"/>
        </w:rPr>
        <w:t>Modern Business Entity Resolution and Record Linkage at Scale: A Systematic Review</w:t>
      </w:r>
    </w:p>
    <w:p>
      <w:pPr>
        <w:spacing w:after="280"/>
      </w:pPr>
      <w:r>
        <w:rPr>
          <w:rFonts w:ascii="Calibri" w:hAnsi="Calibri"/>
          <w:b/>
          <w:color w:val="4F46E5"/>
          <w:sz w:val="23"/>
        </w:rPr>
        <w:t>State-of-the-Art Survey on Algorithmic Architectures, Neural Blocking, and High-Precision Industrial Entity Resolution</w:t>
        <w:br/>
        <w:t>Authored by NeuroNexa Applied AI Research Group • September 2026</w:t>
      </w:r>
    </w:p>
    <w:tbl>
      <w:tblPr>
        <w:tblW w:type="auto" w:w="0"/>
        <w:jc w:val="center"/>
        <w:tblLook w:firstColumn="1" w:firstRow="1" w:lastColumn="0" w:lastRow="0" w:noHBand="0" w:noVBand="1" w:val="04A0"/>
      </w:tblPr>
      <w:tblGrid>
        <w:gridCol w:w="9360"/>
      </w:tblGrid>
      <w:tr>
        <w:tc>
          <w:tcPr>
            <w:tcW w:type="dxa" w:w="9360"/>
            <w:shd w:fill="F5F3FF"/>
            <w:tcMar>
              <w:top w:w="140" w:type="dxa"/>
              <w:bottom w:w="140" w:type="dxa"/>
              <w:left w:w="200" w:type="dxa"/>
              <w:right w:w="200" w:type="dxa"/>
            </w:tcMar>
            <w:tcBorders>
              <w:top w:val="none"/>
              <w:left w:val="single" w:sz="24" w:space="0" w:color="4F46E5"/>
              <w:bottom w:val="none"/>
              <w:right w:val="none"/>
            </w:tcBorders>
          </w:tcPr>
          <w:p>
            <w:pPr>
              <w:spacing w:before="40" w:after="80"/>
            </w:pPr>
            <w:r>
              <w:rPr>
                <w:rFonts w:ascii="Calibri" w:hAnsi="Calibri"/>
                <w:b/>
                <w:color w:val="4F46E5"/>
                <w:sz w:val="20"/>
              </w:rPr>
              <w:t>■ SURVEY ABSTRACT</w:t>
              <w:br/>
            </w:r>
            <w:r>
              <w:rPr>
                <w:rFonts w:ascii="Calibri" w:hAnsi="Calibri"/>
                <w:color w:val="1E293B"/>
                <w:sz w:val="21"/>
              </w:rPr>
              <w:t>Abstract — Entity Resolution (ER) — the challenge of identifying and linking records that refer to the same real-world entity across heterogeneous data stores — is a foundational bottleneck in modern enterprise data management, catalog federation, and fraud detection. This paper surveys over five decades of ER research, tracing the evolution from the classical Fellegi-Sunter probabilistic framework to modern Deep Neural Networks, Transformer cross-encoders, and multi-stage blocking graphs. We review scalability constraints, precision-weighted metric optimization, and examine real-world industrial benchmarks involving multi-million entity ledgers.</w:t>
            </w:r>
          </w:p>
        </w:tc>
      </w:tr>
    </w:tbl>
    <w:p>
      <w:pPr>
        <w:spacing w:after="120"/>
      </w:pPr>
    </w:p>
    <w:p>
      <w:pPr>
        <w:pStyle w:val="Heading1"/>
      </w:pPr>
      <w:r>
        <w:t>1. Introduction and Problem Landscape</w:t>
      </w:r>
    </w:p>
    <w:p>
      <w:r>
        <w:t>Entity Resolution (also termed record linkage, duplicate detection, or reference reconciliation) addresses a core reality: real-world entities rarely possess consistent global unique identifiers across independent database systems. In commercial ecosystems, business entity resolution is uniquely difficult. Unlike person entity matching (which relies heavily on static identifiers like SSN, DoB), business identities evolve through mergers, brand acquisitions, legal restructuring, address relocations, and localization across foreign jurisdictions.</w:t>
      </w:r>
    </w:p>
    <w:p>
      <w:pPr>
        <w:pStyle w:val="Heading1"/>
      </w:pPr>
      <w:r>
        <w:t>2. Chronological Evolution of Entity Resolution Paradigms</w:t>
      </w:r>
    </w:p>
    <w:p>
      <w:pPr>
        <w:spacing w:line="276" w:lineRule="auto"/>
      </w:pPr>
      <w:r>
        <w:t>The literature on entity resolution can be characterized into four primary paradigms:</w:t>
      </w:r>
    </w:p>
    <w:p>
      <w:pPr>
        <w:pStyle w:val="ListBullet"/>
        <w:spacing w:line="276" w:lineRule="auto"/>
      </w:pPr>
      <w:r>
        <w:rPr>
          <w:b/>
        </w:rPr>
        <w:t xml:space="preserve">1. Rule-Based &amp; Deterministic Matching (1960s–1980s): </w:t>
      </w:r>
      <w:r>
        <w:t>Early record linkage relied on expert-crafted deterministic rules and boolean logic over canonical fields. While fast and highly explainable, rule-based systems decay rapidly as data noise increases and fail on unstandardized text.</w:t>
      </w:r>
    </w:p>
    <w:p>
      <w:pPr>
        <w:pStyle w:val="ListBullet"/>
        <w:spacing w:line="276" w:lineRule="auto"/>
      </w:pPr>
      <w:r>
        <w:rPr>
          <w:b/>
        </w:rPr>
        <w:t xml:space="preserve">2. Probabilistic Record Linkage (Fellegi &amp; Sunter, 1969): </w:t>
      </w:r>
      <w:r>
        <w:t>Formalized record linkage under decision theory. Fellegi-Sunter models calculate agreement and disagreement weight vectors across attributes to categorize pairs into matches, non-matches, and holdout review regions.</w:t>
      </w:r>
    </w:p>
    <w:p>
      <w:pPr>
        <w:pStyle w:val="ListBullet"/>
        <w:spacing w:line="276" w:lineRule="auto"/>
      </w:pPr>
      <w:r>
        <w:rPr>
          <w:b/>
        </w:rPr>
        <w:t xml:space="preserve">3. Machine Learning &amp; Feature Fusion (2000s–2015): </w:t>
      </w:r>
      <w:r>
        <w:t>Replaced manual weight calculation with supervised classifiers (SVMs, Random Forests, Gradient Boosted Trees). Extracted composite feature vectors including string distance metrics (Levenshtein, Jaro-Winkler, Monge-Elkan) and token TF-IDF similarities.</w:t>
      </w:r>
    </w:p>
    <w:p>
      <w:pPr>
        <w:pStyle w:val="ListBullet"/>
        <w:spacing w:line="276" w:lineRule="auto"/>
      </w:pPr>
      <w:r>
        <w:rPr>
          <w:b/>
        </w:rPr>
        <w:t xml:space="preserve">4. Deep Learning &amp; Transformer Cross-Encoders (2018–Present): </w:t>
      </w:r>
      <w:r>
        <w:t>Architectures such as DeepER, Ditto, and DeBERTa leverage contextual word representations to capture semantic equivalence (e.g., recognizing that 'International Business Machines' and 'IBM Corp' represent the same enterprise).</w:t>
      </w:r>
    </w:p>
    <w:p>
      <w:pPr>
        <w:pStyle w:val="Heading1"/>
      </w:pPr>
      <w:r>
        <w:t>3. The Scalability Frontier: Blocking &amp; Candidate Filtering</w:t>
      </w:r>
    </w:p>
    <w:p>
      <w:r>
        <w:t>Given datasets S1 and S2 with sizes |S1| and |S2|, exhaustive comparison requires |S1| * |S2| checks. On multi-million record benchmarks, this quadratic complexity necessitates a high-recall blocking stage. The table below compares leading blocking paradigms across complexity, recall bounds, and hardware overhead:</w:t>
      </w:r>
    </w:p>
    <w:tbl>
      <w:tblPr>
        <w:tblW w:type="auto" w:w="0"/>
        <w:jc w:val="center"/>
        <w:tblLook w:firstColumn="1" w:firstRow="1" w:lastColumn="0" w:lastRow="0" w:noHBand="0" w:noVBand="1" w:val="04A0"/>
      </w:tblPr>
      <w:tblGrid>
        <w:gridCol w:w="2340"/>
        <w:gridCol w:w="2340"/>
        <w:gridCol w:w="2340"/>
        <w:gridCol w:w="2340"/>
      </w:tblGrid>
      <w:tr>
        <w:tc>
          <w:tcPr>
            <w:tcW w:type="dxa" w:w="2592"/>
            <w:shd w:fill="1E293B"/>
            <w:tcMar>
              <w:top w:w="140" w:type="dxa"/>
              <w:bottom w:w="140" w:type="dxa"/>
              <w:left w:w="140" w:type="dxa"/>
              <w:right w:w="140" w:type="dxa"/>
            </w:tcMar>
          </w:tcPr>
          <w:p>
            <w:pPr>
              <w:jc w:val="center"/>
            </w:pPr>
            <w:r>
              <w:rPr>
                <w:rFonts w:ascii="Calibri" w:hAnsi="Calibri"/>
                <w:b/>
                <w:color w:val="FFFFFF"/>
                <w:sz w:val="20"/>
              </w:rPr>
              <w:t>Blocking Method</w:t>
            </w:r>
          </w:p>
        </w:tc>
        <w:tc>
          <w:tcPr>
            <w:tcW w:type="dxa" w:w="2016"/>
            <w:shd w:fill="1E293B"/>
            <w:tcMar>
              <w:top w:w="140" w:type="dxa"/>
              <w:bottom w:w="140" w:type="dxa"/>
              <w:left w:w="140" w:type="dxa"/>
              <w:right w:w="140" w:type="dxa"/>
            </w:tcMar>
          </w:tcPr>
          <w:p>
            <w:pPr>
              <w:jc w:val="center"/>
            </w:pPr>
            <w:r>
              <w:rPr>
                <w:rFonts w:ascii="Calibri" w:hAnsi="Calibri"/>
                <w:b/>
                <w:color w:val="FFFFFF"/>
                <w:sz w:val="20"/>
              </w:rPr>
              <w:t>Algorithmic Complexity</w:t>
            </w:r>
          </w:p>
        </w:tc>
        <w:tc>
          <w:tcPr>
            <w:tcW w:type="dxa" w:w="2592"/>
            <w:shd w:fill="1E293B"/>
            <w:tcMar>
              <w:top w:w="140" w:type="dxa"/>
              <w:bottom w:w="140" w:type="dxa"/>
              <w:left w:w="140" w:type="dxa"/>
              <w:right w:w="140" w:type="dxa"/>
            </w:tcMar>
          </w:tcPr>
          <w:p>
            <w:pPr>
              <w:jc w:val="center"/>
            </w:pPr>
            <w:r>
              <w:rPr>
                <w:rFonts w:ascii="Calibri" w:hAnsi="Calibri"/>
                <w:b/>
                <w:color w:val="FFFFFF"/>
                <w:sz w:val="20"/>
              </w:rPr>
              <w:t>Recall Efficiency</w:t>
            </w:r>
          </w:p>
        </w:tc>
        <w:tc>
          <w:tcPr>
            <w:tcW w:type="dxa" w:w="2592"/>
            <w:shd w:fill="1E293B"/>
            <w:tcMar>
              <w:top w:w="140" w:type="dxa"/>
              <w:bottom w:w="140" w:type="dxa"/>
              <w:left w:w="140" w:type="dxa"/>
              <w:right w:w="140" w:type="dxa"/>
            </w:tcMar>
          </w:tcPr>
          <w:p>
            <w:pPr>
              <w:jc w:val="center"/>
            </w:pPr>
            <w:r>
              <w:rPr>
                <w:rFonts w:ascii="Calibri" w:hAnsi="Calibri"/>
                <w:b/>
                <w:color w:val="FFFFFF"/>
                <w:sz w:val="20"/>
              </w:rPr>
              <w:t>Primary Vulnerability</w:t>
            </w:r>
          </w:p>
        </w:tc>
      </w:tr>
      <w:tr>
        <w:tc>
          <w:tcPr>
            <w:tcW w:type="dxa" w:w="2592"/>
            <w:shd w:fill="F8FAFC"/>
            <w:tcMar>
              <w:top w:w="100" w:type="dxa"/>
              <w:bottom w:w="100" w:type="dxa"/>
              <w:left w:w="120" w:type="dxa"/>
              <w:right w:w="120" w:type="dxa"/>
            </w:tcMar>
          </w:tcPr>
          <w:p>
            <w:pPr>
              <w:jc w:val="left"/>
            </w:pPr>
            <w:r>
              <w:rPr>
                <w:rFonts w:ascii="Calibri" w:hAnsi="Calibri"/>
                <w:color w:val="1E293B"/>
                <w:sz w:val="19"/>
              </w:rPr>
              <w:t>Standard Attribute Blocking</w:t>
            </w:r>
          </w:p>
        </w:tc>
        <w:tc>
          <w:tcPr>
            <w:tcW w:type="dxa" w:w="2016"/>
            <w:shd w:fill="F8FAFC"/>
            <w:tcMar>
              <w:top w:w="100" w:type="dxa"/>
              <w:bottom w:w="100" w:type="dxa"/>
              <w:left w:w="120" w:type="dxa"/>
              <w:right w:w="120" w:type="dxa"/>
            </w:tcMar>
          </w:tcPr>
          <w:p>
            <w:pPr>
              <w:jc w:val="center"/>
            </w:pPr>
            <w:r>
              <w:rPr>
                <w:rFonts w:ascii="Calibri" w:hAnsi="Calibri"/>
                <w:color w:val="1E293B"/>
                <w:sz w:val="19"/>
              </w:rPr>
              <w:t>O(N * B_size)</w:t>
            </w:r>
          </w:p>
        </w:tc>
        <w:tc>
          <w:tcPr>
            <w:tcW w:type="dxa" w:w="2592"/>
            <w:shd w:fill="F8FAFC"/>
            <w:tcMar>
              <w:top w:w="100" w:type="dxa"/>
              <w:bottom w:w="100" w:type="dxa"/>
              <w:left w:w="120" w:type="dxa"/>
              <w:right w:w="120" w:type="dxa"/>
            </w:tcMar>
          </w:tcPr>
          <w:p>
            <w:pPr>
              <w:jc w:val="center"/>
            </w:pPr>
            <w:r>
              <w:rPr>
                <w:rFonts w:ascii="Calibri" w:hAnsi="Calibri"/>
                <w:color w:val="1E293B"/>
                <w:sz w:val="19"/>
              </w:rPr>
              <w:t>Low (60-75%)</w:t>
            </w:r>
          </w:p>
        </w:tc>
        <w:tc>
          <w:tcPr>
            <w:tcW w:type="dxa" w:w="2592"/>
            <w:shd w:fill="F8FAFC"/>
            <w:tcMar>
              <w:top w:w="100" w:type="dxa"/>
              <w:bottom w:w="100" w:type="dxa"/>
              <w:left w:w="120" w:type="dxa"/>
              <w:right w:w="120" w:type="dxa"/>
            </w:tcMar>
          </w:tcPr>
          <w:p>
            <w:pPr>
              <w:jc w:val="center"/>
            </w:pPr>
            <w:r>
              <w:rPr>
                <w:rFonts w:ascii="Calibri" w:hAnsi="Calibri"/>
                <w:color w:val="1E293B"/>
                <w:sz w:val="19"/>
              </w:rPr>
              <w:t>Fragile to typos in blocking key</w:t>
            </w:r>
          </w:p>
        </w:tc>
      </w:tr>
      <w:tr>
        <w:tc>
          <w:tcPr>
            <w:tcW w:type="dxa" w:w="2592"/>
            <w:shd w:fill="FFFFFF"/>
            <w:tcMar>
              <w:top w:w="100" w:type="dxa"/>
              <w:bottom w:w="100" w:type="dxa"/>
              <w:left w:w="120" w:type="dxa"/>
              <w:right w:w="120" w:type="dxa"/>
            </w:tcMar>
          </w:tcPr>
          <w:p>
            <w:pPr>
              <w:jc w:val="left"/>
            </w:pPr>
            <w:r>
              <w:rPr>
                <w:rFonts w:ascii="Calibri" w:hAnsi="Calibri"/>
                <w:color w:val="1E293B"/>
                <w:sz w:val="19"/>
              </w:rPr>
              <w:t>Sorted Neighborhood Method (SNM)</w:t>
            </w:r>
          </w:p>
        </w:tc>
        <w:tc>
          <w:tcPr>
            <w:tcW w:type="dxa" w:w="2016"/>
            <w:shd w:fill="FFFFFF"/>
            <w:tcMar>
              <w:top w:w="100" w:type="dxa"/>
              <w:bottom w:w="100" w:type="dxa"/>
              <w:left w:w="120" w:type="dxa"/>
              <w:right w:w="120" w:type="dxa"/>
            </w:tcMar>
          </w:tcPr>
          <w:p>
            <w:pPr>
              <w:jc w:val="center"/>
            </w:pPr>
            <w:r>
              <w:rPr>
                <w:rFonts w:ascii="Calibri" w:hAnsi="Calibri"/>
                <w:color w:val="1E293B"/>
                <w:sz w:val="19"/>
              </w:rPr>
              <w:t>O(N log N + N * w)</w:t>
            </w:r>
          </w:p>
        </w:tc>
        <w:tc>
          <w:tcPr>
            <w:tcW w:type="dxa" w:w="2592"/>
            <w:shd w:fill="FFFFFF"/>
            <w:tcMar>
              <w:top w:w="100" w:type="dxa"/>
              <w:bottom w:w="100" w:type="dxa"/>
              <w:left w:w="120" w:type="dxa"/>
              <w:right w:w="120" w:type="dxa"/>
            </w:tcMar>
          </w:tcPr>
          <w:p>
            <w:pPr>
              <w:jc w:val="center"/>
            </w:pPr>
            <w:r>
              <w:rPr>
                <w:rFonts w:ascii="Calibri" w:hAnsi="Calibri"/>
                <w:color w:val="1E293B"/>
                <w:sz w:val="19"/>
              </w:rPr>
              <w:t>Moderate (75-85%)</w:t>
            </w:r>
          </w:p>
        </w:tc>
        <w:tc>
          <w:tcPr>
            <w:tcW w:type="dxa" w:w="2592"/>
            <w:shd w:fill="FFFFFF"/>
            <w:tcMar>
              <w:top w:w="100" w:type="dxa"/>
              <w:bottom w:w="100" w:type="dxa"/>
              <w:left w:w="120" w:type="dxa"/>
              <w:right w:w="120" w:type="dxa"/>
            </w:tcMar>
          </w:tcPr>
          <w:p>
            <w:pPr>
              <w:jc w:val="center"/>
            </w:pPr>
            <w:r>
              <w:rPr>
                <w:rFonts w:ascii="Calibri" w:hAnsi="Calibri"/>
                <w:color w:val="1E293B"/>
                <w:sz w:val="19"/>
              </w:rPr>
              <w:t>Misses matches outside window w</w:t>
            </w:r>
          </w:p>
        </w:tc>
      </w:tr>
      <w:tr>
        <w:tc>
          <w:tcPr>
            <w:tcW w:type="dxa" w:w="2592"/>
            <w:shd w:fill="F8FAFC"/>
            <w:tcMar>
              <w:top w:w="100" w:type="dxa"/>
              <w:bottom w:w="100" w:type="dxa"/>
              <w:left w:w="120" w:type="dxa"/>
              <w:right w:w="120" w:type="dxa"/>
            </w:tcMar>
          </w:tcPr>
          <w:p>
            <w:pPr>
              <w:jc w:val="left"/>
            </w:pPr>
            <w:r>
              <w:rPr>
                <w:rFonts w:ascii="Calibri" w:hAnsi="Calibri"/>
                <w:color w:val="1E293B"/>
                <w:sz w:val="19"/>
              </w:rPr>
              <w:t>Inverted Token BM25 Index</w:t>
            </w:r>
          </w:p>
        </w:tc>
        <w:tc>
          <w:tcPr>
            <w:tcW w:type="dxa" w:w="2016"/>
            <w:shd w:fill="F8FAFC"/>
            <w:tcMar>
              <w:top w:w="100" w:type="dxa"/>
              <w:bottom w:w="100" w:type="dxa"/>
              <w:left w:w="120" w:type="dxa"/>
              <w:right w:w="120" w:type="dxa"/>
            </w:tcMar>
          </w:tcPr>
          <w:p>
            <w:pPr>
              <w:jc w:val="center"/>
            </w:pPr>
            <w:r>
              <w:rPr>
                <w:rFonts w:ascii="Calibri" w:hAnsi="Calibri"/>
                <w:color w:val="1E293B"/>
                <w:sz w:val="19"/>
              </w:rPr>
              <w:t>O(N * k)</w:t>
            </w:r>
          </w:p>
        </w:tc>
        <w:tc>
          <w:tcPr>
            <w:tcW w:type="dxa" w:w="2592"/>
            <w:shd w:fill="F8FAFC"/>
            <w:tcMar>
              <w:top w:w="100" w:type="dxa"/>
              <w:bottom w:w="100" w:type="dxa"/>
              <w:left w:w="120" w:type="dxa"/>
              <w:right w:w="120" w:type="dxa"/>
            </w:tcMar>
          </w:tcPr>
          <w:p>
            <w:pPr>
              <w:jc w:val="center"/>
            </w:pPr>
            <w:r>
              <w:rPr>
                <w:rFonts w:ascii="Calibri" w:hAnsi="Calibri"/>
                <w:color w:val="1E293B"/>
                <w:sz w:val="19"/>
              </w:rPr>
              <w:t>High (90-96%)</w:t>
            </w:r>
          </w:p>
        </w:tc>
        <w:tc>
          <w:tcPr>
            <w:tcW w:type="dxa" w:w="2592"/>
            <w:shd w:fill="F8FAFC"/>
            <w:tcMar>
              <w:top w:w="100" w:type="dxa"/>
              <w:bottom w:w="100" w:type="dxa"/>
              <w:left w:w="120" w:type="dxa"/>
              <w:right w:w="120" w:type="dxa"/>
            </w:tcMar>
          </w:tcPr>
          <w:p>
            <w:pPr>
              <w:jc w:val="center"/>
            </w:pPr>
            <w:r>
              <w:rPr>
                <w:rFonts w:ascii="Calibri" w:hAnsi="Calibri"/>
                <w:color w:val="1E293B"/>
                <w:sz w:val="19"/>
              </w:rPr>
              <w:t>Tokenization sensitivity on acronyms</w:t>
            </w:r>
          </w:p>
        </w:tc>
      </w:tr>
      <w:tr>
        <w:tc>
          <w:tcPr>
            <w:tcW w:type="dxa" w:w="2592"/>
            <w:shd w:fill="FFFFFF"/>
            <w:tcMar>
              <w:top w:w="100" w:type="dxa"/>
              <w:bottom w:w="100" w:type="dxa"/>
              <w:left w:w="120" w:type="dxa"/>
              <w:right w:w="120" w:type="dxa"/>
            </w:tcMar>
          </w:tcPr>
          <w:p>
            <w:pPr>
              <w:jc w:val="left"/>
            </w:pPr>
            <w:r>
              <w:rPr>
                <w:rFonts w:ascii="Calibri" w:hAnsi="Calibri"/>
                <w:color w:val="1E293B"/>
                <w:sz w:val="19"/>
              </w:rPr>
              <w:t>Neural Dense Vector ANN (HNSW)</w:t>
            </w:r>
          </w:p>
        </w:tc>
        <w:tc>
          <w:tcPr>
            <w:tcW w:type="dxa" w:w="2016"/>
            <w:shd w:fill="FFFFFF"/>
            <w:tcMar>
              <w:top w:w="100" w:type="dxa"/>
              <w:bottom w:w="100" w:type="dxa"/>
              <w:left w:w="120" w:type="dxa"/>
              <w:right w:w="120" w:type="dxa"/>
            </w:tcMar>
          </w:tcPr>
          <w:p>
            <w:pPr>
              <w:jc w:val="center"/>
            </w:pPr>
            <w:r>
              <w:rPr>
                <w:rFonts w:ascii="Calibri" w:hAnsi="Calibri"/>
                <w:color w:val="1E293B"/>
                <w:sz w:val="19"/>
              </w:rPr>
              <w:t>O(N log N)</w:t>
            </w:r>
          </w:p>
        </w:tc>
        <w:tc>
          <w:tcPr>
            <w:tcW w:type="dxa" w:w="2592"/>
            <w:shd w:fill="FFFFFF"/>
            <w:tcMar>
              <w:top w:w="100" w:type="dxa"/>
              <w:bottom w:w="100" w:type="dxa"/>
              <w:left w:w="120" w:type="dxa"/>
              <w:right w:w="120" w:type="dxa"/>
            </w:tcMar>
          </w:tcPr>
          <w:p>
            <w:pPr>
              <w:jc w:val="center"/>
            </w:pPr>
            <w:r>
              <w:rPr>
                <w:rFonts w:ascii="Calibri" w:hAnsi="Calibri"/>
                <w:color w:val="1E293B"/>
                <w:sz w:val="19"/>
              </w:rPr>
              <w:t>Very High (95-98%)</w:t>
            </w:r>
          </w:p>
        </w:tc>
        <w:tc>
          <w:tcPr>
            <w:tcW w:type="dxa" w:w="2592"/>
            <w:shd w:fill="FFFFFF"/>
            <w:tcMar>
              <w:top w:w="100" w:type="dxa"/>
              <w:bottom w:w="100" w:type="dxa"/>
              <w:left w:w="120" w:type="dxa"/>
              <w:right w:w="120" w:type="dxa"/>
            </w:tcMar>
          </w:tcPr>
          <w:p>
            <w:pPr>
              <w:jc w:val="center"/>
            </w:pPr>
            <w:r>
              <w:rPr>
                <w:rFonts w:ascii="Calibri" w:hAnsi="Calibri"/>
                <w:color w:val="1E293B"/>
                <w:sz w:val="19"/>
              </w:rPr>
              <w:t>Heavy embedding computation overhead</w:t>
            </w:r>
          </w:p>
        </w:tc>
      </w:tr>
    </w:tbl>
    <w:p>
      <w:pPr>
        <w:pStyle w:val="Heading1"/>
      </w:pPr>
      <w:r>
        <w:t>4. The Precision Imperative: Macro F0.5 vs Traditional F1</w:t>
      </w:r>
    </w:p>
    <w:p>
      <w:r>
        <w:t>In academic literature, Entity Resolution is predominantly evaluated using the harmonic mean (F1-score). However, in high-stakes enterprise applications — such as vendor deduplication, compliance auditing, and tax reporting — merging two distinct entities (a False Positive) causes far greater catastrophic damage than failing to merge two records (a False Negative). Consequently, recent industrial challenges (including Amazon ML Challenge 2026) mandate Macro F0.5, where precision is weighted twice as heavily as recall.</w:t>
      </w:r>
    </w:p>
    <w:p>
      <w:pPr>
        <w:pStyle w:val="Heading1"/>
      </w:pPr>
      <w:r>
        <w:t>5. Comparative Synthesis of Industrial ER Systems</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1E293B"/>
            <w:tcMar>
              <w:top w:w="140" w:type="dxa"/>
              <w:bottom w:w="140" w:type="dxa"/>
              <w:left w:w="140" w:type="dxa"/>
              <w:right w:w="140" w:type="dxa"/>
            </w:tcMar>
          </w:tcPr>
          <w:p>
            <w:pPr>
              <w:jc w:val="center"/>
            </w:pPr>
            <w:r>
              <w:rPr>
                <w:rFonts w:ascii="Calibri" w:hAnsi="Calibri"/>
                <w:b/>
                <w:color w:val="FFFFFF"/>
                <w:sz w:val="20"/>
              </w:rPr>
              <w:t>System / Architecture</w:t>
            </w:r>
          </w:p>
        </w:tc>
        <w:tc>
          <w:tcPr>
            <w:tcW w:type="dxa" w:w="1872"/>
            <w:shd w:fill="1E293B"/>
            <w:tcMar>
              <w:top w:w="140" w:type="dxa"/>
              <w:bottom w:w="140" w:type="dxa"/>
              <w:left w:w="140" w:type="dxa"/>
              <w:right w:w="140" w:type="dxa"/>
            </w:tcMar>
          </w:tcPr>
          <w:p>
            <w:pPr>
              <w:jc w:val="center"/>
            </w:pPr>
            <w:r>
              <w:rPr>
                <w:rFonts w:ascii="Calibri" w:hAnsi="Calibri"/>
                <w:b/>
                <w:color w:val="FFFFFF"/>
                <w:sz w:val="20"/>
              </w:rPr>
              <w:t>Blocking Technique</w:t>
            </w:r>
          </w:p>
        </w:tc>
        <w:tc>
          <w:tcPr>
            <w:tcW w:type="dxa" w:w="1728"/>
            <w:shd w:fill="1E293B"/>
            <w:tcMar>
              <w:top w:w="140" w:type="dxa"/>
              <w:bottom w:w="140" w:type="dxa"/>
              <w:left w:w="140" w:type="dxa"/>
              <w:right w:w="140" w:type="dxa"/>
            </w:tcMar>
          </w:tcPr>
          <w:p>
            <w:pPr>
              <w:jc w:val="center"/>
            </w:pPr>
            <w:r>
              <w:rPr>
                <w:rFonts w:ascii="Calibri" w:hAnsi="Calibri"/>
                <w:b/>
                <w:color w:val="FFFFFF"/>
                <w:sz w:val="20"/>
              </w:rPr>
              <w:t>Pairwise Model</w:t>
            </w:r>
          </w:p>
        </w:tc>
        <w:tc>
          <w:tcPr>
            <w:tcW w:type="dxa" w:w="1872"/>
            <w:shd w:fill="1E293B"/>
            <w:tcMar>
              <w:top w:w="140" w:type="dxa"/>
              <w:bottom w:w="140" w:type="dxa"/>
              <w:left w:w="140" w:type="dxa"/>
              <w:right w:w="140" w:type="dxa"/>
            </w:tcMar>
          </w:tcPr>
          <w:p>
            <w:pPr>
              <w:jc w:val="center"/>
            </w:pPr>
            <w:r>
              <w:rPr>
                <w:rFonts w:ascii="Calibri" w:hAnsi="Calibri"/>
                <w:b/>
                <w:color w:val="FFFFFF"/>
                <w:sz w:val="20"/>
              </w:rPr>
              <w:t>Scale Capability</w:t>
            </w:r>
          </w:p>
        </w:tc>
        <w:tc>
          <w:tcPr>
            <w:tcW w:type="dxa" w:w="2160"/>
            <w:shd w:fill="1E293B"/>
            <w:tcMar>
              <w:top w:w="140" w:type="dxa"/>
              <w:bottom w:w="140" w:type="dxa"/>
              <w:left w:w="140" w:type="dxa"/>
              <w:right w:w="140" w:type="dxa"/>
            </w:tcMar>
          </w:tcPr>
          <w:p>
            <w:pPr>
              <w:jc w:val="center"/>
            </w:pPr>
            <w:r>
              <w:rPr>
                <w:rFonts w:ascii="Calibri" w:hAnsi="Calibri"/>
                <w:b/>
                <w:color w:val="FFFFFF"/>
                <w:sz w:val="20"/>
              </w:rPr>
              <w:t>Zero-Lookup Offline</w:t>
            </w:r>
          </w:p>
        </w:tc>
      </w:tr>
      <w:tr>
        <w:tc>
          <w:tcPr>
            <w:tcW w:type="dxa" w:w="2160"/>
            <w:shd w:fill="F8FAFC"/>
            <w:tcMar>
              <w:top w:w="100" w:type="dxa"/>
              <w:bottom w:w="100" w:type="dxa"/>
              <w:left w:w="120" w:type="dxa"/>
              <w:right w:w="120" w:type="dxa"/>
            </w:tcMar>
          </w:tcPr>
          <w:p>
            <w:pPr>
              <w:jc w:val="left"/>
            </w:pPr>
            <w:r>
              <w:rPr>
                <w:rFonts w:ascii="Calibri" w:hAnsi="Calibri"/>
                <w:color w:val="1E293B"/>
                <w:sz w:val="19"/>
              </w:rPr>
              <w:t>Zingg (Open Source)</w:t>
            </w:r>
          </w:p>
        </w:tc>
        <w:tc>
          <w:tcPr>
            <w:tcW w:type="dxa" w:w="1872"/>
            <w:shd w:fill="F8FAFC"/>
            <w:tcMar>
              <w:top w:w="100" w:type="dxa"/>
              <w:bottom w:w="100" w:type="dxa"/>
              <w:left w:w="120" w:type="dxa"/>
              <w:right w:w="120" w:type="dxa"/>
            </w:tcMar>
          </w:tcPr>
          <w:p>
            <w:pPr>
              <w:jc w:val="center"/>
            </w:pPr>
            <w:r>
              <w:rPr>
                <w:rFonts w:ascii="Calibri" w:hAnsi="Calibri"/>
                <w:color w:val="1E293B"/>
                <w:sz w:val="19"/>
              </w:rPr>
              <w:t>Snort Hash / LSH</w:t>
            </w:r>
          </w:p>
        </w:tc>
        <w:tc>
          <w:tcPr>
            <w:tcW w:type="dxa" w:w="1728"/>
            <w:shd w:fill="F8FAFC"/>
            <w:tcMar>
              <w:top w:w="100" w:type="dxa"/>
              <w:bottom w:w="100" w:type="dxa"/>
              <w:left w:w="120" w:type="dxa"/>
              <w:right w:w="120" w:type="dxa"/>
            </w:tcMar>
          </w:tcPr>
          <w:p>
            <w:pPr>
              <w:jc w:val="center"/>
            </w:pPr>
            <w:r>
              <w:rPr>
                <w:rFonts w:ascii="Calibri" w:hAnsi="Calibri"/>
                <w:color w:val="1E293B"/>
                <w:sz w:val="19"/>
              </w:rPr>
              <w:t>Random Forest</w:t>
            </w:r>
          </w:p>
        </w:tc>
        <w:tc>
          <w:tcPr>
            <w:tcW w:type="dxa" w:w="1872"/>
            <w:shd w:fill="F8FAFC"/>
            <w:tcMar>
              <w:top w:w="100" w:type="dxa"/>
              <w:bottom w:w="100" w:type="dxa"/>
              <w:left w:w="120" w:type="dxa"/>
              <w:right w:w="120" w:type="dxa"/>
            </w:tcMar>
          </w:tcPr>
          <w:p>
            <w:pPr>
              <w:jc w:val="center"/>
            </w:pPr>
            <w:r>
              <w:rPr>
                <w:rFonts w:ascii="Calibri" w:hAnsi="Calibri"/>
                <w:color w:val="1E293B"/>
                <w:sz w:val="19"/>
              </w:rPr>
              <w:t>Millions (Spark)</w:t>
            </w:r>
          </w:p>
        </w:tc>
        <w:tc>
          <w:tcPr>
            <w:tcW w:type="dxa" w:w="2160"/>
            <w:shd w:fill="F8FAFC"/>
            <w:tcMar>
              <w:top w:w="100" w:type="dxa"/>
              <w:bottom w:w="100" w:type="dxa"/>
              <w:left w:w="120" w:type="dxa"/>
              <w:right w:w="120" w:type="dxa"/>
            </w:tcMar>
          </w:tcPr>
          <w:p>
            <w:pPr>
              <w:jc w:val="center"/>
            </w:pPr>
            <w:r>
              <w:rPr>
                <w:rFonts w:ascii="Calibri" w:hAnsi="Calibri"/>
                <w:color w:val="1E293B"/>
                <w:sz w:val="19"/>
              </w:rPr>
              <w:t>Yes</w:t>
            </w:r>
          </w:p>
        </w:tc>
      </w:tr>
      <w:tr>
        <w:tc>
          <w:tcPr>
            <w:tcW w:type="dxa" w:w="2160"/>
            <w:shd w:fill="FFFFFF"/>
            <w:tcMar>
              <w:top w:w="100" w:type="dxa"/>
              <w:bottom w:w="100" w:type="dxa"/>
              <w:left w:w="120" w:type="dxa"/>
              <w:right w:w="120" w:type="dxa"/>
            </w:tcMar>
          </w:tcPr>
          <w:p>
            <w:pPr>
              <w:jc w:val="left"/>
            </w:pPr>
            <w:r>
              <w:rPr>
                <w:rFonts w:ascii="Calibri" w:hAnsi="Calibri"/>
                <w:color w:val="1E293B"/>
                <w:sz w:val="19"/>
              </w:rPr>
              <w:t>Ditto (Li et al., 2020)</w:t>
            </w:r>
          </w:p>
        </w:tc>
        <w:tc>
          <w:tcPr>
            <w:tcW w:type="dxa" w:w="1872"/>
            <w:shd w:fill="FFFFFF"/>
            <w:tcMar>
              <w:top w:w="100" w:type="dxa"/>
              <w:bottom w:w="100" w:type="dxa"/>
              <w:left w:w="120" w:type="dxa"/>
              <w:right w:w="120" w:type="dxa"/>
            </w:tcMar>
          </w:tcPr>
          <w:p>
            <w:pPr>
              <w:jc w:val="center"/>
            </w:pPr>
            <w:r>
              <w:rPr>
                <w:rFonts w:ascii="Calibri" w:hAnsi="Calibri"/>
                <w:color w:val="1E293B"/>
                <w:sz w:val="19"/>
              </w:rPr>
              <w:t>External Blocking</w:t>
            </w:r>
          </w:p>
        </w:tc>
        <w:tc>
          <w:tcPr>
            <w:tcW w:type="dxa" w:w="1728"/>
            <w:shd w:fill="FFFFFF"/>
            <w:tcMar>
              <w:top w:w="100" w:type="dxa"/>
              <w:bottom w:w="100" w:type="dxa"/>
              <w:left w:w="120" w:type="dxa"/>
              <w:right w:w="120" w:type="dxa"/>
            </w:tcMar>
          </w:tcPr>
          <w:p>
            <w:pPr>
              <w:jc w:val="center"/>
            </w:pPr>
            <w:r>
              <w:rPr>
                <w:rFonts w:ascii="Calibri" w:hAnsi="Calibri"/>
                <w:color w:val="1E293B"/>
                <w:sz w:val="19"/>
              </w:rPr>
              <w:t>RoBERTa Cross-Encoder</w:t>
            </w:r>
          </w:p>
        </w:tc>
        <w:tc>
          <w:tcPr>
            <w:tcW w:type="dxa" w:w="1872"/>
            <w:shd w:fill="FFFFFF"/>
            <w:tcMar>
              <w:top w:w="100" w:type="dxa"/>
              <w:bottom w:w="100" w:type="dxa"/>
              <w:left w:w="120" w:type="dxa"/>
              <w:right w:w="120" w:type="dxa"/>
            </w:tcMar>
          </w:tcPr>
          <w:p>
            <w:pPr>
              <w:jc w:val="center"/>
            </w:pPr>
            <w:r>
              <w:rPr>
                <w:rFonts w:ascii="Calibri" w:hAnsi="Calibri"/>
                <w:color w:val="1E293B"/>
                <w:sz w:val="19"/>
              </w:rPr>
              <w:t>Hundreds of Thousands</w:t>
            </w:r>
          </w:p>
        </w:tc>
        <w:tc>
          <w:tcPr>
            <w:tcW w:type="dxa" w:w="2160"/>
            <w:shd w:fill="FFFFFF"/>
            <w:tcMar>
              <w:top w:w="100" w:type="dxa"/>
              <w:bottom w:w="100" w:type="dxa"/>
              <w:left w:w="120" w:type="dxa"/>
              <w:right w:w="120" w:type="dxa"/>
            </w:tcMar>
          </w:tcPr>
          <w:p>
            <w:pPr>
              <w:jc w:val="center"/>
            </w:pPr>
            <w:r>
              <w:rPr>
                <w:rFonts w:ascii="Calibri" w:hAnsi="Calibri"/>
                <w:color w:val="1E293B"/>
                <w:sz w:val="19"/>
              </w:rPr>
              <w:t>Yes</w:t>
            </w:r>
          </w:p>
        </w:tc>
      </w:tr>
      <w:tr>
        <w:tc>
          <w:tcPr>
            <w:tcW w:type="dxa" w:w="2160"/>
            <w:shd w:fill="F8FAFC"/>
            <w:tcMar>
              <w:top w:w="100" w:type="dxa"/>
              <w:bottom w:w="100" w:type="dxa"/>
              <w:left w:w="120" w:type="dxa"/>
              <w:right w:w="120" w:type="dxa"/>
            </w:tcMar>
          </w:tcPr>
          <w:p>
            <w:pPr>
              <w:jc w:val="left"/>
            </w:pPr>
            <w:r>
              <w:rPr>
                <w:rFonts w:ascii="Calibri" w:hAnsi="Calibri"/>
                <w:color w:val="1E293B"/>
                <w:sz w:val="19"/>
              </w:rPr>
              <w:t>Splink (UK MoJ)</w:t>
            </w:r>
          </w:p>
        </w:tc>
        <w:tc>
          <w:tcPr>
            <w:tcW w:type="dxa" w:w="1872"/>
            <w:shd w:fill="F8FAFC"/>
            <w:tcMar>
              <w:top w:w="100" w:type="dxa"/>
              <w:bottom w:w="100" w:type="dxa"/>
              <w:left w:w="120" w:type="dxa"/>
              <w:right w:w="120" w:type="dxa"/>
            </w:tcMar>
          </w:tcPr>
          <w:p>
            <w:pPr>
              <w:jc w:val="center"/>
            </w:pPr>
            <w:r>
              <w:rPr>
                <w:rFonts w:ascii="Calibri" w:hAnsi="Calibri"/>
                <w:color w:val="1E293B"/>
                <w:sz w:val="19"/>
              </w:rPr>
              <w:t>Fellegi-Sunter EM</w:t>
            </w:r>
          </w:p>
        </w:tc>
        <w:tc>
          <w:tcPr>
            <w:tcW w:type="dxa" w:w="1728"/>
            <w:shd w:fill="F8FAFC"/>
            <w:tcMar>
              <w:top w:w="100" w:type="dxa"/>
              <w:bottom w:w="100" w:type="dxa"/>
              <w:left w:w="120" w:type="dxa"/>
              <w:right w:w="120" w:type="dxa"/>
            </w:tcMar>
          </w:tcPr>
          <w:p>
            <w:pPr>
              <w:jc w:val="center"/>
            </w:pPr>
            <w:r>
              <w:rPr>
                <w:rFonts w:ascii="Calibri" w:hAnsi="Calibri"/>
                <w:color w:val="1E293B"/>
                <w:sz w:val="19"/>
              </w:rPr>
              <w:t>Probabilistic Weights</w:t>
            </w:r>
          </w:p>
        </w:tc>
        <w:tc>
          <w:tcPr>
            <w:tcW w:type="dxa" w:w="1872"/>
            <w:shd w:fill="F8FAFC"/>
            <w:tcMar>
              <w:top w:w="100" w:type="dxa"/>
              <w:bottom w:w="100" w:type="dxa"/>
              <w:left w:w="120" w:type="dxa"/>
              <w:right w:w="120" w:type="dxa"/>
            </w:tcMar>
          </w:tcPr>
          <w:p>
            <w:pPr>
              <w:jc w:val="center"/>
            </w:pPr>
            <w:r>
              <w:rPr>
                <w:rFonts w:ascii="Calibri" w:hAnsi="Calibri"/>
                <w:color w:val="1E293B"/>
                <w:sz w:val="19"/>
              </w:rPr>
              <w:t>Tens of Millions</w:t>
            </w:r>
          </w:p>
        </w:tc>
        <w:tc>
          <w:tcPr>
            <w:tcW w:type="dxa" w:w="2160"/>
            <w:shd w:fill="F8FAFC"/>
            <w:tcMar>
              <w:top w:w="100" w:type="dxa"/>
              <w:bottom w:w="100" w:type="dxa"/>
              <w:left w:w="120" w:type="dxa"/>
              <w:right w:w="120" w:type="dxa"/>
            </w:tcMar>
          </w:tcPr>
          <w:p>
            <w:pPr>
              <w:jc w:val="center"/>
            </w:pPr>
            <w:r>
              <w:rPr>
                <w:rFonts w:ascii="Calibri" w:hAnsi="Calibri"/>
                <w:color w:val="1E293B"/>
                <w:sz w:val="19"/>
              </w:rPr>
              <w:t>Yes</w:t>
            </w:r>
          </w:p>
        </w:tc>
      </w:tr>
      <w:tr>
        <w:tc>
          <w:tcPr>
            <w:tcW w:type="dxa" w:w="2160"/>
            <w:shd w:fill="FFFFFF"/>
            <w:tcMar>
              <w:top w:w="100" w:type="dxa"/>
              <w:bottom w:w="100" w:type="dxa"/>
              <w:left w:w="120" w:type="dxa"/>
              <w:right w:w="120" w:type="dxa"/>
            </w:tcMar>
          </w:tcPr>
          <w:p>
            <w:pPr>
              <w:jc w:val="left"/>
            </w:pPr>
            <w:r>
              <w:rPr>
                <w:rFonts w:ascii="Calibri" w:hAnsi="Calibri"/>
                <w:color w:val="1E293B"/>
                <w:sz w:val="19"/>
              </w:rPr>
              <w:t>Amazon ML Challenge Baseline</w:t>
            </w:r>
          </w:p>
        </w:tc>
        <w:tc>
          <w:tcPr>
            <w:tcW w:type="dxa" w:w="1872"/>
            <w:shd w:fill="FFFFFF"/>
            <w:tcMar>
              <w:top w:w="100" w:type="dxa"/>
              <w:bottom w:w="100" w:type="dxa"/>
              <w:left w:w="120" w:type="dxa"/>
              <w:right w:w="120" w:type="dxa"/>
            </w:tcMar>
          </w:tcPr>
          <w:p>
            <w:pPr>
              <w:jc w:val="center"/>
            </w:pPr>
            <w:r>
              <w:rPr>
                <w:rFonts w:ascii="Calibri" w:hAnsi="Calibri"/>
                <w:color w:val="1E293B"/>
                <w:sz w:val="19"/>
              </w:rPr>
              <w:t>TF-IDF 3-grams</w:t>
            </w:r>
          </w:p>
        </w:tc>
        <w:tc>
          <w:tcPr>
            <w:tcW w:type="dxa" w:w="1728"/>
            <w:shd w:fill="FFFFFF"/>
            <w:tcMar>
              <w:top w:w="100" w:type="dxa"/>
              <w:bottom w:w="100" w:type="dxa"/>
              <w:left w:w="120" w:type="dxa"/>
              <w:right w:w="120" w:type="dxa"/>
            </w:tcMar>
          </w:tcPr>
          <w:p>
            <w:pPr>
              <w:jc w:val="center"/>
            </w:pPr>
            <w:r>
              <w:rPr>
                <w:rFonts w:ascii="Calibri" w:hAnsi="Calibri"/>
                <w:color w:val="1E293B"/>
                <w:sz w:val="19"/>
              </w:rPr>
              <w:t>Thresholded Cosine</w:t>
            </w:r>
          </w:p>
        </w:tc>
        <w:tc>
          <w:tcPr>
            <w:tcW w:type="dxa" w:w="1872"/>
            <w:shd w:fill="FFFFFF"/>
            <w:tcMar>
              <w:top w:w="100" w:type="dxa"/>
              <w:bottom w:w="100" w:type="dxa"/>
              <w:left w:w="120" w:type="dxa"/>
              <w:right w:w="120" w:type="dxa"/>
            </w:tcMar>
          </w:tcPr>
          <w:p>
            <w:pPr>
              <w:jc w:val="center"/>
            </w:pPr>
            <w:r>
              <w:rPr>
                <w:rFonts w:ascii="Calibri" w:hAnsi="Calibri"/>
                <w:color w:val="1E293B"/>
                <w:sz w:val="19"/>
              </w:rPr>
              <w:t>1.73 Million</w:t>
            </w:r>
          </w:p>
        </w:tc>
        <w:tc>
          <w:tcPr>
            <w:tcW w:type="dxa" w:w="2160"/>
            <w:shd w:fill="FFFFFF"/>
            <w:tcMar>
              <w:top w:w="100" w:type="dxa"/>
              <w:bottom w:w="100" w:type="dxa"/>
              <w:left w:w="120" w:type="dxa"/>
              <w:right w:w="120" w:type="dxa"/>
            </w:tcMar>
          </w:tcPr>
          <w:p>
            <w:pPr>
              <w:jc w:val="center"/>
            </w:pPr>
            <w:r>
              <w:rPr>
                <w:rFonts w:ascii="Calibri" w:hAnsi="Calibri"/>
                <w:color w:val="1E293B"/>
                <w:sz w:val="19"/>
              </w:rPr>
              <w:t>Yes</w:t>
            </w:r>
          </w:p>
        </w:tc>
      </w:tr>
      <w:tr>
        <w:tc>
          <w:tcPr>
            <w:tcW w:type="dxa" w:w="2160"/>
            <w:shd w:fill="F8FAFC"/>
            <w:tcMar>
              <w:top w:w="100" w:type="dxa"/>
              <w:bottom w:w="100" w:type="dxa"/>
              <w:left w:w="120" w:type="dxa"/>
              <w:right w:w="120" w:type="dxa"/>
            </w:tcMar>
          </w:tcPr>
          <w:p>
            <w:pPr>
              <w:jc w:val="left"/>
            </w:pPr>
            <w:r>
              <w:rPr>
                <w:rFonts w:ascii="Calibri" w:hAnsi="Calibri"/>
                <w:color w:val="1E293B"/>
                <w:sz w:val="19"/>
              </w:rPr>
              <w:t>MatchNexa (This Work)</w:t>
            </w:r>
          </w:p>
        </w:tc>
        <w:tc>
          <w:tcPr>
            <w:tcW w:type="dxa" w:w="1872"/>
            <w:shd w:fill="F8FAFC"/>
            <w:tcMar>
              <w:top w:w="100" w:type="dxa"/>
              <w:bottom w:w="100" w:type="dxa"/>
              <w:left w:w="120" w:type="dxa"/>
              <w:right w:w="120" w:type="dxa"/>
            </w:tcMar>
          </w:tcPr>
          <w:p>
            <w:pPr>
              <w:jc w:val="center"/>
            </w:pPr>
            <w:r>
              <w:rPr>
                <w:rFonts w:ascii="Calibri" w:hAnsi="Calibri"/>
                <w:color w:val="1E293B"/>
                <w:sz w:val="19"/>
              </w:rPr>
              <w:t>Country + BM25 k-15</w:t>
            </w:r>
          </w:p>
        </w:tc>
        <w:tc>
          <w:tcPr>
            <w:tcW w:type="dxa" w:w="1728"/>
            <w:shd w:fill="F8FAFC"/>
            <w:tcMar>
              <w:top w:w="100" w:type="dxa"/>
              <w:bottom w:w="100" w:type="dxa"/>
              <w:left w:w="120" w:type="dxa"/>
              <w:right w:w="120" w:type="dxa"/>
            </w:tcMar>
          </w:tcPr>
          <w:p>
            <w:pPr>
              <w:jc w:val="center"/>
            </w:pPr>
            <w:r>
              <w:rPr>
                <w:rFonts w:ascii="Calibri" w:hAnsi="Calibri"/>
                <w:color w:val="1E293B"/>
                <w:sz w:val="19"/>
              </w:rPr>
              <w:t>DeBERTa + LightGBM</w:t>
            </w:r>
          </w:p>
        </w:tc>
        <w:tc>
          <w:tcPr>
            <w:tcW w:type="dxa" w:w="1872"/>
            <w:shd w:fill="F8FAFC"/>
            <w:tcMar>
              <w:top w:w="100" w:type="dxa"/>
              <w:bottom w:w="100" w:type="dxa"/>
              <w:left w:w="120" w:type="dxa"/>
              <w:right w:w="120" w:type="dxa"/>
            </w:tcMar>
          </w:tcPr>
          <w:p>
            <w:pPr>
              <w:jc w:val="center"/>
            </w:pPr>
            <w:r>
              <w:rPr>
                <w:rFonts w:ascii="Calibri" w:hAnsi="Calibri"/>
                <w:color w:val="1E293B"/>
                <w:sz w:val="19"/>
              </w:rPr>
              <w:t>1.73M in &lt; 2 Hours</w:t>
            </w:r>
          </w:p>
        </w:tc>
        <w:tc>
          <w:tcPr>
            <w:tcW w:type="dxa" w:w="2160"/>
            <w:shd w:fill="F8FAFC"/>
            <w:tcMar>
              <w:top w:w="100" w:type="dxa"/>
              <w:bottom w:w="100" w:type="dxa"/>
              <w:left w:w="120" w:type="dxa"/>
              <w:right w:w="120" w:type="dxa"/>
            </w:tcMar>
          </w:tcPr>
          <w:p>
            <w:pPr>
              <w:jc w:val="center"/>
            </w:pPr>
            <w:r>
              <w:rPr>
                <w:rFonts w:ascii="Calibri" w:hAnsi="Calibri"/>
                <w:color w:val="1E293B"/>
                <w:sz w:val="19"/>
              </w:rPr>
              <w:t>Yes (100% Local)</w:t>
            </w:r>
          </w:p>
        </w:tc>
      </w:tr>
    </w:tbl>
    <w:p>
      <w:pPr>
        <w:pStyle w:val="Heading1"/>
      </w:pPr>
      <w:r>
        <w:t>6. Conclusion and Future Directions</w:t>
      </w:r>
    </w:p>
    <w:p>
      <w:r>
        <w:t>Business entity resolution has transitioned from heuristic string matching to hybrid multi-stage pipelines. The winning paradigm synthesizes domain-partitioned blocking with high-capacity Transformer inference and calibrated thresholding. Emerging frontiers include self-supervised graph neural networks, streaming real-time resolution, and privacy-preserving record linkage.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