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111827"/>
          <w:sz w:val="52"/>
        </w:rPr>
        <w:t>MatchNexa: AI-Powered Business Entity Resolution</w:t>
      </w:r>
    </w:p>
    <w:p>
      <w:pPr>
        <w:spacing w:after="320"/>
      </w:pPr>
      <w:r>
        <w:rPr>
          <w:rFonts w:ascii="Calibri" w:hAnsi="Calibri"/>
          <w:b/>
          <w:color w:val="4F46E5"/>
          <w:sz w:val="24"/>
        </w:rPr>
        <w:t>Comprehensive Engineering Technical Report • Amazon ML Challenge 2026</w:t>
        <w:br/>
        <w:t>Deliverable Submission: NeuroNexa_submission.zip • Target Ledger: 1,732,544 Entities</w:t>
      </w:r>
    </w:p>
    <w:tbl>
      <w:tblPr>
        <w:tblW w:type="auto" w:w="0"/>
        <w:jc w:val="center"/>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top w:val="none"/>
              <w:left w:val="single" w:sz="24" w:space="0" w:color="4F46E5"/>
              <w:bottom w:val="none"/>
              <w:right w:val="none"/>
            </w:tcBorders>
          </w:tcPr>
          <w:p>
            <w:pPr>
              <w:spacing w:before="40" w:after="80"/>
            </w:pPr>
            <w:r>
              <w:rPr>
                <w:rFonts w:ascii="Calibri" w:hAnsi="Calibri"/>
                <w:b/>
                <w:color w:val="4F46E5"/>
                <w:sz w:val="20"/>
              </w:rPr>
              <w:t>■ EXECUTIVE SUMMARY</w:t>
              <w:br/>
            </w:r>
            <w:r>
              <w:rPr>
                <w:rFonts w:ascii="Calibri" w:hAnsi="Calibri"/>
                <w:color w:val="1E293B"/>
                <w:sz w:val="21"/>
              </w:rPr>
              <w:t>This technical report documents the complete engineering specification, algorithmic architecture, and experimental validation of MatchNexa — an industrial-grade entity resolution engine built for the Amazon ML Challenge 2026. The system resolves 1,732,544 test business records across three disparate sources (S1, S2, S3) with zero external APIs, optimizing directly for the precision-weighted Macro F0.5 score.</w:t>
            </w:r>
          </w:p>
        </w:tc>
      </w:tr>
    </w:tbl>
    <w:p>
      <w:pPr>
        <w:spacing w:after="120"/>
      </w:pPr>
    </w:p>
    <w:p>
      <w:pPr>
        <w:pStyle w:val="Heading1"/>
        <w:spacing w:before="280" w:after="120"/>
      </w:pPr>
      <w:r>
        <w:t>1. Challenge Overview &amp; Problem Formulation</w:t>
      </w:r>
    </w:p>
    <w:p>
      <w:pPr>
        <w:spacing w:line="276" w:lineRule="auto"/>
      </w:pPr>
      <w:r>
        <w:t>Modern enterprise platforms ingest seller, supplier, and merchant information from multiple heterogenous registries. Due to non-standard abbreviations, typos, legal structure differences (e.g., 'Inc', 'LLC', 'Corp', 'Pvt Ltd'), and evolving addresses, identical commercial businesses appear under divergent identities. The Amazon ML Challenge 2026 formulates this as a multi-source pairwise entity resolution task over 1,732,544 Source-1 reference entities.</w:t>
      </w:r>
    </w:p>
    <w:p>
      <w:pPr>
        <w:spacing w:line="276" w:lineRule="auto"/>
      </w:pPr>
      <w:r>
        <w:t>Mathematically, let S1 be the set of reference business records, and S2, S3 be target registry records. The objective is to discover the mapping M: S1 -&gt; P(S2 U S3) such that false matches are heavily penalized. The official evaluation metric is Macro F0.5, which weights precision twice as heavily as recall:</w:t>
      </w:r>
    </w:p>
    <w:tbl>
      <w:tblPr>
        <w:tblW w:type="auto" w:w="0"/>
        <w:jc w:val="center"/>
        <w:tblLook w:firstColumn="1" w:firstRow="1" w:lastColumn="0" w:lastRow="0" w:noHBand="0" w:noVBand="1" w:val="04A0"/>
      </w:tblPr>
      <w:tblGrid>
        <w:gridCol w:w="9360"/>
      </w:tblGrid>
      <w:tr>
        <w:tc>
          <w:tcPr>
            <w:tcW w:type="dxa" w:w="9360"/>
            <w:shd w:fill="F5F3FF"/>
            <w:tcMar>
              <w:top w:w="140" w:type="dxa"/>
              <w:bottom w:w="140" w:type="dxa"/>
              <w:left w:w="200" w:type="dxa"/>
              <w:right w:w="200" w:type="dxa"/>
            </w:tcMar>
            <w:tcBorders>
              <w:top w:val="none"/>
              <w:left w:val="single" w:sz="24" w:space="0" w:color="4F46E5"/>
              <w:bottom w:val="none"/>
              <w:right w:val="none"/>
            </w:tcBorders>
          </w:tcPr>
          <w:p>
            <w:pPr>
              <w:spacing w:before="40" w:after="80"/>
            </w:pPr>
            <w:r>
              <w:rPr>
                <w:rFonts w:ascii="Calibri" w:hAnsi="Calibri"/>
                <w:b/>
                <w:color w:val="4F46E5"/>
                <w:sz w:val="20"/>
              </w:rPr>
              <w:t>■ MATHEMATICAL OBJECTIVE &amp; EVALUATION FORMULATION</w:t>
              <w:br/>
            </w:r>
            <w:r>
              <w:rPr>
                <w:rFonts w:ascii="Calibri" w:hAnsi="Calibri"/>
                <w:color w:val="1E293B"/>
                <w:sz w:val="21"/>
              </w:rPr>
              <w:t>Macro F0.5 = (1 + 0.5^2) * (Precision * Recall) / ((0.5^2 * Precision) + Recall) = 1.25 * (P * R) / (0.25 * P + R)</w:t>
              <w:br/>
              <w:br/>
              <w:t>Crucial Insight: In Macro F0.5, a False Positive is 4x more damaging to the final score than a False Negative. Furthermore, businesses in Source 1 with no true corresponding partner in S2 or S3 must be left empty as singletons. Incorrectly assigning matches to true singletons degrades precision catastrophically.</w:t>
            </w:r>
          </w:p>
        </w:tc>
      </w:tr>
    </w:tbl>
    <w:p>
      <w:pPr>
        <w:spacing w:after="120"/>
      </w:pPr>
    </w:p>
    <w:p>
      <w:pPr>
        <w:pStyle w:val="Heading1"/>
        <w:spacing w:before="280"/>
      </w:pPr>
      <w:r>
        <w:t>2. High-Performance Three-Stage Architecture</w:t>
      </w:r>
    </w:p>
    <w:p>
      <w:pPr>
        <w:spacing w:line="276" w:lineRule="auto"/>
      </w:pPr>
      <w:r>
        <w:t>A naive pairwise comparison of 1.73M records against millions of target records requires over 3 trillion pairwise evaluations (O(N*M)), which is computationally impossible within the challenge constraints. MatchNexa implements a staged funnel architecture:</w:t>
      </w:r>
    </w:p>
    <w:p>
      <w:pPr>
        <w:pStyle w:val="ListBullet"/>
        <w:spacing w:line="276" w:lineRule="auto"/>
      </w:pPr>
      <w:r>
        <w:rPr>
          <w:b/>
        </w:rPr>
        <w:t xml:space="preserve">Stage 1 — Multi-Signal Country-Isolated Blocking: </w:t>
      </w:r>
      <w:r>
        <w:t>Partitions records by normalized ISO-2 country codes. Within each country partition, an inverted index combining character 3-grams, token BM25 ranking, and phonetic Soundex/Metaphone hashes retrieves top-k candidates (k=15), filtering out 99.98% of true negative pairs.</w:t>
      </w:r>
    </w:p>
    <w:p>
      <w:pPr>
        <w:pStyle w:val="ListBullet"/>
        <w:spacing w:line="276" w:lineRule="auto"/>
      </w:pPr>
      <w:r>
        <w:rPr>
          <w:b/>
        </w:rPr>
        <w:t xml:space="preserve">Stage 2 — Hybrid Feature &amp; Neural Pairwise Classifier: </w:t>
      </w:r>
      <w:r>
        <w:t>Pairs surviving the blocking stage are evaluated by an ensemble combining a lightweight Siamese DeBERTa-v3 cross-encoder and a LightGBM gradient-boosted tabular model with 42 engineered similarity metrics (Jaro-Winkler, Monge-Elkan, Levenshtein ratio, token set overlap, street number equivalence, and coordinate proximity).</w:t>
      </w:r>
    </w:p>
    <w:p>
      <w:pPr>
        <w:pStyle w:val="ListBullet"/>
        <w:spacing w:line="276" w:lineRule="auto"/>
      </w:pPr>
      <w:r>
        <w:rPr>
          <w:b/>
        </w:rPr>
        <w:t xml:space="preserve">Stage 3 — Singleton Filter &amp; Calibrated Precision Thresholding: </w:t>
      </w:r>
      <w:r>
        <w:t>Applies an empirically tuned classification threshold (tau = 0.740). Any candidate whose ensemble probability falls below tau is rejected, preserving singleton integrity and safeguarding against precision degradation.</w:t>
      </w:r>
    </w:p>
    <w:p>
      <w:pPr>
        <w:pStyle w:val="Heading1"/>
        <w:spacing w:before="280"/>
      </w:pPr>
      <w:r>
        <w:t>3. Deliverables &amp; Official Validation Audit</w:t>
      </w:r>
    </w:p>
    <w:p>
      <w:pPr>
        <w:spacing w:line="276" w:lineRule="auto"/>
      </w:pPr>
      <w:r>
        <w:t>The submission package conforms strictly to the instructions outlined in the official webinar video and submission validator. The complete archive NeuroNexa_submission.zip is structured as follows:</w:t>
      </w:r>
    </w:p>
    <w:tbl>
      <w:tblPr>
        <w:tblW w:type="auto" w:w="0"/>
        <w:jc w:val="center"/>
        <w:tblLook w:firstColumn="1" w:firstRow="1" w:lastColumn="0" w:lastRow="0" w:noHBand="0" w:noVBand="1" w:val="04A0"/>
      </w:tblPr>
      <w:tblGrid>
        <w:gridCol w:w="3120"/>
        <w:gridCol w:w="3120"/>
        <w:gridCol w:w="3120"/>
      </w:tblGrid>
      <w:tr>
        <w:tc>
          <w:tcPr>
            <w:tcW w:type="dxa" w:w="2880"/>
            <w:shd w:fill="1E293B"/>
            <w:tcMar>
              <w:top w:w="140" w:type="dxa"/>
              <w:bottom w:w="140" w:type="dxa"/>
              <w:left w:w="140" w:type="dxa"/>
              <w:right w:w="140" w:type="dxa"/>
            </w:tcMar>
          </w:tcPr>
          <w:p>
            <w:pPr>
              <w:jc w:val="center"/>
            </w:pPr>
            <w:r>
              <w:rPr>
                <w:rFonts w:ascii="Calibri" w:hAnsi="Calibri"/>
                <w:b/>
                <w:color w:val="FFFFFF"/>
                <w:sz w:val="20"/>
              </w:rPr>
              <w:t>File / Component</w:t>
            </w:r>
          </w:p>
        </w:tc>
        <w:tc>
          <w:tcPr>
            <w:tcW w:type="dxa" w:w="2592"/>
            <w:shd w:fill="1E293B"/>
            <w:tcMar>
              <w:top w:w="140" w:type="dxa"/>
              <w:bottom w:w="140" w:type="dxa"/>
              <w:left w:w="140" w:type="dxa"/>
              <w:right w:w="140" w:type="dxa"/>
            </w:tcMar>
          </w:tcPr>
          <w:p>
            <w:pPr>
              <w:jc w:val="center"/>
            </w:pPr>
            <w:r>
              <w:rPr>
                <w:rFonts w:ascii="Calibri" w:hAnsi="Calibri"/>
                <w:b/>
                <w:color w:val="FFFFFF"/>
                <w:sz w:val="20"/>
              </w:rPr>
              <w:t>Specification</w:t>
            </w:r>
          </w:p>
        </w:tc>
        <w:tc>
          <w:tcPr>
            <w:tcW w:type="dxa" w:w="3888"/>
            <w:shd w:fill="1E293B"/>
            <w:tcMar>
              <w:top w:w="140" w:type="dxa"/>
              <w:bottom w:w="140" w:type="dxa"/>
              <w:left w:w="140" w:type="dxa"/>
              <w:right w:w="140" w:type="dxa"/>
            </w:tcMar>
          </w:tcPr>
          <w:p>
            <w:pPr>
              <w:jc w:val="center"/>
            </w:pPr>
            <w:r>
              <w:rPr>
                <w:rFonts w:ascii="Calibri" w:hAnsi="Calibri"/>
                <w:b/>
                <w:color w:val="FFFFFF"/>
                <w:sz w:val="20"/>
              </w:rPr>
              <w:t>Integrity &amp; Validation Status</w:t>
            </w:r>
          </w:p>
        </w:tc>
      </w:tr>
      <w:tr>
        <w:tc>
          <w:tcPr>
            <w:tcW w:type="dxa" w:w="2880"/>
            <w:shd w:fill="F8FAFC"/>
            <w:tcMar>
              <w:top w:w="100" w:type="dxa"/>
              <w:bottom w:w="100" w:type="dxa"/>
              <w:left w:w="120" w:type="dxa"/>
              <w:right w:w="120" w:type="dxa"/>
            </w:tcMar>
          </w:tcPr>
          <w:p>
            <w:pPr>
              <w:jc w:val="left"/>
            </w:pPr>
            <w:r>
              <w:rPr>
                <w:rFonts w:ascii="Calibri" w:hAnsi="Calibri"/>
                <w:color w:val="1E293B"/>
                <w:sz w:val="19"/>
              </w:rPr>
              <w:t>output/matching_results.tsv</w:t>
            </w:r>
          </w:p>
        </w:tc>
        <w:tc>
          <w:tcPr>
            <w:tcW w:type="dxa" w:w="2592"/>
            <w:shd w:fill="F8FAFC"/>
            <w:tcMar>
              <w:top w:w="100" w:type="dxa"/>
              <w:bottom w:w="100" w:type="dxa"/>
              <w:left w:w="120" w:type="dxa"/>
              <w:right w:w="120" w:type="dxa"/>
            </w:tcMar>
          </w:tcPr>
          <w:p>
            <w:pPr>
              <w:jc w:val="center"/>
            </w:pPr>
            <w:r>
              <w:rPr>
                <w:rFonts w:ascii="Calibri" w:hAnsi="Calibri"/>
                <w:color w:val="1E293B"/>
                <w:sz w:val="19"/>
              </w:rPr>
              <w:t>1,732,544 rows + header</w:t>
            </w:r>
          </w:p>
        </w:tc>
        <w:tc>
          <w:tcPr>
            <w:tcW w:type="dxa" w:w="3888"/>
            <w:shd w:fill="F8FAFC"/>
            <w:tcMar>
              <w:top w:w="100" w:type="dxa"/>
              <w:bottom w:w="100" w:type="dxa"/>
              <w:left w:w="120" w:type="dxa"/>
              <w:right w:w="120" w:type="dxa"/>
            </w:tcMar>
          </w:tcPr>
          <w:p>
            <w:pPr>
              <w:jc w:val="center"/>
            </w:pPr>
            <w:r>
              <w:rPr>
                <w:rFonts w:ascii="Calibri" w:hAnsi="Calibri"/>
                <w:color w:val="1E293B"/>
                <w:sz w:val="19"/>
              </w:rPr>
              <w:t>VALIDATED: Exact header source1_entity_id\tmatched_entity_ids. UTF-8.</w:t>
            </w:r>
          </w:p>
        </w:tc>
      </w:tr>
      <w:tr>
        <w:tc>
          <w:tcPr>
            <w:tcW w:type="dxa" w:w="2880"/>
            <w:shd w:fill="FFFFFF"/>
            <w:tcMar>
              <w:top w:w="100" w:type="dxa"/>
              <w:bottom w:w="100" w:type="dxa"/>
              <w:left w:w="120" w:type="dxa"/>
              <w:right w:w="120" w:type="dxa"/>
            </w:tcMar>
          </w:tcPr>
          <w:p>
            <w:pPr>
              <w:jc w:val="left"/>
            </w:pPr>
            <w:r>
              <w:rPr>
                <w:rFonts w:ascii="Calibri" w:hAnsi="Calibri"/>
                <w:color w:val="1E293B"/>
                <w:sz w:val="19"/>
              </w:rPr>
              <w:t>output/candidate_pairs.tsv</w:t>
            </w:r>
          </w:p>
        </w:tc>
        <w:tc>
          <w:tcPr>
            <w:tcW w:type="dxa" w:w="2592"/>
            <w:shd w:fill="FFFFFF"/>
            <w:tcMar>
              <w:top w:w="100" w:type="dxa"/>
              <w:bottom w:w="100" w:type="dxa"/>
              <w:left w:w="120" w:type="dxa"/>
              <w:right w:w="120" w:type="dxa"/>
            </w:tcMar>
          </w:tcPr>
          <w:p>
            <w:pPr>
              <w:jc w:val="center"/>
            </w:pPr>
            <w:r>
              <w:rPr>
                <w:rFonts w:ascii="Calibri" w:hAnsi="Calibri"/>
                <w:color w:val="1E293B"/>
                <w:sz w:val="19"/>
              </w:rPr>
              <w:t>1,732,544 rows + header</w:t>
            </w:r>
          </w:p>
        </w:tc>
        <w:tc>
          <w:tcPr>
            <w:tcW w:type="dxa" w:w="3888"/>
            <w:shd w:fill="FFFFFF"/>
            <w:tcMar>
              <w:top w:w="100" w:type="dxa"/>
              <w:bottom w:w="100" w:type="dxa"/>
              <w:left w:w="120" w:type="dxa"/>
              <w:right w:w="120" w:type="dxa"/>
            </w:tcMar>
          </w:tcPr>
          <w:p>
            <w:pPr>
              <w:jc w:val="center"/>
            </w:pPr>
            <w:r>
              <w:rPr>
                <w:rFonts w:ascii="Calibri" w:hAnsi="Calibri"/>
                <w:color w:val="1E293B"/>
                <w:sz w:val="19"/>
              </w:rPr>
              <w:t>VALIDATED: Matches are strict subsets of blocking candidates.</w:t>
            </w:r>
          </w:p>
        </w:tc>
      </w:tr>
      <w:tr>
        <w:tc>
          <w:tcPr>
            <w:tcW w:type="dxa" w:w="2880"/>
            <w:shd w:fill="F8FAFC"/>
            <w:tcMar>
              <w:top w:w="100" w:type="dxa"/>
              <w:bottom w:w="100" w:type="dxa"/>
              <w:left w:w="120" w:type="dxa"/>
              <w:right w:w="120" w:type="dxa"/>
            </w:tcMar>
          </w:tcPr>
          <w:p>
            <w:pPr>
              <w:jc w:val="left"/>
            </w:pPr>
            <w:r>
              <w:rPr>
                <w:rFonts w:ascii="Calibri" w:hAnsi="Calibri"/>
                <w:color w:val="1E293B"/>
                <w:sz w:val="19"/>
              </w:rPr>
              <w:t>src/blocking.py</w:t>
            </w:r>
          </w:p>
        </w:tc>
        <w:tc>
          <w:tcPr>
            <w:tcW w:type="dxa" w:w="2592"/>
            <w:shd w:fill="F8FAFC"/>
            <w:tcMar>
              <w:top w:w="100" w:type="dxa"/>
              <w:bottom w:w="100" w:type="dxa"/>
              <w:left w:w="120" w:type="dxa"/>
              <w:right w:w="120" w:type="dxa"/>
            </w:tcMar>
          </w:tcPr>
          <w:p>
            <w:pPr>
              <w:jc w:val="center"/>
            </w:pPr>
            <w:r>
              <w:rPr>
                <w:rFonts w:ascii="Calibri" w:hAnsi="Calibri"/>
                <w:color w:val="1E293B"/>
                <w:sz w:val="19"/>
              </w:rPr>
              <w:t>Stage 1 Candidate Index</w:t>
            </w:r>
          </w:p>
        </w:tc>
        <w:tc>
          <w:tcPr>
            <w:tcW w:type="dxa" w:w="3888"/>
            <w:shd w:fill="F8FAFC"/>
            <w:tcMar>
              <w:top w:w="100" w:type="dxa"/>
              <w:bottom w:w="100" w:type="dxa"/>
              <w:left w:w="120" w:type="dxa"/>
              <w:right w:w="120" w:type="dxa"/>
            </w:tcMar>
          </w:tcPr>
          <w:p>
            <w:pPr>
              <w:jc w:val="center"/>
            </w:pPr>
            <w:r>
              <w:rPr>
                <w:rFonts w:ascii="Calibri" w:hAnsi="Calibri"/>
                <w:color w:val="1E293B"/>
                <w:sz w:val="19"/>
              </w:rPr>
              <w:t>Country-partitioned TF-IDF + BM25 retriever.</w:t>
            </w:r>
          </w:p>
        </w:tc>
      </w:tr>
      <w:tr>
        <w:tc>
          <w:tcPr>
            <w:tcW w:type="dxa" w:w="2880"/>
            <w:shd w:fill="FFFFFF"/>
            <w:tcMar>
              <w:top w:w="100" w:type="dxa"/>
              <w:bottom w:w="100" w:type="dxa"/>
              <w:left w:w="120" w:type="dxa"/>
              <w:right w:w="120" w:type="dxa"/>
            </w:tcMar>
          </w:tcPr>
          <w:p>
            <w:pPr>
              <w:jc w:val="left"/>
            </w:pPr>
            <w:r>
              <w:rPr>
                <w:rFonts w:ascii="Calibri" w:hAnsi="Calibri"/>
                <w:color w:val="1E293B"/>
                <w:sz w:val="19"/>
              </w:rPr>
              <w:t>src/matcher.py</w:t>
            </w:r>
          </w:p>
        </w:tc>
        <w:tc>
          <w:tcPr>
            <w:tcW w:type="dxa" w:w="2592"/>
            <w:shd w:fill="FFFFFF"/>
            <w:tcMar>
              <w:top w:w="100" w:type="dxa"/>
              <w:bottom w:w="100" w:type="dxa"/>
              <w:left w:w="120" w:type="dxa"/>
              <w:right w:w="120" w:type="dxa"/>
            </w:tcMar>
          </w:tcPr>
          <w:p>
            <w:pPr>
              <w:jc w:val="center"/>
            </w:pPr>
            <w:r>
              <w:rPr>
                <w:rFonts w:ascii="Calibri" w:hAnsi="Calibri"/>
                <w:color w:val="1E293B"/>
                <w:sz w:val="19"/>
              </w:rPr>
              <w:t>Stage 2 Ensemble Scorer</w:t>
            </w:r>
          </w:p>
        </w:tc>
        <w:tc>
          <w:tcPr>
            <w:tcW w:type="dxa" w:w="3888"/>
            <w:shd w:fill="FFFFFF"/>
            <w:tcMar>
              <w:top w:w="100" w:type="dxa"/>
              <w:bottom w:w="100" w:type="dxa"/>
              <w:left w:w="120" w:type="dxa"/>
              <w:right w:w="120" w:type="dxa"/>
            </w:tcMar>
          </w:tcPr>
          <w:p>
            <w:pPr>
              <w:jc w:val="center"/>
            </w:pPr>
            <w:r>
              <w:rPr>
                <w:rFonts w:ascii="Calibri" w:hAnsi="Calibri"/>
                <w:color w:val="1E293B"/>
                <w:sz w:val="19"/>
              </w:rPr>
              <w:t>Cross-encoder DeBERTa + 42 feature LightGBM.</w:t>
            </w:r>
          </w:p>
        </w:tc>
      </w:tr>
      <w:tr>
        <w:tc>
          <w:tcPr>
            <w:tcW w:type="dxa" w:w="2880"/>
            <w:shd w:fill="F8FAFC"/>
            <w:tcMar>
              <w:top w:w="100" w:type="dxa"/>
              <w:bottom w:w="100" w:type="dxa"/>
              <w:left w:w="120" w:type="dxa"/>
              <w:right w:w="120" w:type="dxa"/>
            </w:tcMar>
          </w:tcPr>
          <w:p>
            <w:pPr>
              <w:jc w:val="left"/>
            </w:pPr>
            <w:r>
              <w:rPr>
                <w:rFonts w:ascii="Calibri" w:hAnsi="Calibri"/>
                <w:color w:val="1E293B"/>
                <w:sz w:val="19"/>
              </w:rPr>
              <w:t>NeuroNexa_submission.zip</w:t>
            </w:r>
          </w:p>
        </w:tc>
        <w:tc>
          <w:tcPr>
            <w:tcW w:type="dxa" w:w="2592"/>
            <w:shd w:fill="F8FAFC"/>
            <w:tcMar>
              <w:top w:w="100" w:type="dxa"/>
              <w:bottom w:w="100" w:type="dxa"/>
              <w:left w:w="120" w:type="dxa"/>
              <w:right w:w="120" w:type="dxa"/>
            </w:tcMar>
          </w:tcPr>
          <w:p>
            <w:pPr>
              <w:jc w:val="center"/>
            </w:pPr>
            <w:r>
              <w:rPr>
                <w:rFonts w:ascii="Calibri" w:hAnsi="Calibri"/>
                <w:color w:val="1E293B"/>
                <w:sz w:val="19"/>
              </w:rPr>
              <w:t>254.3 MB Master Archive</w:t>
            </w:r>
          </w:p>
        </w:tc>
        <w:tc>
          <w:tcPr>
            <w:tcW w:type="dxa" w:w="3888"/>
            <w:shd w:fill="F8FAFC"/>
            <w:tcMar>
              <w:top w:w="100" w:type="dxa"/>
              <w:bottom w:w="100" w:type="dxa"/>
              <w:left w:w="120" w:type="dxa"/>
              <w:right w:w="120" w:type="dxa"/>
            </w:tcMar>
          </w:tcPr>
          <w:p>
            <w:pPr>
              <w:jc w:val="center"/>
            </w:pPr>
            <w:r>
              <w:rPr>
                <w:rFonts w:ascii="Calibri" w:hAnsi="Calibri"/>
                <w:color w:val="1E293B"/>
                <w:sz w:val="19"/>
              </w:rPr>
              <w:t>Passes utils/validate_submission.py with 0 errors.</w:t>
            </w:r>
          </w:p>
        </w:tc>
      </w:tr>
    </w:tbl>
    <w:p>
      <w:pPr>
        <w:pStyle w:val="Heading1"/>
        <w:spacing w:before="280"/>
      </w:pPr>
      <w:r>
        <w:t>4. Benchmark Performance &amp; Ablation Study</w:t>
      </w:r>
    </w:p>
    <w:p>
      <w:pPr>
        <w:spacing w:line="276" w:lineRule="auto"/>
      </w:pPr>
      <w:r>
        <w:t>Ablation studies were conducted across five representative country cohorts (US, IN, DE, JP, GB) to measure the incremental gain of each architectural component: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3168"/>
            <w:shd w:fill="1E293B"/>
            <w:tcMar>
              <w:top w:w="140" w:type="dxa"/>
              <w:bottom w:w="140" w:type="dxa"/>
              <w:left w:w="140" w:type="dxa"/>
              <w:right w:w="140" w:type="dxa"/>
            </w:tcMar>
          </w:tcPr>
          <w:p>
            <w:pPr>
              <w:jc w:val="center"/>
            </w:pPr>
            <w:r>
              <w:rPr>
                <w:rFonts w:ascii="Calibri" w:hAnsi="Calibri"/>
                <w:b/>
                <w:color w:val="FFFFFF"/>
                <w:sz w:val="20"/>
              </w:rPr>
              <w:t>Pipeline Configuration</w:t>
            </w:r>
          </w:p>
        </w:tc>
        <w:tc>
          <w:tcPr>
            <w:tcW w:type="dxa" w:w="1584"/>
            <w:shd w:fill="1E293B"/>
            <w:tcMar>
              <w:top w:w="140" w:type="dxa"/>
              <w:bottom w:w="140" w:type="dxa"/>
              <w:left w:w="140" w:type="dxa"/>
              <w:right w:w="140" w:type="dxa"/>
            </w:tcMar>
          </w:tcPr>
          <w:p>
            <w:pPr>
              <w:jc w:val="center"/>
            </w:pPr>
            <w:r>
              <w:rPr>
                <w:rFonts w:ascii="Calibri" w:hAnsi="Calibri"/>
                <w:b/>
                <w:color w:val="FFFFFF"/>
                <w:sz w:val="20"/>
              </w:rPr>
              <w:t>Precision</w:t>
            </w:r>
          </w:p>
        </w:tc>
        <w:tc>
          <w:tcPr>
            <w:tcW w:type="dxa" w:w="1584"/>
            <w:shd w:fill="1E293B"/>
            <w:tcMar>
              <w:top w:w="140" w:type="dxa"/>
              <w:bottom w:w="140" w:type="dxa"/>
              <w:left w:w="140" w:type="dxa"/>
              <w:right w:w="140" w:type="dxa"/>
            </w:tcMar>
          </w:tcPr>
          <w:p>
            <w:pPr>
              <w:jc w:val="center"/>
            </w:pPr>
            <w:r>
              <w:rPr>
                <w:rFonts w:ascii="Calibri" w:hAnsi="Calibri"/>
                <w:b/>
                <w:color w:val="FFFFFF"/>
                <w:sz w:val="20"/>
              </w:rPr>
              <w:t>Recall</w:t>
            </w:r>
          </w:p>
        </w:tc>
        <w:tc>
          <w:tcPr>
            <w:tcW w:type="dxa" w:w="1584"/>
            <w:shd w:fill="1E293B"/>
            <w:tcMar>
              <w:top w:w="140" w:type="dxa"/>
              <w:bottom w:w="140" w:type="dxa"/>
              <w:left w:w="140" w:type="dxa"/>
              <w:right w:w="140" w:type="dxa"/>
            </w:tcMar>
          </w:tcPr>
          <w:p>
            <w:pPr>
              <w:jc w:val="center"/>
            </w:pPr>
            <w:r>
              <w:rPr>
                <w:rFonts w:ascii="Calibri" w:hAnsi="Calibri"/>
                <w:b/>
                <w:color w:val="FFFFFF"/>
                <w:sz w:val="20"/>
              </w:rPr>
              <w:t>Macro F1</w:t>
            </w:r>
          </w:p>
        </w:tc>
        <w:tc>
          <w:tcPr>
            <w:tcW w:type="dxa" w:w="1728"/>
            <w:shd w:fill="1E293B"/>
            <w:tcMar>
              <w:top w:w="140" w:type="dxa"/>
              <w:bottom w:w="140" w:type="dxa"/>
              <w:left w:w="140" w:type="dxa"/>
              <w:right w:w="140" w:type="dxa"/>
            </w:tcMar>
          </w:tcPr>
          <w:p>
            <w:pPr>
              <w:jc w:val="center"/>
            </w:pPr>
            <w:r>
              <w:rPr>
                <w:rFonts w:ascii="Calibri" w:hAnsi="Calibri"/>
                <w:b/>
                <w:color w:val="FFFFFF"/>
                <w:sz w:val="20"/>
              </w:rPr>
              <w:t>Macro F0.5</w:t>
            </w:r>
          </w:p>
        </w:tc>
      </w:tr>
      <w:tr>
        <w:tc>
          <w:tcPr>
            <w:tcW w:type="dxa" w:w="3168"/>
            <w:shd w:fill="F8FAFC"/>
            <w:tcMar>
              <w:top w:w="100" w:type="dxa"/>
              <w:bottom w:w="100" w:type="dxa"/>
              <w:left w:w="120" w:type="dxa"/>
              <w:right w:w="120" w:type="dxa"/>
            </w:tcMar>
          </w:tcPr>
          <w:p>
            <w:pPr>
              <w:jc w:val="left"/>
            </w:pPr>
            <w:r>
              <w:rPr>
                <w:rFonts w:ascii="Calibri" w:hAnsi="Calibri"/>
                <w:color w:val="1E293B"/>
                <w:sz w:val="19"/>
              </w:rPr>
              <w:t>Standard TF-IDF Baseline (tau=0.50)</w:t>
            </w:r>
          </w:p>
        </w:tc>
        <w:tc>
          <w:tcPr>
            <w:tcW w:type="dxa" w:w="1584"/>
            <w:shd w:fill="F8FAFC"/>
            <w:tcMar>
              <w:top w:w="100" w:type="dxa"/>
              <w:bottom w:w="100" w:type="dxa"/>
              <w:left w:w="120" w:type="dxa"/>
              <w:right w:w="120" w:type="dxa"/>
            </w:tcMar>
          </w:tcPr>
          <w:p>
            <w:pPr>
              <w:jc w:val="center"/>
            </w:pPr>
            <w:r>
              <w:rPr>
                <w:rFonts w:ascii="Calibri" w:hAnsi="Calibri"/>
                <w:color w:val="1E293B"/>
                <w:sz w:val="19"/>
              </w:rPr>
              <w:t>71.4%</w:t>
            </w:r>
          </w:p>
        </w:tc>
        <w:tc>
          <w:tcPr>
            <w:tcW w:type="dxa" w:w="1584"/>
            <w:shd w:fill="F8FAFC"/>
            <w:tcMar>
              <w:top w:w="100" w:type="dxa"/>
              <w:bottom w:w="100" w:type="dxa"/>
              <w:left w:w="120" w:type="dxa"/>
              <w:right w:w="120" w:type="dxa"/>
            </w:tcMar>
          </w:tcPr>
          <w:p>
            <w:pPr>
              <w:jc w:val="center"/>
            </w:pPr>
            <w:r>
              <w:rPr>
                <w:rFonts w:ascii="Calibri" w:hAnsi="Calibri"/>
                <w:color w:val="1E293B"/>
                <w:sz w:val="19"/>
              </w:rPr>
              <w:t>81.2%</w:t>
            </w:r>
          </w:p>
        </w:tc>
        <w:tc>
          <w:tcPr>
            <w:tcW w:type="dxa" w:w="1584"/>
            <w:shd w:fill="F8FAFC"/>
            <w:tcMar>
              <w:top w:w="100" w:type="dxa"/>
              <w:bottom w:w="100" w:type="dxa"/>
              <w:left w:w="120" w:type="dxa"/>
              <w:right w:w="120" w:type="dxa"/>
            </w:tcMar>
          </w:tcPr>
          <w:p>
            <w:pPr>
              <w:jc w:val="center"/>
            </w:pPr>
            <w:r>
              <w:rPr>
                <w:rFonts w:ascii="Calibri" w:hAnsi="Calibri"/>
                <w:color w:val="1E293B"/>
                <w:sz w:val="19"/>
              </w:rPr>
              <w:t>0.760</w:t>
            </w:r>
          </w:p>
        </w:tc>
        <w:tc>
          <w:tcPr>
            <w:tcW w:type="dxa" w:w="1728"/>
            <w:shd w:fill="F8FAFC"/>
            <w:tcMar>
              <w:top w:w="100" w:type="dxa"/>
              <w:bottom w:w="100" w:type="dxa"/>
              <w:left w:w="120" w:type="dxa"/>
              <w:right w:w="120" w:type="dxa"/>
            </w:tcMar>
          </w:tcPr>
          <w:p>
            <w:pPr>
              <w:jc w:val="center"/>
            </w:pPr>
            <w:r>
              <w:rPr>
                <w:rFonts w:ascii="Calibri" w:hAnsi="Calibri"/>
                <w:color w:val="1E293B"/>
                <w:sz w:val="19"/>
              </w:rPr>
              <w:t>0.732</w:t>
            </w:r>
          </w:p>
        </w:tc>
      </w:tr>
      <w:tr>
        <w:tc>
          <w:tcPr>
            <w:tcW w:type="dxa" w:w="3168"/>
            <w:shd w:fill="FFFFFF"/>
            <w:tcMar>
              <w:top w:w="100" w:type="dxa"/>
              <w:bottom w:w="100" w:type="dxa"/>
              <w:left w:w="120" w:type="dxa"/>
              <w:right w:w="120" w:type="dxa"/>
            </w:tcMar>
          </w:tcPr>
          <w:p>
            <w:pPr>
              <w:jc w:val="left"/>
            </w:pPr>
            <w:r>
              <w:rPr>
                <w:rFonts w:ascii="Calibri" w:hAnsi="Calibri"/>
                <w:color w:val="1E293B"/>
                <w:sz w:val="19"/>
              </w:rPr>
              <w:t>Country-Partitioned BM25 Blocking</w:t>
            </w:r>
          </w:p>
        </w:tc>
        <w:tc>
          <w:tcPr>
            <w:tcW w:type="dxa" w:w="1584"/>
            <w:shd w:fill="FFFFFF"/>
            <w:tcMar>
              <w:top w:w="100" w:type="dxa"/>
              <w:bottom w:w="100" w:type="dxa"/>
              <w:left w:w="120" w:type="dxa"/>
              <w:right w:w="120" w:type="dxa"/>
            </w:tcMar>
          </w:tcPr>
          <w:p>
            <w:pPr>
              <w:jc w:val="center"/>
            </w:pPr>
            <w:r>
              <w:rPr>
                <w:rFonts w:ascii="Calibri" w:hAnsi="Calibri"/>
                <w:color w:val="1E293B"/>
                <w:sz w:val="19"/>
              </w:rPr>
              <w:t>78.9%</w:t>
            </w:r>
          </w:p>
        </w:tc>
        <w:tc>
          <w:tcPr>
            <w:tcW w:type="dxa" w:w="1584"/>
            <w:shd w:fill="FFFFFF"/>
            <w:tcMar>
              <w:top w:w="100" w:type="dxa"/>
              <w:bottom w:w="100" w:type="dxa"/>
              <w:left w:w="120" w:type="dxa"/>
              <w:right w:w="120" w:type="dxa"/>
            </w:tcMar>
          </w:tcPr>
          <w:p>
            <w:pPr>
              <w:jc w:val="center"/>
            </w:pPr>
            <w:r>
              <w:rPr>
                <w:rFonts w:ascii="Calibri" w:hAnsi="Calibri"/>
                <w:color w:val="1E293B"/>
                <w:sz w:val="19"/>
              </w:rPr>
              <w:t>83.6%</w:t>
            </w:r>
          </w:p>
        </w:tc>
        <w:tc>
          <w:tcPr>
            <w:tcW w:type="dxa" w:w="1584"/>
            <w:shd w:fill="FFFFFF"/>
            <w:tcMar>
              <w:top w:w="100" w:type="dxa"/>
              <w:bottom w:w="100" w:type="dxa"/>
              <w:left w:w="120" w:type="dxa"/>
              <w:right w:w="120" w:type="dxa"/>
            </w:tcMar>
          </w:tcPr>
          <w:p>
            <w:pPr>
              <w:jc w:val="center"/>
            </w:pPr>
            <w:r>
              <w:rPr>
                <w:rFonts w:ascii="Calibri" w:hAnsi="Calibri"/>
                <w:color w:val="1E293B"/>
                <w:sz w:val="19"/>
              </w:rPr>
              <w:t>0.812</w:t>
            </w:r>
          </w:p>
        </w:tc>
        <w:tc>
          <w:tcPr>
            <w:tcW w:type="dxa" w:w="1728"/>
            <w:shd w:fill="FFFFFF"/>
            <w:tcMar>
              <w:top w:w="100" w:type="dxa"/>
              <w:bottom w:w="100" w:type="dxa"/>
              <w:left w:w="120" w:type="dxa"/>
              <w:right w:w="120" w:type="dxa"/>
            </w:tcMar>
          </w:tcPr>
          <w:p>
            <w:pPr>
              <w:jc w:val="center"/>
            </w:pPr>
            <w:r>
              <w:rPr>
                <w:rFonts w:ascii="Calibri" w:hAnsi="Calibri"/>
                <w:color w:val="1E293B"/>
                <w:sz w:val="19"/>
              </w:rPr>
              <w:t>0.798</w:t>
            </w:r>
          </w:p>
        </w:tc>
      </w:tr>
      <w:tr>
        <w:tc>
          <w:tcPr>
            <w:tcW w:type="dxa" w:w="3168"/>
            <w:shd w:fill="F8FAFC"/>
            <w:tcMar>
              <w:top w:w="100" w:type="dxa"/>
              <w:bottom w:w="100" w:type="dxa"/>
              <w:left w:w="120" w:type="dxa"/>
              <w:right w:w="120" w:type="dxa"/>
            </w:tcMar>
          </w:tcPr>
          <w:p>
            <w:pPr>
              <w:jc w:val="left"/>
            </w:pPr>
            <w:r>
              <w:rPr>
                <w:rFonts w:ascii="Calibri" w:hAnsi="Calibri"/>
                <w:color w:val="1E293B"/>
                <w:sz w:val="19"/>
              </w:rPr>
              <w:t>BM25 + 42 Feature LightGBM</w:t>
            </w:r>
          </w:p>
        </w:tc>
        <w:tc>
          <w:tcPr>
            <w:tcW w:type="dxa" w:w="1584"/>
            <w:shd w:fill="F8FAFC"/>
            <w:tcMar>
              <w:top w:w="100" w:type="dxa"/>
              <w:bottom w:w="100" w:type="dxa"/>
              <w:left w:w="120" w:type="dxa"/>
              <w:right w:w="120" w:type="dxa"/>
            </w:tcMar>
          </w:tcPr>
          <w:p>
            <w:pPr>
              <w:jc w:val="center"/>
            </w:pPr>
            <w:r>
              <w:rPr>
                <w:rFonts w:ascii="Calibri" w:hAnsi="Calibri"/>
                <w:color w:val="1E293B"/>
                <w:sz w:val="19"/>
              </w:rPr>
              <w:t>86.1%</w:t>
            </w:r>
          </w:p>
        </w:tc>
        <w:tc>
          <w:tcPr>
            <w:tcW w:type="dxa" w:w="1584"/>
            <w:shd w:fill="F8FAFC"/>
            <w:tcMar>
              <w:top w:w="100" w:type="dxa"/>
              <w:bottom w:w="100" w:type="dxa"/>
              <w:left w:w="120" w:type="dxa"/>
              <w:right w:w="120" w:type="dxa"/>
            </w:tcMar>
          </w:tcPr>
          <w:p>
            <w:pPr>
              <w:jc w:val="center"/>
            </w:pPr>
            <w:r>
              <w:rPr>
                <w:rFonts w:ascii="Calibri" w:hAnsi="Calibri"/>
                <w:color w:val="1E293B"/>
                <w:sz w:val="19"/>
              </w:rPr>
              <w:t>79.4%</w:t>
            </w:r>
          </w:p>
        </w:tc>
        <w:tc>
          <w:tcPr>
            <w:tcW w:type="dxa" w:w="1584"/>
            <w:shd w:fill="F8FAFC"/>
            <w:tcMar>
              <w:top w:w="100" w:type="dxa"/>
              <w:bottom w:w="100" w:type="dxa"/>
              <w:left w:w="120" w:type="dxa"/>
              <w:right w:w="120" w:type="dxa"/>
            </w:tcMar>
          </w:tcPr>
          <w:p>
            <w:pPr>
              <w:jc w:val="center"/>
            </w:pPr>
            <w:r>
              <w:rPr>
                <w:rFonts w:ascii="Calibri" w:hAnsi="Calibri"/>
                <w:color w:val="1E293B"/>
                <w:sz w:val="19"/>
              </w:rPr>
              <w:t>0.826</w:t>
            </w:r>
          </w:p>
        </w:tc>
        <w:tc>
          <w:tcPr>
            <w:tcW w:type="dxa" w:w="1728"/>
            <w:shd w:fill="F8FAFC"/>
            <w:tcMar>
              <w:top w:w="100" w:type="dxa"/>
              <w:bottom w:w="100" w:type="dxa"/>
              <w:left w:w="120" w:type="dxa"/>
              <w:right w:w="120" w:type="dxa"/>
            </w:tcMar>
          </w:tcPr>
          <w:p>
            <w:pPr>
              <w:jc w:val="center"/>
            </w:pPr>
            <w:r>
              <w:rPr>
                <w:rFonts w:ascii="Calibri" w:hAnsi="Calibri"/>
                <w:color w:val="1E293B"/>
                <w:sz w:val="19"/>
              </w:rPr>
              <w:t>0.847</w:t>
            </w:r>
          </w:p>
        </w:tc>
      </w:tr>
      <w:tr>
        <w:tc>
          <w:tcPr>
            <w:tcW w:type="dxa" w:w="3168"/>
            <w:shd w:fill="FFFFFF"/>
            <w:tcMar>
              <w:top w:w="100" w:type="dxa"/>
              <w:bottom w:w="100" w:type="dxa"/>
              <w:left w:w="120" w:type="dxa"/>
              <w:right w:w="120" w:type="dxa"/>
            </w:tcMar>
          </w:tcPr>
          <w:p>
            <w:pPr>
              <w:jc w:val="left"/>
            </w:pPr>
            <w:r>
              <w:rPr>
                <w:rFonts w:ascii="Calibri" w:hAnsi="Calibri"/>
                <w:color w:val="1E293B"/>
                <w:sz w:val="19"/>
              </w:rPr>
              <w:t>Full MatchNexa (DeBERTa + Singleton Filter tau=0.74)</w:t>
            </w:r>
          </w:p>
        </w:tc>
        <w:tc>
          <w:tcPr>
            <w:tcW w:type="dxa" w:w="1584"/>
            <w:shd w:fill="FFFFFF"/>
            <w:tcMar>
              <w:top w:w="100" w:type="dxa"/>
              <w:bottom w:w="100" w:type="dxa"/>
              <w:left w:w="120" w:type="dxa"/>
              <w:right w:w="120" w:type="dxa"/>
            </w:tcMar>
          </w:tcPr>
          <w:p>
            <w:pPr>
              <w:jc w:val="center"/>
            </w:pPr>
            <w:r>
              <w:rPr>
                <w:rFonts w:ascii="Calibri" w:hAnsi="Calibri"/>
                <w:color w:val="1E293B"/>
                <w:sz w:val="19"/>
              </w:rPr>
              <w:t>91.2%</w:t>
            </w:r>
          </w:p>
        </w:tc>
        <w:tc>
          <w:tcPr>
            <w:tcW w:type="dxa" w:w="1584"/>
            <w:shd w:fill="FFFFFF"/>
            <w:tcMar>
              <w:top w:w="100" w:type="dxa"/>
              <w:bottom w:w="100" w:type="dxa"/>
              <w:left w:w="120" w:type="dxa"/>
              <w:right w:w="120" w:type="dxa"/>
            </w:tcMar>
          </w:tcPr>
          <w:p>
            <w:pPr>
              <w:jc w:val="center"/>
            </w:pPr>
            <w:r>
              <w:rPr>
                <w:rFonts w:ascii="Calibri" w:hAnsi="Calibri"/>
                <w:color w:val="1E293B"/>
                <w:sz w:val="19"/>
              </w:rPr>
              <w:t>78.6%</w:t>
            </w:r>
          </w:p>
        </w:tc>
        <w:tc>
          <w:tcPr>
            <w:tcW w:type="dxa" w:w="1584"/>
            <w:shd w:fill="FFFFFF"/>
            <w:tcMar>
              <w:top w:w="100" w:type="dxa"/>
              <w:bottom w:w="100" w:type="dxa"/>
              <w:left w:w="120" w:type="dxa"/>
              <w:right w:w="120" w:type="dxa"/>
            </w:tcMar>
          </w:tcPr>
          <w:p>
            <w:pPr>
              <w:jc w:val="center"/>
            </w:pPr>
            <w:r>
              <w:rPr>
                <w:rFonts w:ascii="Calibri" w:hAnsi="Calibri"/>
                <w:color w:val="1E293B"/>
                <w:sz w:val="19"/>
              </w:rPr>
              <w:t>0.844</w:t>
            </w:r>
          </w:p>
        </w:tc>
        <w:tc>
          <w:tcPr>
            <w:tcW w:type="dxa" w:w="1728"/>
            <w:shd w:fill="FFFFFF"/>
            <w:tcMar>
              <w:top w:w="100" w:type="dxa"/>
              <w:bottom w:w="100" w:type="dxa"/>
              <w:left w:w="120" w:type="dxa"/>
              <w:right w:w="120" w:type="dxa"/>
            </w:tcMar>
          </w:tcPr>
          <w:p>
            <w:pPr>
              <w:jc w:val="center"/>
            </w:pPr>
            <w:r>
              <w:rPr>
                <w:rFonts w:ascii="Calibri" w:hAnsi="Calibri"/>
                <w:color w:val="1E293B"/>
                <w:sz w:val="19"/>
              </w:rPr>
              <w:t>0.8842</w:t>
            </w:r>
          </w:p>
        </w:tc>
      </w:tr>
    </w:tbl>
    <w:p>
      <w:pPr>
        <w:spacing w:after="160"/>
      </w:pPr>
    </w:p>
    <w:p>
      <w:pPr>
        <w:pStyle w:val="Heading1"/>
      </w:pPr>
      <w:r>
        <w:t>5. Regulatory Compliance: Zero External API Invocations</w:t>
      </w:r>
    </w:p>
    <w:p>
      <w:pPr>
        <w:spacing w:line="276" w:lineRule="auto"/>
      </w:pPr>
      <w:r>
        <w:t>In strict adherence to Rule 4 of the competition guidelines, MatchNexa executes 100% locally and offline. No external geocoding services (Google Maps, Nominatim), no commercial business directories (Dun &amp; Bradstreet, ZoomInfo), and no closed-source LLM APIs (OpenAI, Anthropic) were invoked during training or inference. All embeddings, tokens, and similarity models run entirely within the allocated offline compute environment.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