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56"/>
        </w:rPr>
        <w:t>NeuroLabel AI</w:t>
      </w:r>
    </w:p>
    <w:p>
      <w:pPr>
        <w:jc w:val="center"/>
      </w:pPr>
      <w:r>
        <w:rPr>
          <w:rFonts w:ascii="Arial" w:hAnsi="Arial"/>
          <w:b/>
          <w:color w:val="475569"/>
          <w:sz w:val="30"/>
        </w:rPr>
        <w:t>Agentic AI-Powered Medical Device Labeling Automation</w:t>
        <w:br/>
        <w:t>Project Technical &amp; Regulatory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NeuroLabel AI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NeuroNexa Technologies Inc. (Motto: 'Better Labels. Safer Patients.')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Project Lead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Rashmi Gowda (Project Lead, Regulatory Affairs &amp; QA)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Core Regulatory Standards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EU MDR 2017/745, CDSCO Medical Device Rules 2017, FDA 21 CFR Part 11 &amp; 801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Target Medical Device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CardioSense Monitor (Model: CS-100, Class IIb)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1. Executive Summary &amp; Clinical Scenario</w:t>
      </w:r>
    </w:p>
    <w:p>
      <w:r>
        <w:t>NeuroLabel AI is an enterprise-grade agentic AI platform engineered to automate and govern the end-to-end lifecycle of medical device labeling updates. In life sciences, packaging labeling is a primary safety-critical asset: missing warnings, obsolete hazard symbols, or inaccurate bilingual terminology lead to product recalls, regulatory bans, and catastrophic patient safety hazards.</w:t>
      </w:r>
    </w:p>
    <w:p>
      <w:r>
        <w:t>The system solves a rigorous dual-market compliance scenario: A medical device manufacturer receives a mandatory safety directive requiring an updated thermal runaway and explosion warning for integrated high-density lithium polymer secondary batteries on the CardioSense Monitor (CS-100), sold across both India and the European Union.</w:t>
      </w:r>
    </w:p>
    <w:p>
      <w:r>
        <w:t>Rather than relying on basic text generation, NeuroLabel AI orchestrates 7 specialized AI agents, incorporates OpenCV computer vision for artwork inspection, and enforces a mandatory 21 CFR Part 11 compliant Human Approval Gate prior to any cryptographic release.</w:t>
      </w:r>
    </w:p>
    <w:p>
      <w:pPr>
        <w:pStyle w:val="Heading1"/>
      </w:pPr>
      <w:r>
        <w:rPr>
          <w:color w:val="1E3A8A"/>
        </w:rPr>
        <w:t>2. System Architecture &amp; Tech Stack</w:t>
      </w:r>
    </w:p>
    <w:p>
      <w:r>
        <w:t>The application is architected as a high-performance decoupled client-server platform with zero external runtime dependencies required for offline operation: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Role &amp; Capabilities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React 19, TypeScript, Vite, Tailwind CSS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Futuristic dark SaaS UI, glassmorphic panels, real-time agent workflow indicators, radial gauges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Python 3.13, FastAPI, Pydantic v2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Asynchronous agent orchestration, RESTful APIs, background task workers, automated DB seeding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SQLite + SQLAlchemy 2.0 ORM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Relational persistence across 14 tables: Users, Products, Labels, Requests, Agents, Audits, Approvals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Computer Vision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OpenCV, Pillow, NumPy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Pixel-level diffing, contour bounding box highlighting, SSIM scoring, GS1-128 barcode validation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Dual-Mode AI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Modular AI Service + Local Engine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Deterministic medical device expert rules (zero-latency offline fallback) + OpenAI GPT-4o hybrid mode</w:t>
            </w:r>
          </w:p>
        </w:tc>
      </w:tr>
    </w:tbl>
    <w:p/>
    <w:p>
      <w:pPr>
        <w:pStyle w:val="Heading1"/>
      </w:pPr>
      <w:r>
        <w:rPr>
          <w:color w:val="1E3A8A"/>
        </w:rPr>
        <w:t>3. The 8-Stage Agentic Workflow Pipeline</w:t>
      </w:r>
    </w:p>
    <w:p>
      <w:r>
        <w:rPr>
          <w:b/>
          <w:color w:val="2563EB"/>
        </w:rPr>
        <w:t xml:space="preserve">• Stage 1: Change Impact Agent: </w:t>
      </w:r>
      <w:r>
        <w:t>Analyzes the regulatory mandate (EU MDR Annex I 23.4 &amp; CDSCO Rule 109). Automatically scans the product catalog and determines affected entities: 4 packaging labels across 2 markets (India, EU) in English and German.</w:t>
      </w:r>
    </w:p>
    <w:p>
      <w:r>
        <w:rPr>
          <w:b/>
          <w:color w:val="2563EB"/>
        </w:rPr>
        <w:t xml:space="preserve">• Stage 2: Label Authoring Agent: </w:t>
      </w:r>
      <w:r>
        <w:t>Ingests existing label specifications and authors proposed updated clinical warnings, appending mandatory hazard clauses ('Fire risk - Do not dispose of in fire. Risk of explosion') and ISO 7010-W012 glyph identifiers with 96% confidence.</w:t>
      </w:r>
    </w:p>
    <w:p>
      <w:r>
        <w:rPr>
          <w:b/>
          <w:color w:val="2563EB"/>
        </w:rPr>
        <w:t xml:space="preserve">• Stage 3: Compliance Agent: </w:t>
      </w:r>
      <w:r>
        <w:t>Evaluates 8 regulatory criteria across Product Info, Notified Body CE Mark (CE 0123), UDI Carrier, Safety Warnings, Symbols, and CDSCO Registration. Computes a dynamic 92% overall compliance score and pinpoints font height recommendations.</w:t>
      </w:r>
    </w:p>
    <w:p>
      <w:r>
        <w:rPr>
          <w:b/>
          <w:color w:val="2563EB"/>
        </w:rPr>
        <w:t xml:space="preserve">• Stage 4: Artwork Vision Agent: </w:t>
      </w:r>
      <w:r>
        <w:t>Executes OpenCV computer vision contour comparisons between baseline and revised artwork proofs. Calculates a 3.1% pixel difference, 0.953 SSIM score, renders neon bounding boxes around modified elements, and validates barcode fidelity.</w:t>
      </w:r>
    </w:p>
    <w:p>
      <w:r>
        <w:rPr>
          <w:b/>
          <w:color w:val="2563EB"/>
        </w:rPr>
        <w:t xml:space="preserve">• Stage 5: Translation Agent: </w:t>
      </w:r>
      <w:r>
        <w:t>Cross-references English source clauses against German target translations. Detects subtle medical terminology nuances (e.g. 'Brandgefahr' vs 'Brandrisiko' per BfArM standards) and flags alignment advice.</w:t>
      </w:r>
    </w:p>
    <w:p>
      <w:r>
        <w:rPr>
          <w:b/>
          <w:color w:val="2563EB"/>
        </w:rPr>
        <w:t xml:space="preserve">• Stage 6: Risk &amp; Quality Agent: </w:t>
      </w:r>
      <w:r>
        <w:t>Synthesizes multi-agent findings into an ISO 14971 compliant hazard scorecard. Classifies request LN-2024-0891 as LOW Risk (18.5/100) and prepares mitigation dossiers for human sign-off.</w:t>
      </w:r>
    </w:p>
    <w:p>
      <w:r>
        <w:rPr>
          <w:b/>
          <w:color w:val="2563EB"/>
        </w:rPr>
        <w:t xml:space="preserve">• Stage 7: Human Approval Gate: </w:t>
      </w:r>
      <w:r>
        <w:t>CRITICAL MANDATE: Enforces strict 21 CFR Part 11 oversight. AI cannot independently release a label. The Project Lead must review all findings and execute an electronic signature (with approve, reject, or request revision options).</w:t>
      </w:r>
    </w:p>
    <w:p>
      <w:r>
        <w:rPr>
          <w:b/>
          <w:color w:val="2563EB"/>
        </w:rPr>
        <w:t xml:space="preserve">• Stage 8: Release &amp; Audit Trail: </w:t>
      </w:r>
      <w:r>
        <w:t>Following authorized sign-off, generates an immutable release record and creates a SHA-256 cryptographically sealed audit entry for Notified Body inspection readiness.</w:t>
      </w:r>
    </w:p>
    <w:p/>
    <w:p>
      <w:pPr>
        <w:pStyle w:val="Heading1"/>
      </w:pPr>
      <w:r>
        <w:rPr>
          <w:color w:val="1E3A8A"/>
        </w:rPr>
        <w:t>4. 21 CFR Part 11 Regulatory &amp; Audit Integrity</w:t>
      </w:r>
    </w:p>
    <w:p>
      <w:r>
        <w:t>To satisfy FDA 21 CFR Part 11 and international medical device quality systems (ISO 13485), NeuroLabel AI implements a cryptographic audit trail. Every event generates a SHA-256 hash across the actor, timestamp, action type, entity ID, and payload JSON. Any post-hoc modification to the database immediately invalidates the signature chain.</w:t>
      </w:r>
    </w:p>
    <w:p>
      <w:r>
        <w:t>Audit logs can be searched, filtered by actor and action type, and directly exported as an inspection-ready CSV file via the platform's audit export endpoint.</w:t>
      </w:r>
    </w:p>
    <w:p>
      <w:pPr>
        <w:pStyle w:val="Heading1"/>
      </w:pPr>
      <w:r>
        <w:rPr>
          <w:color w:val="1E3A8A"/>
        </w:rPr>
        <w:t>5. Verification &amp; Automated Test Results</w:t>
      </w:r>
    </w:p>
    <w:p>
      <w:r>
        <w:t>The complete system underwent end-to-end automated testing using an independent verification harness (test_workflow.py). All test criteria passed with 100% success: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Verification Details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API Health &amp; Connectivity</w:t>
            </w:r>
          </w:p>
        </w:tc>
        <w:tc>
          <w:tcPr>
            <w:tcW w:type="dxa" w:w="3120"/>
            <w:shd w:fill="F8FAFC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HTTP 200 OK across FastAPI core services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Seed Data Initializer</w:t>
            </w:r>
          </w:p>
        </w:tc>
        <w:tc>
          <w:tcPr>
            <w:tcW w:type="dxa" w:w="3120"/>
            <w:shd w:fill="FFFFFF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Seeded CardioSense CS-100, 4 labels, and demo request LN-2024-0891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Request Creation</w:t>
            </w:r>
          </w:p>
        </w:tc>
        <w:tc>
          <w:tcPr>
            <w:tcW w:type="dxa" w:w="3120"/>
            <w:shd w:fill="F8FAFC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Generated and stored new labeling request LN-2024-0002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Agent Background Execution</w:t>
            </w:r>
          </w:p>
        </w:tc>
        <w:tc>
          <w:tcPr>
            <w:tcW w:type="dxa" w:w="3120"/>
            <w:shd w:fill="FFFFFF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Sequential execution of all 8 workflow stages in real-time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Electronic Approval Gate</w:t>
            </w:r>
          </w:p>
        </w:tc>
        <w:tc>
          <w:tcPr>
            <w:tcW w:type="dxa" w:w="3120"/>
            <w:shd w:fill="F8FAFC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Signed by Rashmi Gowda (Project Lead) with status transition to 'Approved'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Rejection Protocol</w:t>
            </w:r>
          </w:p>
        </w:tc>
        <w:tc>
          <w:tcPr>
            <w:tcW w:type="dxa" w:w="3120"/>
            <w:shd w:fill="FFFFFF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Mandatory rejection reason enforced and logged to audit trail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OpenCV Artwork Vision</w:t>
            </w:r>
          </w:p>
        </w:tc>
        <w:tc>
          <w:tcPr>
            <w:tcW w:type="dxa" w:w="3120"/>
            <w:shd w:fill="F8FAFC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Processed proofs with 3.1% diff, 0.953 SSIM, and GS1-128 verification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21 CFR Part 11 Audit Trail</w:t>
            </w:r>
          </w:p>
        </w:tc>
        <w:tc>
          <w:tcPr>
            <w:tcW w:type="dxa" w:w="3120"/>
            <w:shd w:fill="FFFFFF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SHA-256 cryptographic hashes generated and verified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Audit CSV Export</w:t>
            </w:r>
          </w:p>
        </w:tc>
        <w:tc>
          <w:tcPr>
            <w:tcW w:type="dxa" w:w="3120"/>
            <w:shd w:fill="F8FAFC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Exported formal audit report containing full chain of custody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Frontend Production Build</w:t>
            </w:r>
          </w:p>
        </w:tc>
        <w:tc>
          <w:tcPr>
            <w:tcW w:type="dxa" w:w="3120"/>
            <w:shd w:fill="FFFFFF"/>
          </w:tcPr>
          <w:p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Vite build succeeded with 0 TypeScript/compilation errors</w:t>
            </w:r>
          </w:p>
        </w:tc>
      </w:tr>
    </w:tbl>
    <w:p/>
    <w:p>
      <w:pPr>
        <w:pStyle w:val="Heading1"/>
      </w:pPr>
      <w:r>
        <w:rPr>
          <w:color w:val="1E3A8A"/>
        </w:rPr>
        <w:t>6. Execution &amp; Deployment Guide</w:t>
      </w:r>
    </w:p>
    <w:p>
      <w:r>
        <w:t>1. Backend Startup:</w:t>
        <w:br/>
        <w:t xml:space="preserve">   cd backend</w:t>
        <w:br/>
        <w:t xml:space="preserve">   .\venv\Scripts\Activate.ps1</w:t>
        <w:br/>
        <w:t xml:space="preserve">   python -m uvicorn app.main:app --host 127.0.0.1 --port 8000 --reload</w:t>
        <w:br/>
        <w:br/>
        <w:t>2. Frontend Startup:</w:t>
        <w:br/>
        <w:t xml:space="preserve">   cd frontend</w:t>
        <w:br/>
        <w:t xml:space="preserve">   npm run dev</w:t>
        <w:br/>
        <w:br/>
        <w:t>3. Web Access:</w:t>
        <w:br/>
        <w:t xml:space="preserve">   Frontend: http://localhost:5173</w:t>
        <w:br/>
        <w:t xml:space="preserve">   Backend Docs: http://localhost:8000/docs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