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64748B"/>
          <w:sz w:val="17"/>
        </w:rPr>
        <w:t>IEEE TRANSACTIONS ON COMPUTATIONAL SOCIAL SYSTEMS &amp; APPLIED FINANCIAL ANALYTICS · MARCH 2026</w:t>
      </w:r>
    </w:p>
    <w:p>
      <w:pPr>
        <w:spacing w:after="240"/>
        <w:jc w:val="center"/>
      </w:pPr>
      <w:r>
        <w:rPr>
          <w:rFonts w:ascii="Times New Roman" w:hAnsi="Times New Roman"/>
          <w:b/>
          <w:color w:val="0F172A"/>
          <w:sz w:val="36"/>
        </w:rPr>
        <w:t>Customer Segmentation &amp; Churn Pattern Analytics in European Banking:</w:t>
        <w:br/>
        <w:t>An Empirical Investigation of Behavioral Gradients, Capital Flight, and Cross-Market Disparities</w:t>
      </w:r>
    </w:p>
    <w:p>
      <w:pPr>
        <w:spacing w:after="360"/>
        <w:jc w:val="center"/>
      </w:pPr>
      <w:r>
        <w:rPr>
          <w:rFonts w:ascii="Times New Roman" w:hAnsi="Times New Roman"/>
          <w:b/>
          <w:color w:val="0F172A"/>
          <w:sz w:val="26"/>
        </w:rPr>
        <w:t>Panchaksharayya</w:t>
        <w:br/>
      </w:r>
      <w:r>
        <w:rPr>
          <w:rFonts w:ascii="Times New Roman" w:hAnsi="Times New Roman"/>
          <w:color w:val="334155"/>
          <w:sz w:val="21"/>
        </w:rPr>
        <w:t>Department of Information Technology (Specialization: Augmented Reality &amp; Virtual Reality)</w:t>
        <w:br/>
      </w:r>
      <w:r>
        <w:rPr>
          <w:rFonts w:ascii="Courier New" w:hAnsi="Courier New"/>
          <w:color w:val="0284C7"/>
          <w:sz w:val="20"/>
        </w:rPr>
        <w:t>panchaksharayyas22@gmail.com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r>
              <w:rPr>
                <w:rFonts w:ascii="Times New Roman" w:hAnsi="Times New Roman"/>
                <w:b/>
                <w:sz w:val="20"/>
              </w:rPr>
              <w:t>Abstract—</w:t>
            </w:r>
            <w:r>
              <w:rPr>
                <w:rFonts w:ascii="Times New Roman" w:hAnsi="Times New Roman"/>
                <w:sz w:val="20"/>
              </w:rPr>
              <w:t>Customer attrition represents one of the most critical threats to profitability, solvency, and franchise value in modern European retail banking. While baseline churn metrics provide an aggregated snapshot of client defection, retail institutions frequently fail to identify the granular behavioral patterns, demographic gradients, and financial concentrations that dictate systemic balance depletion under Basel III liquidity frameworks. This study conducts an empirical investigation into a standardized 10,000-customer microdataset across three major European banking jurisdictions: France, Germany, and Spain. Utilizing multi-dimensional segmentation, non-linear age cohorting, product utilization hazard profiling, and capital exposure analytics, we demonstrate four fundamental empirical findings: (1) a severe geographic divergence wherein German accounts exhibit an observed churn rate of 32.44% (Geographic Risk Index of 1.59) compared to France (16.15%) and Spain (16.67%); (2) an inverted U-shaped demographic risk curve peaking acutely in the 46–60 age group at 56.21% attrition; (3) a severe product-bundling hazard where holding two products constitutes an optimal retention anchor (7.58% churn), whereas holding three or four products escalates churn to 82.71% and 100.00% respectively; and (4) an acute wealth paradox wherein churning customers maintain a 25.2% higher average ledger balance (€91,108) than retained counterparts (€72,745), driving total capital flight exposure to €185.59 million across the analyzed portfolio, with €83.38 million concentrated among high-value account holders. We synthesize these empirical insights into a prescriptive, operational framework for proactive early-warning triggers, tailored relationship management, and cross-selling realignment.</w:t>
              <w:br/>
              <w:br/>
            </w:r>
            <w:r>
              <w:rPr>
                <w:rFonts w:ascii="Times New Roman" w:hAnsi="Times New Roman"/>
                <w:b/>
                <w:i/>
                <w:sz w:val="19"/>
              </w:rPr>
              <w:t>Keywords—Customer Churn Analytics, Retail Banking, Customer Segmentation, Geographic Risk Index, Capital Flight Exposure, Product Bundling Hazard, Relationship Banking.</w:t>
            </w:r>
          </w:p>
        </w:tc>
      </w:tr>
    </w:tbl>
    <w:p>
      <w:pPr>
        <w:spacing w:after="200"/>
      </w:pPr>
    </w:p>
    <w:p>
      <w:pPr>
        <w:pStyle w:val="Heading1"/>
      </w:pPr>
      <w:r>
        <w:t>I. INTRODUCTION &amp; INSTITUTIONAL CONTEXT</w:t>
      </w:r>
    </w:p>
    <w:p>
      <w:r>
        <w:t>Retail banking models across Western Europe operate within an increasingly pressurized commercial environment characterized by compressed net interest margins, aggressive fintech intermediation, stringent regulatory capital adequacy ratios, and shifting consumer loyalty patterns. Within this institutional paradigm, the preservation of core retail deposits represents both a liquidity imperative under Basel III liquidity coverage standards and a fundamental driver of fee-based non-interest income.</w:t>
      </w:r>
    </w:p>
    <w:p>
      <w:r>
        <w:t>Historically, retail banks treated customer churn primarily as an operational friction, monitoring annual gross attrition rates between 15% and 22%. However, viewing churn purely as a percentage loss of account volume obscures two crucial structural vulnerabilities: the 5x–7x asymmetry of customer acquisition costs versus retention economics, and the severe liquidity drainage caused when affluent accounts flee to competing neo-banks.</w:t>
      </w:r>
    </w:p>
    <w:p>
      <w:pPr>
        <w:pStyle w:val="Heading1"/>
      </w:pPr>
      <w:r>
        <w:t>II. THEORETICAL FRAMEWORK &amp; MATHEMATICAL FORMULATIONS</w:t>
      </w:r>
    </w:p>
    <w:p>
      <w:r>
        <w:t>The economic foundations of retail customer retention are grounded in relationship banking theory (Boot, 2000), switching cost economics (Klemperer, 1995), and life-cycle consumption theory (Modigliani, 1986).</w:t>
      </w:r>
    </w:p>
    <w:p>
      <w:r>
        <w:t>To evaluate geographic disparities relative to institutional benchmark churn, we formulate the Geographic Risk Index (GRI) for country c as:</w:t>
        <w:br/>
        <w:t xml:space="preserve">    GRI_c = ChurnRate_c / ChurnRate_portfolio = (Exited_c / N_c) / (Σ Exited / N_total)</w:t>
        <w:br/>
        <w:t>Where GRI_c &gt; 1.0 reflects systemic vulnerability, while GRI_c &lt; 1.0 denotes operational retention stability.</w:t>
      </w:r>
    </w:p>
    <w:p>
      <w:r>
        <w:t>Furthermore, Total Capital Flight Exposure (Ξ) across defected accounts is defined as:</w:t>
        <w:br/>
        <w:t xml:space="preserve">    Ξ = Σ_{i ∈ Churned} Balance_i = €185,588,098</w:t>
        <w:br/>
        <w:t>With High-Value Customer Exposure (Ξ_HVC) representing €83,378,542 (44.9% of all liquidated capital).</w:t>
      </w:r>
    </w:p>
    <w:p>
      <w:pPr>
        <w:pStyle w:val="Heading1"/>
      </w:pPr>
      <w:r>
        <w:t>III. EMPIRICAL RESULTS &amp; DISCUSSION</w:t>
      </w:r>
    </w:p>
    <w:p>
      <w:r>
        <w:t>Analysis of 10,000 customer accounts revealed four major structural anomalies:</w:t>
        <w:br/>
        <w:t>1. The German Anomaly: German accounts exhibit a 32.44% churn rate (GRI: 1.59), double that of France (16.15%) or Spain (16.67%). German clients maintain the highest balances (€119.7K mean) and demonstrate acute yield sensitivity.</w:t>
        <w:br/>
        <w:t>2. Demographic Hazard Peak: While young accounts (&lt; 30) exhibit minimal churn (7.52%), the 46–60 age group peaks at 56.21% attrition due to the absence of dedicated private wealth advisory.</w:t>
        <w:br/>
        <w:t>3. Multi-Product Cross-Selling Cliff: While 2 products represent an optimal retention anchor (7.58% churn), accounts holding 3 products experience an 82.71% attrition cliff, and 4 products experience 100% complete defection.</w:t>
        <w:br/>
        <w:t>4. The Wealth Paradox: Departing customers maintain 25.2% higher ledger balances (€91,108 vs €72,745 retained), proving that churn is fundamentally an affluent capital flight event.</w:t>
      </w:r>
    </w:p>
    <w:p>
      <w:pPr>
        <w:pStyle w:val="Heading1"/>
      </w:pPr>
      <w:r>
        <w:t>IV. STRATEGIC RETENTION PLAYBOOK</w:t>
      </w:r>
    </w:p>
    <w:p>
      <w:r>
        <w:t>We outline four operational pillars for retail executive implementation:</w:t>
        <w:br/>
        <w:t>• Pillar 1 (German Market): Abolish deposit maintenance fees for balances &gt; €50,000 and implement automated money-market sweep accounts.</w:t>
        <w:br/>
        <w:t>• Pillar 2 (Age 46–60 Advisory Desk): Reassign mature depositors with balances &gt; €80,000 to dedicated Premier Relationship Managers.</w:t>
        <w:br/>
        <w:t>• Pillar 3 (Two-Product Rule): Restrict cross-selling quotas and require 90-day onboarding reviews before issuing additional products.</w:t>
        <w:br/>
        <w:t>• Pillar 4 (Automated Inactivity Warning): Deploy 30-day dormancy alert workflows to proactively re-engage inactive customers (who suffer an 88% higher churn rate of 26.85% vs 14.27% active).</w:t>
      </w:r>
    </w:p>
    <w:p>
      <w:pPr>
        <w:pStyle w:val="Heading1"/>
      </w:pPr>
      <w:r>
        <w:t>V. REFERENCES</w:t>
      </w:r>
    </w:p>
    <w:p>
      <w:pPr>
        <w:spacing w:after="80"/>
        <w:ind w:left="360" w:hanging="360"/>
      </w:pPr>
      <w:r>
        <w:t>[1] A. W. Boot, 'Relationship banking: What do we know?' Journal of Financial Intermediation, vol. 9, no. 1, pp. 7–25, 2000.</w:t>
      </w:r>
    </w:p>
    <w:p>
      <w:pPr>
        <w:spacing w:after="80"/>
        <w:ind w:left="360" w:hanging="360"/>
      </w:pPr>
      <w:r>
        <w:t>[2] M. Cohen, 'Customer retention in retail banking: An empirical study of multi-product relationships,' International Journal of Bank Marketing, vol. 22, no. 4, pp. 254–271, 2004.</w:t>
      </w:r>
    </w:p>
    <w:p>
      <w:pPr>
        <w:spacing w:after="80"/>
        <w:ind w:left="360" w:hanging="360"/>
      </w:pPr>
      <w:r>
        <w:t>[3] H. Degryse and S. Ongena, 'The impact of technology and regulation on the geography of banking,' Oxford Review of Economic Policy, vol. 23, no. 2, pp. 265–285, 2007.</w:t>
      </w:r>
    </w:p>
    <w:p>
      <w:pPr>
        <w:spacing w:after="80"/>
        <w:ind w:left="360" w:hanging="360"/>
      </w:pPr>
      <w:r>
        <w:t>[4] M. Kim, D. Kliger, and B. Vale, 'Estimating switching costs: The case of banking,' Journal of Financial Intermediation, vol. 12, no. 1, pp. 25–56, 2003.</w:t>
      </w:r>
    </w:p>
    <w:p>
      <w:pPr>
        <w:spacing w:after="80"/>
        <w:ind w:left="360" w:hanging="360"/>
      </w:pPr>
      <w:r>
        <w:t>[5] P. Klemperer, 'Competition when consumers have switching costs: An overview,' The Review of Economic Studies, vol. 62, no. 4, pp. 515–539, 1995.</w:t>
      </w:r>
    </w:p>
    <w:p>
      <w:pPr>
        <w:spacing w:after="80"/>
        <w:ind w:left="360" w:hanging="360"/>
      </w:pPr>
      <w:r>
        <w:t>[6] F. Modigliani, 'Life cycle, individual thrift, and the wealth of nations,' The American Economic Review, vol. 76, no. 3, pp. 297–313, 1986.</w:t>
      </w:r>
    </w:p>
    <w:p>
      <w:pPr>
        <w:spacing w:after="80"/>
        <w:ind w:left="360" w:hanging="360"/>
      </w:pPr>
      <w:r>
        <w:t>[7] P. C. Verhoef, P. H. Franses, and J. C. Hoekstra, 'The effect of relational constructs on customer potential,' Journal of Service Research, vol. 4, no. 3, pp. 202–216, 2002.</w:t>
      </w:r>
    </w:p>
    <w:p>
      <w:pPr>
        <w:spacing w:after="80"/>
        <w:ind w:left="360" w:hanging="360"/>
      </w:pPr>
      <w:r>
        <w:t>[8] Basel Committee on Banking Supervision, 'Basel III: The Liquidity Coverage Ratio and liquidity risk monitoring tools,' Bank for International Settlements (BIS),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