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284C7"/>
          <w:sz w:val="18"/>
        </w:rPr>
        <w:t>ENTERPRISE TECHNICAL CONSULTING DELIVERABLE · PRODUCTION RELEASE v1.0</w:t>
      </w:r>
    </w:p>
    <w:p>
      <w:pPr>
        <w:spacing w:after="160"/>
      </w:pPr>
      <w:r>
        <w:rPr>
          <w:rFonts w:ascii="Calibri" w:hAnsi="Calibri"/>
          <w:b/>
          <w:color w:val="0B192C"/>
          <w:sz w:val="52"/>
        </w:rPr>
        <w:t>Customer Segmentation &amp; Churn Pattern Analytics in European Banking</w:t>
      </w:r>
    </w:p>
    <w:p>
      <w:pPr>
        <w:spacing w:after="360"/>
      </w:pPr>
      <w:r>
        <w:rPr>
          <w:rFonts w:ascii="Calibri" w:hAnsi="Calibri"/>
          <w:i/>
          <w:color w:val="64748B"/>
          <w:sz w:val="26"/>
        </w:rPr>
        <w:t>An End-to-End Quantitative Intelligence Engine for Core Deposit Retention &amp; Capital Risk Management across 10,000 Retail Banking Accounts</w:t>
      </w:r>
    </w:p>
    <w:tbl>
      <w:tblPr>
        <w:tblW w:type="auto" w:w="0"/>
        <w:jc w:val="center"/>
        <w:tblLayout w:type="fixed"/>
        <w:tblLook w:firstColumn="1" w:firstRow="1" w:lastColumn="0" w:lastRow="0" w:noHBand="0" w:noVBand="1" w:val="04A0"/>
      </w:tblPr>
      <w:tblGrid>
        <w:gridCol w:w="4680"/>
        <w:gridCol w:w="4680"/>
      </w:tblGrid>
      <w:tr>
        <w:tc>
          <w:tcPr>
            <w:tcW w:type="dxa" w:w="3312"/>
            <w:shd w:fill="0F172A"/>
            <w:tcMar>
              <w:top w:w="80" w:type="dxa"/>
              <w:bottom w:w="80" w:type="dxa"/>
              <w:left w:w="120" w:type="dxa"/>
              <w:right w:w="120" w:type="dxa"/>
            </w:tcMar>
          </w:tcPr>
          <w:p>
            <w:pPr>
              <w:spacing w:after="0"/>
            </w:pPr>
            <w:r>
              <w:rPr>
                <w:rFonts w:ascii="Arial" w:hAnsi="Arial"/>
                <w:b/>
                <w:color w:val="38BDF8"/>
                <w:sz w:val="20"/>
              </w:rPr>
              <w:t>Lead Researcher &amp; Architect:</w:t>
            </w:r>
          </w:p>
        </w:tc>
        <w:tc>
          <w:tcPr>
            <w:tcW w:type="dxa" w:w="6048"/>
            <w:shd w:fill="F8FAFC"/>
            <w:tcMar>
              <w:top w:w="80" w:type="dxa"/>
              <w:bottom w:w="80" w:type="dxa"/>
              <w:left w:w="120" w:type="dxa"/>
              <w:right w:w="120" w:type="dxa"/>
            </w:tcMar>
          </w:tcPr>
          <w:p>
            <w:pPr>
              <w:spacing w:after="0"/>
            </w:pPr>
            <w:r>
              <w:rPr>
                <w:rFonts w:ascii="Calibri" w:hAnsi="Calibri"/>
                <w:b/>
                <w:color w:val="0B192C"/>
                <w:sz w:val="21"/>
              </w:rPr>
              <w:t>Panchaksharayya</w:t>
            </w:r>
          </w:p>
        </w:tc>
      </w:tr>
      <w:tr>
        <w:tc>
          <w:tcPr>
            <w:tcW w:type="dxa" w:w="3312"/>
            <w:shd w:fill="0F172A"/>
            <w:tcMar>
              <w:top w:w="80" w:type="dxa"/>
              <w:bottom w:w="80" w:type="dxa"/>
              <w:left w:w="120" w:type="dxa"/>
              <w:right w:w="120" w:type="dxa"/>
            </w:tcMar>
          </w:tcPr>
          <w:p>
            <w:pPr>
              <w:spacing w:after="0"/>
            </w:pPr>
            <w:r>
              <w:rPr>
                <w:rFonts w:ascii="Arial" w:hAnsi="Arial"/>
                <w:b/>
                <w:color w:val="38BDF8"/>
                <w:sz w:val="20"/>
              </w:rPr>
              <w:t>Academic Degree &amp; Specialization:</w:t>
            </w:r>
          </w:p>
        </w:tc>
        <w:tc>
          <w:tcPr>
            <w:tcW w:type="dxa" w:w="6048"/>
            <w:shd w:fill="F8FAFC"/>
            <w:tcMar>
              <w:top w:w="80" w:type="dxa"/>
              <w:bottom w:w="80" w:type="dxa"/>
              <w:left w:w="120" w:type="dxa"/>
              <w:right w:w="120" w:type="dxa"/>
            </w:tcMar>
          </w:tcPr>
          <w:p>
            <w:pPr>
              <w:spacing w:after="0"/>
            </w:pPr>
            <w:r>
              <w:rPr>
                <w:rFonts w:ascii="Calibri" w:hAnsi="Calibri"/>
                <w:b w:val="0"/>
                <w:color w:val="0B192C"/>
                <w:sz w:val="21"/>
              </w:rPr>
              <w:t>B.Tech Student, Information Technology (Specialization: Augmented Reality &amp; Virtual Reality)</w:t>
            </w:r>
          </w:p>
        </w:tc>
      </w:tr>
      <w:tr>
        <w:tc>
          <w:tcPr>
            <w:tcW w:type="dxa" w:w="3312"/>
            <w:shd w:fill="0F172A"/>
            <w:tcMar>
              <w:top w:w="80" w:type="dxa"/>
              <w:bottom w:w="80" w:type="dxa"/>
              <w:left w:w="120" w:type="dxa"/>
              <w:right w:w="120" w:type="dxa"/>
            </w:tcMar>
          </w:tcPr>
          <w:p>
            <w:pPr>
              <w:spacing w:after="0"/>
            </w:pPr>
            <w:r>
              <w:rPr>
                <w:rFonts w:ascii="Arial" w:hAnsi="Arial"/>
                <w:b/>
                <w:color w:val="38BDF8"/>
                <w:sz w:val="20"/>
              </w:rPr>
              <w:t>Email Contact:</w:t>
            </w:r>
          </w:p>
        </w:tc>
        <w:tc>
          <w:tcPr>
            <w:tcW w:type="dxa" w:w="6048"/>
            <w:shd w:fill="F8FAFC"/>
            <w:tcMar>
              <w:top w:w="80" w:type="dxa"/>
              <w:bottom w:w="80" w:type="dxa"/>
              <w:left w:w="120" w:type="dxa"/>
              <w:right w:w="120" w:type="dxa"/>
            </w:tcMar>
          </w:tcPr>
          <w:p>
            <w:pPr>
              <w:spacing w:after="0"/>
            </w:pPr>
            <w:r>
              <w:rPr>
                <w:rFonts w:ascii="Calibri" w:hAnsi="Calibri"/>
                <w:b w:val="0"/>
                <w:color w:val="0B192C"/>
                <w:sz w:val="21"/>
              </w:rPr>
              <w:t>panchaksharayyas22@gmail.com</w:t>
            </w:r>
          </w:p>
        </w:tc>
      </w:tr>
      <w:tr>
        <w:tc>
          <w:tcPr>
            <w:tcW w:type="dxa" w:w="3312"/>
            <w:shd w:fill="0F172A"/>
            <w:tcMar>
              <w:top w:w="80" w:type="dxa"/>
              <w:bottom w:w="80" w:type="dxa"/>
              <w:left w:w="120" w:type="dxa"/>
              <w:right w:w="120" w:type="dxa"/>
            </w:tcMar>
          </w:tcPr>
          <w:p>
            <w:pPr>
              <w:spacing w:after="0"/>
            </w:pPr>
            <w:r>
              <w:rPr>
                <w:rFonts w:ascii="Arial" w:hAnsi="Arial"/>
                <w:b/>
                <w:color w:val="38BDF8"/>
                <w:sz w:val="20"/>
              </w:rPr>
              <w:t>Live Web Application URL:</w:t>
            </w:r>
          </w:p>
        </w:tc>
        <w:tc>
          <w:tcPr>
            <w:tcW w:type="dxa" w:w="6048"/>
            <w:shd w:fill="F8FAFC"/>
            <w:tcMar>
              <w:top w:w="80" w:type="dxa"/>
              <w:bottom w:w="80" w:type="dxa"/>
              <w:left w:w="120" w:type="dxa"/>
              <w:right w:w="120" w:type="dxa"/>
            </w:tcMar>
          </w:tcPr>
          <w:p>
            <w:pPr>
              <w:spacing w:after="0"/>
            </w:pPr>
            <w:r>
              <w:rPr>
                <w:rFonts w:ascii="Calibri" w:hAnsi="Calibri"/>
                <w:b w:val="0"/>
                <w:color w:val="0B192C"/>
                <w:sz w:val="21"/>
              </w:rPr>
              <w:t>http://localhost:8501 (Port 8501)</w:t>
            </w:r>
          </w:p>
        </w:tc>
      </w:tr>
    </w:tbl>
    <w:p>
      <w:pPr>
        <w:spacing w:after="240"/>
      </w:pP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pPr>
              <w:spacing w:after="80"/>
            </w:pPr>
            <w:r>
              <w:rPr>
                <w:rFonts w:ascii="Arial" w:hAnsi="Arial"/>
                <w:b/>
                <w:color w:val="0284C7"/>
                <w:sz w:val="22"/>
              </w:rPr>
              <w:t>EXECUTIVE SUMMARY SCORECARD</w:t>
              <w:br/>
            </w:r>
            <w:r>
              <w:rPr>
                <w:rFonts w:ascii="Calibri" w:hAnsi="Calibri"/>
                <w:color w:val="334155"/>
                <w:sz w:val="20"/>
              </w:rPr>
              <w:t>• Total Analyzed Cohort: 10,000 standardized European customer accounts across France, Germany, and Spain.</w:t>
              <w:br/>
              <w:t>• Observed Portfolio Churn: 20.37% (2,037 defected accounts across the institution).</w:t>
              <w:br/>
              <w:t>• Total Balance Flight Exposure: €185,588,098 in liquidated core customer deposits.</w:t>
              <w:br/>
              <w:t>• High-Value Concentration: 691 High-Value Churners accounted for €83.38 Million (44.9% of all lost capital).</w:t>
              <w:br/>
              <w:t>• The German Anomaly: German accounts churn at 32.44% (GRI: 1.59)—exactly double France (16.15%) and Spain (16.67%).</w:t>
              <w:br/>
              <w:t>• Non-Linear Hazards: The 46–60 age group peaks at 56.21% churn; holding 3+ products creates an 82.71% defection cliff.</w:t>
            </w:r>
          </w:p>
        </w:tc>
      </w:tr>
    </w:tbl>
    <w:p>
      <w:pPr>
        <w:pStyle w:val="Heading1"/>
      </w:pPr>
      <w:r>
        <w:t>1. Project Charter &amp; Business Problem Statement</w:t>
      </w:r>
    </w:p>
    <w:p>
      <w:r>
        <w:t>Customer churn in retail banking imposes an enormous, often hidden drag on enterprise profitability. Losing existing depositors triggers three compounded financial penalties:</w:t>
        <w:br/>
        <w:t>1. Destruction of Lifetime Customer Value (LTV): Defecting relationships liquidate future interest spreads, card interchange fees, and investment transaction revenues.</w:t>
        <w:br/>
        <w:t>2. Elevated Replacement Costs: In saturated European banking markets (France, Germany, Spain), acquiring a replacement retail customer costs 5x to 7x more than preserving an existing account.</w:t>
        <w:br/>
        <w:t>3. Severe Liquidity Drainage &amp; Capital Flight: Under Basel III Liquidity Coverage Ratio (LCR) rules, retail core deposits represent the cheapest, most stable tier of capital. When churn is concentrated among mature or affluent depositors, stable deposits vanish, forcing the bank to replace liquidity with expensive wholesale borrowings at 350+ bps higher spreads.</w:t>
      </w:r>
    </w:p>
    <w:p>
      <w:r>
        <w:t>While executive dashboards routinely track aggregate monthly churn percentages, retail leadership teams lack granular segmentation insights needed to isolate specific behavioral gradients. The Pattern Analytics platform was commissioned to bridge this gap through empirical segmentation, quantitative risk formulation, and real-time decision support.</w:t>
      </w:r>
    </w:p>
    <w:p>
      <w:pPr>
        <w:pStyle w:val="Heading1"/>
      </w:pPr>
      <w:r>
        <w:t>2. System Architecture &amp; Technical Stack</w:t>
      </w:r>
    </w:p>
    <w:p>
      <w:r>
        <w:t>The system is engineered as an end-to-end, decoupled analytics pipeline:</w:t>
        <w:br/>
        <w:t>• Data Layer: Normalized PostgreSQL / Supabase schema (sql/schema.sql) with strict domain constraints and 7 pre-computed analytical views for sub-second query performance.</w:t>
        <w:br/>
        <w:t>• Analytic Engine: Modular Python 3.13 libraries (src/data_loader.py, src/preprocessing.py, src/segmentation.py, src/analytics.py) providing vectorized cohort binning, multi-attribute tiering, and exposure calculations.</w:t>
        <w:br/>
        <w:t>• Visualization Layer: High-contrast Plotly Dark charts with customized tooltips, responsive grid layouts, and accessible contrast.</w:t>
        <w:br/>
        <w:t>• Presentation Layer: Streamlit single-page application (dashboard/app.py) with dynamic multi-select filters, floating sticky sub-nav, customer drill-down search, and instant CSV cohort export.</w:t>
      </w:r>
    </w:p>
    <w:p>
      <w:pPr>
        <w:pStyle w:val="Heading1"/>
      </w:pPr>
      <w:r>
        <w:t>3. Key Empirical Findings &amp; Comparative Data</w:t>
      </w:r>
    </w:p>
    <w:p>
      <w:r>
        <w:t>Table 1 summarizes empirical performance across geographic and demographic segments: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0B192C"/>
            <w:tcMar>
              <w:top w:w="100" w:type="dxa"/>
              <w:bottom w:w="100" w:type="dxa"/>
              <w:left w:w="100" w:type="dxa"/>
              <w:right w:w="100" w:type="dxa"/>
            </w:tcMar>
          </w:tcPr>
          <w:p>
            <w:pPr>
              <w:spacing w:after="0"/>
            </w:pPr>
            <w:r>
              <w:rPr>
                <w:rFonts w:ascii="Arial" w:hAnsi="Arial"/>
                <w:b/>
                <w:color w:val="FFFFFF"/>
                <w:sz w:val="19"/>
              </w:rPr>
              <w:t>Segment / Dimension</w:t>
            </w:r>
          </w:p>
        </w:tc>
        <w:tc>
          <w:tcPr>
            <w:tcW w:type="dxa" w:w="1440"/>
            <w:shd w:fill="0B192C"/>
            <w:tcMar>
              <w:top w:w="100" w:type="dxa"/>
              <w:bottom w:w="100" w:type="dxa"/>
              <w:left w:w="100" w:type="dxa"/>
              <w:right w:w="100" w:type="dxa"/>
            </w:tcMar>
          </w:tcPr>
          <w:p>
            <w:pPr>
              <w:spacing w:after="0"/>
            </w:pPr>
            <w:r>
              <w:rPr>
                <w:rFonts w:ascii="Arial" w:hAnsi="Arial"/>
                <w:b/>
                <w:color w:val="FFFFFF"/>
                <w:sz w:val="19"/>
              </w:rPr>
              <w:t>Sample Size</w:t>
            </w:r>
          </w:p>
        </w:tc>
        <w:tc>
          <w:tcPr>
            <w:tcW w:type="dxa" w:w="1584"/>
            <w:shd w:fill="0B192C"/>
            <w:tcMar>
              <w:top w:w="100" w:type="dxa"/>
              <w:bottom w:w="100" w:type="dxa"/>
              <w:left w:w="100" w:type="dxa"/>
              <w:right w:w="100" w:type="dxa"/>
            </w:tcMar>
          </w:tcPr>
          <w:p>
            <w:pPr>
              <w:spacing w:after="0"/>
            </w:pPr>
            <w:r>
              <w:rPr>
                <w:rFonts w:ascii="Arial" w:hAnsi="Arial"/>
                <w:b/>
                <w:color w:val="FFFFFF"/>
                <w:sz w:val="19"/>
              </w:rPr>
              <w:t>Churn Rate</w:t>
            </w:r>
          </w:p>
        </w:tc>
        <w:tc>
          <w:tcPr>
            <w:tcW w:type="dxa" w:w="2016"/>
            <w:shd w:fill="0B192C"/>
            <w:tcMar>
              <w:top w:w="100" w:type="dxa"/>
              <w:bottom w:w="100" w:type="dxa"/>
              <w:left w:w="100" w:type="dxa"/>
              <w:right w:w="100" w:type="dxa"/>
            </w:tcMar>
          </w:tcPr>
          <w:p>
            <w:pPr>
              <w:spacing w:after="0"/>
            </w:pPr>
            <w:r>
              <w:rPr>
                <w:rFonts w:ascii="Arial" w:hAnsi="Arial"/>
                <w:b/>
                <w:color w:val="FFFFFF"/>
                <w:sz w:val="19"/>
              </w:rPr>
              <w:t>Risk Index / Relative</w:t>
            </w:r>
          </w:p>
        </w:tc>
        <w:tc>
          <w:tcPr>
            <w:tcW w:type="dxa" w:w="1728"/>
            <w:shd w:fill="0B192C"/>
            <w:tcMar>
              <w:top w:w="100" w:type="dxa"/>
              <w:bottom w:w="100" w:type="dxa"/>
              <w:left w:w="100" w:type="dxa"/>
              <w:right w:w="100" w:type="dxa"/>
            </w:tcMar>
          </w:tcPr>
          <w:p>
            <w:pPr>
              <w:spacing w:after="0"/>
            </w:pPr>
            <w:r>
              <w:rPr>
                <w:rFonts w:ascii="Arial" w:hAnsi="Arial"/>
                <w:b/>
                <w:color w:val="FFFFFF"/>
                <w:sz w:val="19"/>
              </w:rPr>
              <w:t>Mean Balance</w:t>
            </w:r>
          </w:p>
        </w:tc>
      </w:tr>
      <w:tr>
        <w:tc>
          <w:tcPr>
            <w:tcW w:type="dxa" w:w="2592"/>
            <w:shd w:fill="F8FAFC"/>
            <w:tcMar>
              <w:top w:w="80" w:type="dxa"/>
              <w:bottom w:w="80" w:type="dxa"/>
              <w:left w:w="100" w:type="dxa"/>
              <w:right w:w="100" w:type="dxa"/>
            </w:tcMar>
          </w:tcPr>
          <w:p>
            <w:pPr>
              <w:spacing w:after="0"/>
            </w:pPr>
            <w:r>
              <w:rPr>
                <w:rFonts w:ascii="Calibri" w:hAnsi="Calibri"/>
                <w:color w:val="334155"/>
                <w:sz w:val="19"/>
              </w:rPr>
              <w:t>France (Market)</w:t>
            </w:r>
          </w:p>
        </w:tc>
        <w:tc>
          <w:tcPr>
            <w:tcW w:type="dxa" w:w="1440"/>
            <w:shd w:fill="F8FAFC"/>
            <w:tcMar>
              <w:top w:w="80" w:type="dxa"/>
              <w:bottom w:w="80" w:type="dxa"/>
              <w:left w:w="100" w:type="dxa"/>
              <w:right w:w="100" w:type="dxa"/>
            </w:tcMar>
          </w:tcPr>
          <w:p>
            <w:pPr>
              <w:spacing w:after="0"/>
            </w:pPr>
            <w:r>
              <w:rPr>
                <w:rFonts w:ascii="Calibri" w:hAnsi="Calibri"/>
                <w:color w:val="334155"/>
                <w:sz w:val="19"/>
              </w:rPr>
              <w:t>5,014</w:t>
            </w:r>
          </w:p>
        </w:tc>
        <w:tc>
          <w:tcPr>
            <w:tcW w:type="dxa" w:w="1584"/>
            <w:shd w:fill="F8FAFC"/>
            <w:tcMar>
              <w:top w:w="80" w:type="dxa"/>
              <w:bottom w:w="80" w:type="dxa"/>
              <w:left w:w="100" w:type="dxa"/>
              <w:right w:w="100" w:type="dxa"/>
            </w:tcMar>
          </w:tcPr>
          <w:p>
            <w:pPr>
              <w:spacing w:after="0"/>
            </w:pPr>
            <w:r>
              <w:rPr>
                <w:rFonts w:ascii="Calibri" w:hAnsi="Calibri"/>
                <w:color w:val="334155"/>
                <w:sz w:val="19"/>
              </w:rPr>
              <w:t>16.15%</w:t>
            </w:r>
          </w:p>
        </w:tc>
        <w:tc>
          <w:tcPr>
            <w:tcW w:type="dxa" w:w="2016"/>
            <w:shd w:fill="F8FAFC"/>
            <w:tcMar>
              <w:top w:w="80" w:type="dxa"/>
              <w:bottom w:w="80" w:type="dxa"/>
              <w:left w:w="100" w:type="dxa"/>
              <w:right w:w="100" w:type="dxa"/>
            </w:tcMar>
          </w:tcPr>
          <w:p>
            <w:pPr>
              <w:spacing w:after="0"/>
            </w:pPr>
            <w:r>
              <w:rPr>
                <w:rFonts w:ascii="Calibri" w:hAnsi="Calibri"/>
                <w:b/>
                <w:color w:val="0284C7"/>
                <w:sz w:val="19"/>
              </w:rPr>
              <w:t>GRI: 0.79 (Low)</w:t>
            </w:r>
          </w:p>
        </w:tc>
        <w:tc>
          <w:tcPr>
            <w:tcW w:type="dxa" w:w="1728"/>
            <w:shd w:fill="F8FAFC"/>
            <w:tcMar>
              <w:top w:w="80" w:type="dxa"/>
              <w:bottom w:w="80" w:type="dxa"/>
              <w:left w:w="100" w:type="dxa"/>
              <w:right w:w="100" w:type="dxa"/>
            </w:tcMar>
          </w:tcPr>
          <w:p>
            <w:pPr>
              <w:spacing w:after="0"/>
            </w:pPr>
            <w:r>
              <w:rPr>
                <w:rFonts w:ascii="Calibri" w:hAnsi="Calibri"/>
                <w:color w:val="334155"/>
                <w:sz w:val="19"/>
              </w:rPr>
              <w:t>€62,094</w:t>
            </w:r>
          </w:p>
        </w:tc>
      </w:tr>
      <w:tr>
        <w:tc>
          <w:tcPr>
            <w:tcW w:type="dxa" w:w="2592"/>
            <w:shd w:fill="FFFFFF"/>
            <w:tcMar>
              <w:top w:w="80" w:type="dxa"/>
              <w:bottom w:w="80" w:type="dxa"/>
              <w:left w:w="100" w:type="dxa"/>
              <w:right w:w="100" w:type="dxa"/>
            </w:tcMar>
          </w:tcPr>
          <w:p>
            <w:pPr>
              <w:spacing w:after="0"/>
            </w:pPr>
            <w:r>
              <w:rPr>
                <w:rFonts w:ascii="Calibri" w:hAnsi="Calibri"/>
                <w:color w:val="334155"/>
                <w:sz w:val="19"/>
              </w:rPr>
              <w:t>Germany (Market)</w:t>
            </w:r>
          </w:p>
        </w:tc>
        <w:tc>
          <w:tcPr>
            <w:tcW w:type="dxa" w:w="1440"/>
            <w:shd w:fill="FFFFFF"/>
            <w:tcMar>
              <w:top w:w="80" w:type="dxa"/>
              <w:bottom w:w="80" w:type="dxa"/>
              <w:left w:w="100" w:type="dxa"/>
              <w:right w:w="100" w:type="dxa"/>
            </w:tcMar>
          </w:tcPr>
          <w:p>
            <w:pPr>
              <w:spacing w:after="0"/>
            </w:pPr>
            <w:r>
              <w:rPr>
                <w:rFonts w:ascii="Calibri" w:hAnsi="Calibri"/>
                <w:color w:val="334155"/>
                <w:sz w:val="19"/>
              </w:rPr>
              <w:t>2,509</w:t>
            </w:r>
          </w:p>
        </w:tc>
        <w:tc>
          <w:tcPr>
            <w:tcW w:type="dxa" w:w="1584"/>
            <w:shd w:fill="FFFFFF"/>
            <w:tcMar>
              <w:top w:w="80" w:type="dxa"/>
              <w:bottom w:w="80" w:type="dxa"/>
              <w:left w:w="100" w:type="dxa"/>
              <w:right w:w="100" w:type="dxa"/>
            </w:tcMar>
          </w:tcPr>
          <w:p>
            <w:pPr>
              <w:spacing w:after="0"/>
            </w:pPr>
            <w:r>
              <w:rPr>
                <w:rFonts w:ascii="Calibri" w:hAnsi="Calibri"/>
                <w:b/>
                <w:color w:val="E11D48"/>
                <w:sz w:val="19"/>
              </w:rPr>
              <w:t>32.44%</w:t>
            </w:r>
          </w:p>
        </w:tc>
        <w:tc>
          <w:tcPr>
            <w:tcW w:type="dxa" w:w="2016"/>
            <w:shd w:fill="FFFFFF"/>
            <w:tcMar>
              <w:top w:w="80" w:type="dxa"/>
              <w:bottom w:w="80" w:type="dxa"/>
              <w:left w:w="100" w:type="dxa"/>
              <w:right w:w="100" w:type="dxa"/>
            </w:tcMar>
          </w:tcPr>
          <w:p>
            <w:pPr>
              <w:spacing w:after="0"/>
            </w:pPr>
            <w:r>
              <w:rPr>
                <w:rFonts w:ascii="Calibri" w:hAnsi="Calibri"/>
                <w:b/>
                <w:color w:val="E11D48"/>
                <w:sz w:val="19"/>
              </w:rPr>
              <w:t>GRI: 1.59 (Severe)</w:t>
            </w:r>
          </w:p>
        </w:tc>
        <w:tc>
          <w:tcPr>
            <w:tcW w:type="dxa" w:w="1728"/>
            <w:shd w:fill="FFFFFF"/>
            <w:tcMar>
              <w:top w:w="80" w:type="dxa"/>
              <w:bottom w:w="80" w:type="dxa"/>
              <w:left w:w="100" w:type="dxa"/>
              <w:right w:w="100" w:type="dxa"/>
            </w:tcMar>
          </w:tcPr>
          <w:p>
            <w:pPr>
              <w:spacing w:after="0"/>
            </w:pPr>
            <w:r>
              <w:rPr>
                <w:rFonts w:ascii="Calibri" w:hAnsi="Calibri"/>
                <w:color w:val="334155"/>
                <w:sz w:val="19"/>
              </w:rPr>
              <w:t>€119,730</w:t>
            </w:r>
          </w:p>
        </w:tc>
      </w:tr>
      <w:tr>
        <w:tc>
          <w:tcPr>
            <w:tcW w:type="dxa" w:w="2592"/>
            <w:shd w:fill="F8FAFC"/>
            <w:tcMar>
              <w:top w:w="80" w:type="dxa"/>
              <w:bottom w:w="80" w:type="dxa"/>
              <w:left w:w="100" w:type="dxa"/>
              <w:right w:w="100" w:type="dxa"/>
            </w:tcMar>
          </w:tcPr>
          <w:p>
            <w:pPr>
              <w:spacing w:after="0"/>
            </w:pPr>
            <w:r>
              <w:rPr>
                <w:rFonts w:ascii="Calibri" w:hAnsi="Calibri"/>
                <w:color w:val="334155"/>
                <w:sz w:val="19"/>
              </w:rPr>
              <w:t>Spain (Market)</w:t>
            </w:r>
          </w:p>
        </w:tc>
        <w:tc>
          <w:tcPr>
            <w:tcW w:type="dxa" w:w="1440"/>
            <w:shd w:fill="F8FAFC"/>
            <w:tcMar>
              <w:top w:w="80" w:type="dxa"/>
              <w:bottom w:w="80" w:type="dxa"/>
              <w:left w:w="100" w:type="dxa"/>
              <w:right w:w="100" w:type="dxa"/>
            </w:tcMar>
          </w:tcPr>
          <w:p>
            <w:pPr>
              <w:spacing w:after="0"/>
            </w:pPr>
            <w:r>
              <w:rPr>
                <w:rFonts w:ascii="Calibri" w:hAnsi="Calibri"/>
                <w:color w:val="334155"/>
                <w:sz w:val="19"/>
              </w:rPr>
              <w:t>2,477</w:t>
            </w:r>
          </w:p>
        </w:tc>
        <w:tc>
          <w:tcPr>
            <w:tcW w:type="dxa" w:w="1584"/>
            <w:shd w:fill="F8FAFC"/>
            <w:tcMar>
              <w:top w:w="80" w:type="dxa"/>
              <w:bottom w:w="80" w:type="dxa"/>
              <w:left w:w="100" w:type="dxa"/>
              <w:right w:w="100" w:type="dxa"/>
            </w:tcMar>
          </w:tcPr>
          <w:p>
            <w:pPr>
              <w:spacing w:after="0"/>
            </w:pPr>
            <w:r>
              <w:rPr>
                <w:rFonts w:ascii="Calibri" w:hAnsi="Calibri"/>
                <w:color w:val="334155"/>
                <w:sz w:val="19"/>
              </w:rPr>
              <w:t>16.67%</w:t>
            </w:r>
          </w:p>
        </w:tc>
        <w:tc>
          <w:tcPr>
            <w:tcW w:type="dxa" w:w="2016"/>
            <w:shd w:fill="F8FAFC"/>
            <w:tcMar>
              <w:top w:w="80" w:type="dxa"/>
              <w:bottom w:w="80" w:type="dxa"/>
              <w:left w:w="100" w:type="dxa"/>
              <w:right w:w="100" w:type="dxa"/>
            </w:tcMar>
          </w:tcPr>
          <w:p>
            <w:pPr>
              <w:spacing w:after="0"/>
            </w:pPr>
            <w:r>
              <w:rPr>
                <w:rFonts w:ascii="Calibri" w:hAnsi="Calibri"/>
                <w:b/>
                <w:color w:val="0284C7"/>
                <w:sz w:val="19"/>
              </w:rPr>
              <w:t>GRI: 0.82 (Low)</w:t>
            </w:r>
          </w:p>
        </w:tc>
        <w:tc>
          <w:tcPr>
            <w:tcW w:type="dxa" w:w="1728"/>
            <w:shd w:fill="F8FAFC"/>
            <w:tcMar>
              <w:top w:w="80" w:type="dxa"/>
              <w:bottom w:w="80" w:type="dxa"/>
              <w:left w:w="100" w:type="dxa"/>
              <w:right w:w="100" w:type="dxa"/>
            </w:tcMar>
          </w:tcPr>
          <w:p>
            <w:pPr>
              <w:spacing w:after="0"/>
            </w:pPr>
            <w:r>
              <w:rPr>
                <w:rFonts w:ascii="Calibri" w:hAnsi="Calibri"/>
                <w:color w:val="334155"/>
                <w:sz w:val="19"/>
              </w:rPr>
              <w:t>€61,818</w:t>
            </w:r>
          </w:p>
        </w:tc>
      </w:tr>
      <w:tr>
        <w:tc>
          <w:tcPr>
            <w:tcW w:type="dxa" w:w="2592"/>
            <w:shd w:fill="FFFFFF"/>
            <w:tcMar>
              <w:top w:w="80" w:type="dxa"/>
              <w:bottom w:w="80" w:type="dxa"/>
              <w:left w:w="100" w:type="dxa"/>
              <w:right w:w="100" w:type="dxa"/>
            </w:tcMar>
          </w:tcPr>
          <w:p>
            <w:pPr>
              <w:spacing w:after="0"/>
            </w:pPr>
            <w:r>
              <w:rPr>
                <w:rFonts w:ascii="Calibri" w:hAnsi="Calibri"/>
                <w:color w:val="334155"/>
                <w:sz w:val="19"/>
              </w:rPr>
              <w:t>Age Group: &lt; 30</w:t>
            </w:r>
          </w:p>
        </w:tc>
        <w:tc>
          <w:tcPr>
            <w:tcW w:type="dxa" w:w="1440"/>
            <w:shd w:fill="FFFFFF"/>
            <w:tcMar>
              <w:top w:w="80" w:type="dxa"/>
              <w:bottom w:w="80" w:type="dxa"/>
              <w:left w:w="100" w:type="dxa"/>
              <w:right w:w="100" w:type="dxa"/>
            </w:tcMar>
          </w:tcPr>
          <w:p>
            <w:pPr>
              <w:spacing w:after="0"/>
            </w:pPr>
            <w:r>
              <w:rPr>
                <w:rFonts w:ascii="Calibri" w:hAnsi="Calibri"/>
                <w:color w:val="334155"/>
                <w:sz w:val="19"/>
              </w:rPr>
              <w:t>1,675</w:t>
            </w:r>
          </w:p>
        </w:tc>
        <w:tc>
          <w:tcPr>
            <w:tcW w:type="dxa" w:w="1584"/>
            <w:shd w:fill="FFFFFF"/>
            <w:tcMar>
              <w:top w:w="80" w:type="dxa"/>
              <w:bottom w:w="80" w:type="dxa"/>
              <w:left w:w="100" w:type="dxa"/>
              <w:right w:w="100" w:type="dxa"/>
            </w:tcMar>
          </w:tcPr>
          <w:p>
            <w:pPr>
              <w:spacing w:after="0"/>
            </w:pPr>
            <w:r>
              <w:rPr>
                <w:rFonts w:ascii="Calibri" w:hAnsi="Calibri"/>
                <w:b/>
                <w:color w:val="0284C7"/>
                <w:sz w:val="19"/>
              </w:rPr>
              <w:t>7.52%</w:t>
            </w:r>
          </w:p>
        </w:tc>
        <w:tc>
          <w:tcPr>
            <w:tcW w:type="dxa" w:w="2016"/>
            <w:shd w:fill="FFFFFF"/>
            <w:tcMar>
              <w:top w:w="80" w:type="dxa"/>
              <w:bottom w:w="80" w:type="dxa"/>
              <w:left w:w="100" w:type="dxa"/>
              <w:right w:w="100" w:type="dxa"/>
            </w:tcMar>
          </w:tcPr>
          <w:p>
            <w:pPr>
              <w:spacing w:after="0"/>
            </w:pPr>
            <w:r>
              <w:rPr>
                <w:rFonts w:ascii="Calibri" w:hAnsi="Calibri"/>
                <w:b/>
                <w:color w:val="0284C7"/>
                <w:sz w:val="19"/>
              </w:rPr>
              <w:t>Low Attrition</w:t>
            </w:r>
          </w:p>
        </w:tc>
        <w:tc>
          <w:tcPr>
            <w:tcW w:type="dxa" w:w="1728"/>
            <w:shd w:fill="FFFFFF"/>
            <w:tcMar>
              <w:top w:w="80" w:type="dxa"/>
              <w:bottom w:w="80" w:type="dxa"/>
              <w:left w:w="100" w:type="dxa"/>
              <w:right w:w="100" w:type="dxa"/>
            </w:tcMar>
          </w:tcPr>
          <w:p>
            <w:pPr>
              <w:spacing w:after="0"/>
            </w:pPr>
            <w:r>
              <w:rPr>
                <w:rFonts w:ascii="Calibri" w:hAnsi="Calibri"/>
                <w:color w:val="334155"/>
                <w:sz w:val="19"/>
              </w:rPr>
              <w:t>€74,200</w:t>
            </w:r>
          </w:p>
        </w:tc>
      </w:tr>
      <w:tr>
        <w:tc>
          <w:tcPr>
            <w:tcW w:type="dxa" w:w="2592"/>
            <w:shd w:fill="F8FAFC"/>
            <w:tcMar>
              <w:top w:w="80" w:type="dxa"/>
              <w:bottom w:w="80" w:type="dxa"/>
              <w:left w:w="100" w:type="dxa"/>
              <w:right w:w="100" w:type="dxa"/>
            </w:tcMar>
          </w:tcPr>
          <w:p>
            <w:pPr>
              <w:spacing w:after="0"/>
            </w:pPr>
            <w:r>
              <w:rPr>
                <w:rFonts w:ascii="Calibri" w:hAnsi="Calibri"/>
                <w:color w:val="334155"/>
                <w:sz w:val="19"/>
              </w:rPr>
              <w:t>Age Group: 46–60</w:t>
            </w:r>
          </w:p>
        </w:tc>
        <w:tc>
          <w:tcPr>
            <w:tcW w:type="dxa" w:w="1440"/>
            <w:shd w:fill="F8FAFC"/>
            <w:tcMar>
              <w:top w:w="80" w:type="dxa"/>
              <w:bottom w:w="80" w:type="dxa"/>
              <w:left w:w="100" w:type="dxa"/>
              <w:right w:w="100" w:type="dxa"/>
            </w:tcMar>
          </w:tcPr>
          <w:p>
            <w:pPr>
              <w:spacing w:after="0"/>
            </w:pPr>
            <w:r>
              <w:rPr>
                <w:rFonts w:ascii="Calibri" w:hAnsi="Calibri"/>
                <w:color w:val="334155"/>
                <w:sz w:val="19"/>
              </w:rPr>
              <w:t>2,357</w:t>
            </w:r>
          </w:p>
        </w:tc>
        <w:tc>
          <w:tcPr>
            <w:tcW w:type="dxa" w:w="1584"/>
            <w:shd w:fill="F8FAFC"/>
            <w:tcMar>
              <w:top w:w="80" w:type="dxa"/>
              <w:bottom w:w="80" w:type="dxa"/>
              <w:left w:w="100" w:type="dxa"/>
              <w:right w:w="100" w:type="dxa"/>
            </w:tcMar>
          </w:tcPr>
          <w:p>
            <w:pPr>
              <w:spacing w:after="0"/>
            </w:pPr>
            <w:r>
              <w:rPr>
                <w:rFonts w:ascii="Calibri" w:hAnsi="Calibri"/>
                <w:b/>
                <w:color w:val="E11D48"/>
                <w:sz w:val="19"/>
              </w:rPr>
              <w:t>56.21%</w:t>
            </w:r>
          </w:p>
        </w:tc>
        <w:tc>
          <w:tcPr>
            <w:tcW w:type="dxa" w:w="2016"/>
            <w:shd w:fill="F8FAFC"/>
            <w:tcMar>
              <w:top w:w="80" w:type="dxa"/>
              <w:bottom w:w="80" w:type="dxa"/>
              <w:left w:w="100" w:type="dxa"/>
              <w:right w:w="100" w:type="dxa"/>
            </w:tcMar>
          </w:tcPr>
          <w:p>
            <w:pPr>
              <w:spacing w:after="0"/>
            </w:pPr>
            <w:r>
              <w:rPr>
                <w:rFonts w:ascii="Calibri" w:hAnsi="Calibri"/>
                <w:b/>
                <w:color w:val="E11D48"/>
                <w:sz w:val="19"/>
              </w:rPr>
              <w:t>CRITICAL HAZARD</w:t>
            </w:r>
          </w:p>
        </w:tc>
        <w:tc>
          <w:tcPr>
            <w:tcW w:type="dxa" w:w="1728"/>
            <w:shd w:fill="F8FAFC"/>
            <w:tcMar>
              <w:top w:w="80" w:type="dxa"/>
              <w:bottom w:w="80" w:type="dxa"/>
              <w:left w:w="100" w:type="dxa"/>
              <w:right w:w="100" w:type="dxa"/>
            </w:tcMar>
          </w:tcPr>
          <w:p>
            <w:pPr>
              <w:spacing w:after="0"/>
            </w:pPr>
            <w:r>
              <w:rPr>
                <w:rFonts w:ascii="Calibri" w:hAnsi="Calibri"/>
                <w:color w:val="334155"/>
                <w:sz w:val="19"/>
              </w:rPr>
              <w:t>€85,400</w:t>
            </w:r>
          </w:p>
        </w:tc>
      </w:tr>
      <w:tr>
        <w:tc>
          <w:tcPr>
            <w:tcW w:type="dxa" w:w="2592"/>
            <w:shd w:fill="FFFFFF"/>
            <w:tcMar>
              <w:top w:w="80" w:type="dxa"/>
              <w:bottom w:w="80" w:type="dxa"/>
              <w:left w:w="100" w:type="dxa"/>
              <w:right w:w="100" w:type="dxa"/>
            </w:tcMar>
          </w:tcPr>
          <w:p>
            <w:pPr>
              <w:spacing w:after="0"/>
            </w:pPr>
            <w:r>
              <w:rPr>
                <w:rFonts w:ascii="Calibri" w:hAnsi="Calibri"/>
                <w:color w:val="334155"/>
                <w:sz w:val="19"/>
              </w:rPr>
              <w:t>Product Count: 3+</w:t>
            </w:r>
          </w:p>
        </w:tc>
        <w:tc>
          <w:tcPr>
            <w:tcW w:type="dxa" w:w="1440"/>
            <w:shd w:fill="FFFFFF"/>
            <w:tcMar>
              <w:top w:w="80" w:type="dxa"/>
              <w:bottom w:w="80" w:type="dxa"/>
              <w:left w:w="100" w:type="dxa"/>
              <w:right w:w="100" w:type="dxa"/>
            </w:tcMar>
          </w:tcPr>
          <w:p>
            <w:pPr>
              <w:spacing w:after="0"/>
            </w:pPr>
            <w:r>
              <w:rPr>
                <w:rFonts w:ascii="Calibri" w:hAnsi="Calibri"/>
                <w:color w:val="334155"/>
                <w:sz w:val="19"/>
              </w:rPr>
              <w:t>526</w:t>
            </w:r>
          </w:p>
        </w:tc>
        <w:tc>
          <w:tcPr>
            <w:tcW w:type="dxa" w:w="1584"/>
            <w:shd w:fill="FFFFFF"/>
            <w:tcMar>
              <w:top w:w="80" w:type="dxa"/>
              <w:bottom w:w="80" w:type="dxa"/>
              <w:left w:w="100" w:type="dxa"/>
              <w:right w:w="100" w:type="dxa"/>
            </w:tcMar>
          </w:tcPr>
          <w:p>
            <w:pPr>
              <w:spacing w:after="0"/>
            </w:pPr>
            <w:r>
              <w:rPr>
                <w:rFonts w:ascii="Calibri" w:hAnsi="Calibri"/>
                <w:color w:val="334155"/>
                <w:sz w:val="19"/>
              </w:rPr>
              <w:t>84.60%</w:t>
            </w:r>
          </w:p>
        </w:tc>
        <w:tc>
          <w:tcPr>
            <w:tcW w:type="dxa" w:w="2016"/>
            <w:shd w:fill="FFFFFF"/>
            <w:tcMar>
              <w:top w:w="80" w:type="dxa"/>
              <w:bottom w:w="80" w:type="dxa"/>
              <w:left w:w="100" w:type="dxa"/>
              <w:right w:w="100" w:type="dxa"/>
            </w:tcMar>
          </w:tcPr>
          <w:p>
            <w:pPr>
              <w:spacing w:after="0"/>
            </w:pPr>
            <w:r>
              <w:rPr>
                <w:rFonts w:ascii="Calibri" w:hAnsi="Calibri"/>
                <w:color w:val="334155"/>
                <w:sz w:val="19"/>
              </w:rPr>
              <w:t>Product Cliff</w:t>
            </w:r>
          </w:p>
        </w:tc>
        <w:tc>
          <w:tcPr>
            <w:tcW w:type="dxa" w:w="1728"/>
            <w:shd w:fill="FFFFFF"/>
            <w:tcMar>
              <w:top w:w="80" w:type="dxa"/>
              <w:bottom w:w="80" w:type="dxa"/>
              <w:left w:w="100" w:type="dxa"/>
              <w:right w:w="100" w:type="dxa"/>
            </w:tcMar>
          </w:tcPr>
          <w:p>
            <w:pPr>
              <w:spacing w:after="0"/>
            </w:pPr>
            <w:r>
              <w:rPr>
                <w:rFonts w:ascii="Calibri" w:hAnsi="Calibri"/>
                <w:color w:val="334155"/>
                <w:sz w:val="19"/>
              </w:rPr>
              <w:t>€82,100</w:t>
            </w:r>
          </w:p>
        </w:tc>
      </w:tr>
    </w:tbl>
    <w:p>
      <w:pPr>
        <w:spacing w:after="160"/>
      </w:pPr>
    </w:p>
    <w:p>
      <w:pPr>
        <w:pStyle w:val="Heading1"/>
      </w:pPr>
      <w:r>
        <w:t>4. The Wealth Paradox &amp; Capital Flight Exposure</w:t>
      </w:r>
    </w:p>
    <w:p>
      <w:r>
        <w:t>A critical finding of this study is the 'Wealth Paradox': customer attrition is not uniformly distributed across account balances. Rather, departing customers hold a 25.2% higher average ledger balance (€91,108) compared to retained depositors (€72,745).</w:t>
        <w:br/>
        <w:br/>
        <w:t>This counter-intuitive dynamic is driven by two factors:</w:t>
        <w:br/>
        <w:t>1. Retained Base Dilution: The retained customer cohort includes over 3,500 zero-balance transactional accounts in France and Spain that remain active simply due to automatic salary direct deposits.</w:t>
        <w:br/>
        <w:t>2. Affluent Yield Sensitivity: High-balance depositors in Germany (€119.7K mean balance) actively migrate funds to competing fintechs and digital neo-banks to seek competitive interest yields and avoid account maintenance fees.</w:t>
        <w:br/>
        <w:br/>
        <w:t>Consequently, the total capital flight exposure across the 2,037 churned accounts reaches €185,588,098, with €83,378,542 concentrated among 691 High-Value accounts.</w:t>
      </w:r>
    </w:p>
    <w:p>
      <w:pPr>
        <w:pStyle w:val="Heading1"/>
      </w:pPr>
      <w:r>
        <w:t>5. Strategic Prescriptions &amp; 90-Day Operational Roadmap</w:t>
      </w:r>
    </w:p>
    <w:p>
      <w:r>
        <w:t>To mitigate this €185.6M capital flight, we outline a structured 4-pillar retention playbook:</w:t>
        <w:br/>
        <w:t>• Pillar 1: Recalibrate the German Proposition: Abolish maintenance fees on balances &gt; €50,000 and deploy automated sweep accounts linking checking balances to competitive money-market yields.</w:t>
        <w:br/>
        <w:t>• Pillar 2: Wealth Advisory Transformation (Age 46–60): Transition depositors reaching age 45 with &gt; €80,000 balances to dedicated Premier Relationship Managers offering retirement wrappers and estate planning.</w:t>
        <w:br/>
        <w:t>• Pillar 3: Enforce the Two-Product Optimal Anchor: Restrict retail sales teams from aggressive 3rd and 4th product cross-selling, and institute mandatory 90-day onboarding check-ins.</w:t>
        <w:br/>
        <w:t>• Pillar 4: Automated 30-Day Dormancy Alerts: Detect rolling 30-day inactivity to trigger proactive retention communications before account closure.</w:t>
      </w:r>
    </w:p>
    <w:p>
      <w:r>
        <w:t>Target Financial ROI: Retaining just 15% of at-risk high-value clients preserves €12.51 million in stable core deposits, translating to an estimated €450,000 to €600,000 in preserved annual net interest margin.</w:t>
      </w:r>
    </w:p>
    <w:p>
      <w:pPr>
        <w:pStyle w:val="Heading1"/>
      </w:pPr>
      <w:r>
        <w:t>6. Candidate Project Highlights (Panchaksharayya)</w:t>
      </w:r>
    </w:p>
    <w:p>
      <w:r>
        <w:t>This project showcases professional competencies in data engineering, quantitative financial analytics, and visual interface architecture:</w:t>
        <w:br/>
        <w:t>• Data Analyst / BI: Engineered an end-to-end European retail banking intelligence platform analyzing 10,000 customer accounts across France, Germany, and Spain using Python, PostgreSQL, and Streamlit.</w:t>
        <w:br/>
        <w:t>• Quantitative Modeling: Formulated a proprietary Geographic Risk Index (GRI) and balance exposure metrics, identifying that the German subsidiary suffered a 32.44% churn rate (2.0x higher than France) and quantifying €185.59M in total capital flight.</w:t>
        <w:br/>
        <w:t>• Data Science &amp; Machine Learning: Conducted non-linear hazard profiling isolating an acute 56.21% attrition peak in the 46–60 age demographic and an 82.71% defection cliff on 3+ bundled products.</w:t>
        <w:br/>
        <w:t>• FinTech Product Strategy: Translated empirical findings into a 4-pillar operational retention playbook to safeguard core deposit liquidity under Basel III Liquidity Coverage Ratios (LCR).</w:t>
      </w:r>
    </w:p>
    <w:p>
      <w:pPr>
        <w:pStyle w:val="Heading1"/>
      </w:pPr>
      <w:r>
        <w:t>7. Scholarly &amp; Industry References</w:t>
      </w:r>
    </w:p>
    <w:p>
      <w:pPr>
        <w:spacing w:after="80"/>
        <w:ind w:left="360" w:hanging="360"/>
      </w:pPr>
      <w:r>
        <w:t>Boot, A. W. (2000). 'Relationship Banking: What Do We Know?' Journal of Financial Intermediation, 9(1), 7–25.</w:t>
      </w:r>
    </w:p>
    <w:p>
      <w:pPr>
        <w:spacing w:after="80"/>
        <w:ind w:left="360" w:hanging="360"/>
      </w:pPr>
      <w:r>
        <w:t>Cohen, M. (2004). 'Customer Retention in Retail Banking: An Empirical Study of Multi-Product Relationships.' International Journal of Bank Marketing, 22(4), 254–271.</w:t>
      </w:r>
    </w:p>
    <w:p>
      <w:pPr>
        <w:spacing w:after="80"/>
        <w:ind w:left="360" w:hanging="360"/>
      </w:pPr>
      <w:r>
        <w:t>Degryse, H., &amp; Ongena, S. (2007). 'The Impact of Technology and Regulation on the Geography of Banking.' Oxford Review of Economic Policy, 23(2), 265–285.</w:t>
      </w:r>
    </w:p>
    <w:p>
      <w:pPr>
        <w:spacing w:after="80"/>
        <w:ind w:left="360" w:hanging="360"/>
      </w:pPr>
      <w:r>
        <w:t>Kim, M., Kliger, D., &amp; Vale, B. (2003). 'Estimating Switching Costs: The Case of Banking.' Journal of Financial Intermediation, 12(1), 25–56.</w:t>
      </w:r>
    </w:p>
    <w:p>
      <w:pPr>
        <w:spacing w:after="80"/>
        <w:ind w:left="360" w:hanging="360"/>
      </w:pPr>
      <w:r>
        <w:t>Klemperer, P. (1995). 'Competition when Consumers have Switching Costs: An Overview.' The Review of Economic Studies, 62(4), 515–539.</w:t>
      </w:r>
    </w:p>
    <w:p>
      <w:pPr>
        <w:spacing w:after="80"/>
        <w:ind w:left="360" w:hanging="360"/>
      </w:pPr>
      <w:r>
        <w:t>Modigliani, F. (1986). 'Life Cycle, Individual Thrift, and the Wealth of Nations.' The American Economic Review, 76(3), 297–313.</w:t>
      </w:r>
    </w:p>
    <w:p>
      <w:pPr>
        <w:spacing w:after="80"/>
        <w:ind w:left="360" w:hanging="360"/>
      </w:pPr>
      <w:r>
        <w:t>Verhoef, P. C., Franses, P. H., &amp; Hoekstra, J. C. (2002). 'The Effect of Relational Constructs on Customer Potential.' Journal of Service Research, 4(3), 202–216.</w:t>
      </w:r>
    </w:p>
    <w:p>
      <w:pPr>
        <w:spacing w:after="80"/>
        <w:ind w:left="360" w:hanging="360"/>
      </w:pPr>
      <w:r>
        <w:t>Basel Committee on Banking Supervision (2013). 'Basel III: The Liquidity Coverage Ratio and liquidity risk monitoring tools.' Bank for International Settlements (BIS).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