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72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071426" w:color="auto" w:val="clear"/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60" w:before="0"/>
            </w:pPr>
            <w:r>
              <w:rPr>
                <w:b/>
                <w:bCs/>
                <w:color w:val="FFFFFF"/>
                <w:sz w:val="48"/>
                <w:szCs w:val="48"/>
              </w:rPr>
              <w:t xml:space="preserve">Churn</w:t>
            </w:r>
            <w:r>
              <w:rPr>
                <w:b/>
                <w:bCs/>
                <w:color w:val="09C9E8"/>
                <w:sz w:val="48"/>
                <w:szCs w:val="48"/>
              </w:rPr>
              <w:t xml:space="preserve">Sight</w:t>
            </w:r>
          </w:p>
          <w:p>
            <w:r>
              <w:rPr>
                <w:color w:val="94A3B8"/>
                <w:sz w:val="20"/>
                <w:szCs w:val="20"/>
              </w:rPr>
              <w:t xml:space="preserve">AI-Powered Customer Intelligence Platform</w:t>
            </w:r>
          </w:p>
        </w:tc>
      </w:tr>
    </w:tbl>
    <w:p>
      <w:pPr>
        <w:spacing w:after="100" w:before="320"/>
      </w:pPr>
      <w:r>
        <w:rPr>
          <w:b/>
          <w:bCs/>
          <w:color w:val="1E293B"/>
          <w:sz w:val="52"/>
          <w:szCs w:val="52"/>
        </w:rPr>
        <w:t xml:space="preserve">Business Requirements Document</w:t>
      </w:r>
    </w:p>
    <w:p>
      <w:pPr>
        <w:spacing w:after="0" w:before="0"/>
      </w:pPr>
      <w:r>
        <w:rPr>
          <w:color w:val="176BFA"/>
          <w:sz w:val="24"/>
          <w:szCs w:val="24"/>
        </w:rPr>
        <w:t xml:space="preserve">ChurnSight v2.0</w:t>
      </w:r>
    </w:p>
    <w:p>
      <w:pPr>
        <w:pBdr>
          <w:bottom w:val="single" w:color="176BFA" w:sz="4"/>
        </w:pBdr>
        <w:spacing w:after="80" w:before="80"/>
      </w:pPr>
    </w:p>
    <w:p>
      <w:pPr>
        <w:spacing w:before="160"/>
      </w:pP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Project:  </w:t>
      </w:r>
      <w:r>
        <w:rPr>
          <w:color w:val="1E293B"/>
          <w:sz w:val="18"/>
          <w:szCs w:val="18"/>
        </w:rPr>
        <w:t xml:space="preserve">ChurnSight — AI-Powered Churn Prediction &amp; Customer Intelligence Platform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Version:  </w:t>
      </w:r>
      <w:r>
        <w:rPr>
          <w:color w:val="1E293B"/>
          <w:sz w:val="18"/>
          <w:szCs w:val="18"/>
        </w:rPr>
        <w:t xml:space="preserve">2.0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Status:  </w:t>
      </w:r>
      <w:r>
        <w:rPr>
          <w:color w:val="1E293B"/>
          <w:sz w:val="18"/>
          <w:szCs w:val="18"/>
        </w:rPr>
        <w:t xml:space="preserve">Draft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Author:  </w:t>
      </w:r>
      <w:r>
        <w:rPr>
          <w:color w:val="1E293B"/>
          <w:sz w:val="18"/>
          <w:szCs w:val="18"/>
        </w:rPr>
        <w:t xml:space="preserve">Sandeep Panchal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Date:  </w:t>
      </w:r>
      <w:r>
        <w:rPr>
          <w:color w:val="1E293B"/>
          <w:sz w:val="18"/>
          <w:szCs w:val="18"/>
        </w:rPr>
        <w:t xml:space="preserve">October 2026</w:t>
      </w:r>
    </w:p>
    <w:p>
      <w:pPr>
        <w:spacing w:after="40" w:before="40"/>
      </w:pPr>
      <w:r>
        <w:rPr>
          <w:b/>
          <w:bCs/>
          <w:color w:val="64748B"/>
          <w:sz w:val="18"/>
          <w:szCs w:val="18"/>
        </w:rPr>
        <w:t xml:space="preserve">Revised:  </w:t>
      </w:r>
      <w:r>
        <w:rPr>
          <w:color w:val="1E293B"/>
          <w:sz w:val="18"/>
          <w:szCs w:val="18"/>
        </w:rPr>
        <w:t xml:space="preserve">14 Oct 2026 — checked against the live code; see Change Log</w:t>
      </w:r>
    </w:p>
    <w:p>
      <w:pPr>
        <w:spacing w:before="80"/>
      </w:pPr>
    </w:p>
    <w:p>
      <w:r>
        <w:rPr>
          <w:b/>
          <w:bCs/>
          <w:caps/>
          <w:color w:val="94A3B8"/>
          <w:sz w:val="16"/>
          <w:szCs w:val="16"/>
        </w:rPr>
        <w:t xml:space="preserve">CONFIDENTIAL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1. EXECUTIVE SUMMARY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ChurnSight is an AI-powered churn prediction and customer intelligence platform that enables Customer Success Managers (CSMs), Product Managers, and revenue leaders to identify at-risk customers early, prioritise interventions, and automate playbooks that reduce churn. Version 2.0 transforms the existing CSV-upload prediction tool into a full-stack, always-on intelligence system.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The platform addresses a critical gap: 73% of CS leaders report their current health scores do not reliably predict churn (ChurnZero, 2025, N≈800). ChurnSight closes this gap by unifying churn model output, product adoption signals, support telemetry, and payment health into a single composite score per customer, backed by multi-signal early alerts and automated response playbooks.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v2.0 also introduces a full-featured Admin Console that gives platform administrators real-time visibility into system health, workspace governance, user lifecycle management, ML operations, and security audit — all from a dedicated, role-gated interface.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2. BUSINESS OBJECTIVES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2.1 Primary Goals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Reduce customer churn rate by at least 15% within 12 months of v2.0 launch.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Provide CSMs with actionable daily alerts — not weekly dashboard reviews.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Automate at least 40% of standard intervention workflows via playbooks.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Give revenue leaders ARR-at-risk visibility at account and cohort level.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Deliver a full-featured Admin Console covering platform overview, user governance, workspace management, security audit, ML ops, and email monitoring.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2.2 Success Metrics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353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209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Baseline (v1.0)</w:t>
            </w:r>
          </w:p>
        </w:tc>
        <w:tc>
          <w:tcPr>
            <w:tcW w:type="dxa" w:w="2209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Target (v2.0)</w:t>
            </w:r>
          </w:p>
        </w:tc>
        <w:tc>
          <w:tcPr>
            <w:tcW w:type="dxa" w:w="1767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Timeline</w:t>
            </w:r>
          </w:p>
        </w:tc>
      </w:tr>
      <w:tr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Monthly churn rate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5.2%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≤ 4.4%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Q2 2027</w:t>
            </w:r>
          </w:p>
        </w:tc>
      </w:tr>
      <w:tr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CSM alert response time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72 hrs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&lt; 24 hrs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Q1 2027</w:t>
            </w:r>
          </w:p>
        </w:tc>
      </w:tr>
      <w:tr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Playbook automation coverage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0%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≥ 40%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Q2 2027</w:t>
            </w:r>
          </w:p>
        </w:tc>
      </w:tr>
      <w:tr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Model AUC-ROC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0.81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≥ 0.87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Q1 2027</w:t>
            </w:r>
          </w:p>
        </w:tc>
      </w:tr>
      <w:tr>
        <w:tc>
          <w:tcPr>
            <w:tcW w:type="dxa" w:w="353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ARR-at-risk visibility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None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100% accounts scored</w:t>
            </w:r>
          </w:p>
        </w:tc>
        <w:tc>
          <w:tcPr>
            <w:tcW w:type="dxa" w:w="1767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Q1 2027</w:t>
            </w:r>
          </w:p>
        </w:tc>
      </w:tr>
      <w:tr>
        <w:tc>
          <w:tcPr>
            <w:tcW w:type="dxa" w:w="353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features live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0 / 9 categories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9 / 9 categories</w:t>
            </w:r>
          </w:p>
        </w:tc>
        <w:tc>
          <w:tcPr>
            <w:tcW w:type="dxa" w:w="1767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Q2 2027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3. STAKEHOLDERS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5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47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 / Group</w:t>
            </w:r>
          </w:p>
        </w:tc>
        <w:tc>
          <w:tcPr>
            <w:tcW w:type="dxa" w:w="2474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Interest</w:t>
            </w:r>
          </w:p>
        </w:tc>
        <w:tc>
          <w:tcPr>
            <w:tcW w:type="dxa" w:w="212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Influence</w:t>
            </w:r>
          </w:p>
        </w:tc>
      </w:tr>
      <w:tr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 Panchal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Platform vision and delivery</w:t>
            </w:r>
          </w:p>
        </w:tc>
        <w:tc>
          <w:tcPr>
            <w:tcW w:type="dxa" w:w="21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5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Primary User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CSMs (Priya persona)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Early churn warnings, daily alerts</w:t>
            </w:r>
          </w:p>
        </w:tc>
        <w:tc>
          <w:tcPr>
            <w:tcW w:type="dxa" w:w="212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Secondary User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PMs (Marcus persona)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Cohort analysis, ARR-at-risk</w:t>
            </w:r>
          </w:p>
        </w:tc>
        <w:tc>
          <w:tcPr>
            <w:tcW w:type="dxa" w:w="21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265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Platform Admin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Sofia persona</w:t>
            </w:r>
          </w:p>
        </w:tc>
        <w:tc>
          <w:tcPr>
            <w:tcW w:type="dxa" w:w="2474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Workspace governance, user lifecycle</w:t>
            </w:r>
          </w:p>
        </w:tc>
        <w:tc>
          <w:tcPr>
            <w:tcW w:type="dxa" w:w="212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Revenue Leadership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VP CS / CFO</w:t>
            </w:r>
          </w:p>
        </w:tc>
        <w:tc>
          <w:tcPr>
            <w:tcW w:type="dxa" w:w="2474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Churn reduction ROI, reporting</w:t>
            </w:r>
          </w:p>
        </w:tc>
        <w:tc>
          <w:tcPr>
            <w:tcW w:type="dxa" w:w="212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High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4. SCOPE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4.1 In Scope — Core Platform (v2.0)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Customer Health Score engine (6 components, weighted composite 0–100)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Multi-signal early alert engine (Critical / High / Medium / Low severity)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Cohort Analysis: segment by risk tier, plan, MRR band, geo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Automated Playbooks: trigger, step runner, outcome logging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Transactional emails: invitation, password reset, email verification, welcome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Firebase Authentication: Email/Password + Google SSO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Railway hosting: web service + volume + PostgreSQL (live since Oct 2026)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4.2 In Scope — Admin Console Enhancement (v2.0)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The Admin Console will be rebuilt as a full-featured rich panel across 9 capability categories, delivered in the order listed: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Console Layout &amp; UX — sidebar navigation, ChurnSight brand, dark mode, mobile-responsive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Platform Overview Dashboard — live user/workspace KPIs, service health, background job monitor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Workspace Management — list all workspaces, plan/limits editor, suspend/transfer/delete, usage export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Security &amp; Audit Log — platform-wide audit trail, console sign-in history, API key management, privacy requests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User Management (Extended) — user detail page, bulk actions, filters, act-as-user (read-only)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Email &amp; Notifications — Brevo email log, template preview, test-send, alert channels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Invitations &amp; Access — pending invitations across all workspaces, admin email list, MFA enforcement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ML Operations — model per workspace, drift status, promote/rollback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Settings &amp; Maintenance — maintenance mode, feature flags, storage/backup status, announcements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4.3 Out of Scope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Native mobile app (iOS / Android)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 separate database per workspace (all workspaces share one PostgreSQL database, isolated by row-level security)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Third-party CRM/billing integrations (Phase 7)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Multi-region deployment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5. FUNCTIONAL REQUIREMENTS — CORE PLATFORM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5.1 Customer Health Score Engine</w:t>
      </w:r>
    </w:p>
    <w:tbl>
      <w:tblPr>
        <w:tblW w:type="dxa" w:w="9720"/>
        <w:tblBorders>
          <w:top w:val="none"/>
          <w:left w:val="single" w:color="176BFA" w:sz="18"/>
          <w:bottom w:val="none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</w:tblGrid>
      <w:tr>
        <w:tc>
          <w:tcPr>
            <w:tcW w:type="dxa" w:w="9720"/>
            <w:shd w:fill="EFF6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 w:before="60"/>
              <w:jc w:val="left"/>
            </w:pPr>
            <w:r>
              <w:rPr>
                <w:b/>
                <w:bCs/>
                <w:i w:val="false"/>
                <w:iCs w:val="false"/>
                <w:color w:val="1E293B"/>
                <w:sz w:val="18"/>
                <w:szCs w:val="18"/>
              </w:rPr>
              <w:t xml:space="preserve">Six weighted components — each scored 0–100, combined into a composite:</w:t>
            </w:r>
          </w:p>
          <w:p>
            <w:pPr>
              <w:spacing w:after="80" w:before="6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E293B"/>
                <w:sz w:val="18"/>
                <w:szCs w:val="18"/>
              </w:rPr>
              <w:t xml:space="preserve">Product Adoption (30%) · Churn Model Output (25%) · Support Load (20%) · Payment Health (15%) · Engagement Trend (7%) · Contract Proximity (3%)</w:t>
            </w:r>
          </w:p>
        </w:tc>
      </w:tr>
    </w:tbl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FR-01: System shall compute a composite health score (0–100) for every customer on dataset upload.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FR-02: System shall refresh scores on demand when a new dataset is uploaded.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FR-03: System shall display scores with colour-coded risk tiers: Critical (0–39 Red), At Risk (40–59 Amber), Healthy (60–100 Green).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FR-04: Admin may adjust component weights from the Admin Console (stored in the database).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5.2 Alert Engine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FR-05: System shall generate alerts when score drops ≥ 15 points in 7 days (Critical).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FR-06: System shall fire a High alert when the Churn Model Output component exceeds 70%.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FR-07: System shall fire a Medium alert for 3 consecutive missed logins.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FR-08: Alerts shall display severity badge, customer name, trigger reason, and recommended playbook.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5.3 Cohort Analysis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FR-09: Users may segment customers by risk tier, plan type, MRR band, and geography.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FR-10: System shall render a cohort heatmap and retention curve for selected segments.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5.4 Playbooks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FR-11: Admin shall define playbook steps (email, task, CRM note, call) via UI.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FR-12: System shall auto-trigger the mapped playbook when an alert fires.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FR-13: CSM may manually launch any playbook from the Health Score card.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6. FUNCTIONAL REQUIREMENTS — ADMIN CONSOLE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6.1 Console Layout &amp; UX (Category 9)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FR-AC-01: Admin Console shall have a persistent sidebar with sections: Overview, Users, Workspaces, Audit &amp; Security, Access, ML Ops, Email, Settings.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FR-AC-02: Console shall apply the ChurnSight brand palette and support dark mode toggle.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FR-AC-03: Console shall be fully usable on screens ≥ 375 px wide (mobile-responsive).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6.2 Platform Overview Dashboard (Category 1)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FR-AC-04: Dashboard shall display: total users, total workspaces, active users (7-day and 30-day), sign-ups per day (bar chart), predictions run.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FR-AC-05: Service health panel shall show the status of database, schema, storage volume and encryption keys (from /api/ready) and of the email service (Brevo configuration).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FR-AC-06: Background jobs panel shall list running, queued, and failed jobs with Cancel and Retry actions.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6.3 Workspace Management (Category 3)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FR-AC-07: Admin shall see a paginated list of all workspaces with owner, member count, plan, storage used, and last activity.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FR-AC-08: Admin may change a workspace's plan or limits (reuses /api/platform/workspaces/&lt;id&gt;/plan).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FR-AC-09: Admin may suspend, reactivate, transfer ownership, or delete a workspace.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FR-AC-10: Admin may export per-workspace usage (rows scored, uploads, API calls) as CSV (reuses /api/usage).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6.4 Security &amp; Audit Log (Category 5)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FR-AC-11: Platform-wide audit log shall record every admin action with actor, action, timestamp, and workspace.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FR-AC-12: Audit log shall be filterable by user, action type, date range, and workspace, and exportable as CSV.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FR-AC-13: Console sign-in history shall show successful and failed login attempts with IP and timestamp.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FR-AC-14: Admin may view and revoke API keys across all workspaces, with last-used time shown.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FR-AC-15: The privacy tools (/api/privacy/*: customer lookup, subject-access export, erasure) shall be available in the UI. Whether a GDPR request queue is also needed is open (DEC-02).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6.5 Extended User Management (Category 2)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FR-AC-16: User detail page shall show workspaces, role, last sign-in, sign-in method, email-verified flag, and MFA status.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FR-AC-17: Admin may resend verification email, force a password reset, or sign a user out everywhere.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FR-AC-18: Bulk actions shall allow selecting multiple users to disable, enable, or export as CSV.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FR-AC-19: User list shall be filterable by status, sign-in method, verified flag, and date joined.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FR-AC-20: Act-as-user (read-only impersonation) for support purposes; every use recorded in audit log.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6.6 Email &amp; Notifications (Category 7)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FR-AC-21: Email log shall read from Brevo API and display sent-to, template, status (sent/failed), and timestamp.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FR-AC-22: Admin may preview all four email templates and send a live test to themselves.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FR-AC-23: Alert channels (/api/channels) shall be manageable with a send-test action.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6.7 Invitations &amp; Access (Category 4)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FR-AC-24: Admin shall see all pending invitations across workspaces with Revoke and Resend actions.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FR-AC-25: Admin email list and console login settings shall be manageable in the UI (currently Railway variables).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FR-AC-26: MFA enforcement shall be configurable per role; enrolled and non-enrolled users shall be tracked.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6.8 ML Operations (Category 6)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FR-AC-27: ML Ops panel shall show active model version, AUC-ROC, and drift status per workspace.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FR-AC-28: Platform-wide view shall flag workspaces whose model drift or accuracy has degraded.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FR-AC-29: Admin may promote or roll back a model on a workspace's behalf (reuses /api/mlops, /api/models, /api/monitoring/drift).</w:t>
      </w:r>
    </w:p>
    <w:p>
      <w:pPr>
        <w:pStyle w:val="Heading3"/>
        <w:spacing w:after="80" w:before="200"/>
      </w:pPr>
      <w:r>
        <w:rPr>
          <w:b/>
          <w:bCs/>
          <w:color w:val="10194B"/>
          <w:sz w:val="22"/>
          <w:szCs w:val="22"/>
        </w:rPr>
        <w:t xml:space="preserve">6.9 Settings &amp; Maintenance (Category 8)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FR-AC-30: Maintenance mode shall display a configurable banner to all users while active.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FR-AC-31: Feature flags shall be configurable per workspace (e.g., sign-up on/off).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FR-AC-32: Database backup status and data volume usage shall be visible in the UI.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FR-AC-33: Admin may publish announcements to all users or a specific workspace.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7. NON-FUNCTIONAL REQUIREMENTS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1325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5302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093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Target</w:t>
            </w:r>
          </w:p>
        </w:tc>
      </w:tr>
      <w:tr>
        <w:tc>
          <w:tcPr>
            <w:tcW w:type="dxa" w:w="13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NFR-01</w:t>
            </w:r>
          </w:p>
        </w:tc>
        <w:tc>
          <w:tcPr>
            <w:tcW w:type="dxa" w:w="5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Page load time (P95)</w:t>
            </w:r>
          </w:p>
        </w:tc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&lt; 2 s on 4G</w:t>
            </w:r>
          </w:p>
        </w:tc>
      </w:tr>
      <w:tr>
        <w:tc>
          <w:tcPr>
            <w:tcW w:type="dxa" w:w="132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NFR-02</w:t>
            </w:r>
          </w:p>
        </w:tc>
        <w:tc>
          <w:tcPr>
            <w:tcW w:type="dxa" w:w="530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API response time (P95)</w:t>
            </w:r>
          </w:p>
        </w:tc>
        <w:tc>
          <w:tcPr>
            <w:tcW w:type="dxa" w:w="309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&lt; 500 ms</w:t>
            </w:r>
          </w:p>
        </w:tc>
      </w:tr>
      <w:tr>
        <w:tc>
          <w:tcPr>
            <w:tcW w:type="dxa" w:w="13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NFR-03</w:t>
            </w:r>
          </w:p>
        </w:tc>
        <w:tc>
          <w:tcPr>
            <w:tcW w:type="dxa" w:w="5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Uptime SLA</w:t>
            </w:r>
          </w:p>
        </w:tc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≥ 99.5% monthly</w:t>
            </w:r>
          </w:p>
        </w:tc>
      </w:tr>
      <w:tr>
        <w:tc>
          <w:tcPr>
            <w:tcW w:type="dxa" w:w="132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NFR-04</w:t>
            </w:r>
          </w:p>
        </w:tc>
        <w:tc>
          <w:tcPr>
            <w:tcW w:type="dxa" w:w="530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WCAG accessibility</w:t>
            </w:r>
          </w:p>
        </w:tc>
        <w:tc>
          <w:tcPr>
            <w:tcW w:type="dxa" w:w="309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2.1 AA compliant</w:t>
            </w:r>
          </w:p>
        </w:tc>
      </w:tr>
      <w:tr>
        <w:tc>
          <w:tcPr>
            <w:tcW w:type="dxa" w:w="13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NFR-05</w:t>
            </w:r>
          </w:p>
        </w:tc>
        <w:tc>
          <w:tcPr>
            <w:tcW w:type="dxa" w:w="5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GDPR data residency</w:t>
            </w:r>
          </w:p>
        </w:tc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EU West (Railway Amsterdam)</w:t>
            </w:r>
          </w:p>
        </w:tc>
      </w:tr>
      <w:tr>
        <w:tc>
          <w:tcPr>
            <w:tcW w:type="dxa" w:w="1325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NFR-06</w:t>
            </w:r>
          </w:p>
        </w:tc>
        <w:tc>
          <w:tcPr>
            <w:tcW w:type="dxa" w:w="5302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security</w:t>
            </w:r>
          </w:p>
        </w:tc>
        <w:tc>
          <w:tcPr>
            <w:tcW w:type="dxa" w:w="3093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Role-gated; every action audit-logged</w:t>
            </w:r>
          </w:p>
        </w:tc>
      </w:tr>
      <w:tr>
        <w:tc>
          <w:tcPr>
            <w:tcW w:type="dxa" w:w="1325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NFR-07</w:t>
            </w:r>
          </w:p>
        </w:tc>
        <w:tc>
          <w:tcPr>
            <w:tcW w:type="dxa" w:w="5302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Admin Console performance</w:t>
            </w:r>
          </w:p>
        </w:tc>
        <w:tc>
          <w:tcPr>
            <w:tcW w:type="dxa" w:w="3093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Dashboard loads in &lt; 3 s on cold start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8. ASSUMPTIONS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Firebase Authentication remains the identity provider through v2.0.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Railway paid plan provides sufficient volume and build minutes for 9 admin console categories.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Brevo API key is maintained for email log access by the Admin Console (FR-AC-21).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Admin Console categories 1–5 are delivered in Phases 4–5; categories 6–9 in Phase 6–7.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color w:val="1E293B"/>
          <w:sz w:val="20"/>
          <w:szCs w:val="20"/>
        </w:rPr>
        <w:t xml:space="preserve">PostgreSQL is live on Railway; ML Ops data, component weights and feature flags are stored in it.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9. RISKS</w:t>
      </w:r>
    </w:p>
    <w:p>
      <w:pPr>
        <w:spacing w:after="80" w:before="60"/>
        <w:jc w:val="left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See RAID Log for full risk register. Key risks relating to Admin Console: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Admin console scope increases significantly with 9 categories; managed by phased delivery order.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Brevo API rate limits may affect email log rendering at scale (mitigate: cache log for 5 mins).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Act-as-user feature carries data exposure risk; mitigated by read-only enforcement and audit logging.</w:t>
      </w:r>
    </w:p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10. APPROVAL</w:t>
      </w:r>
    </w:p>
    <w:tbl>
      <w:tblPr>
        <w:tblW w:type="dxa" w:w="9720"/>
        <w:tblBorders>
          <w:top w:val="single" w:color="10194B" w:sz="4"/>
          <w:left w:val="none"/>
          <w:bottom w:val="single" w:color="10194B" w:sz="4"/>
          <w:right w:val="none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65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51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209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Signature</w:t>
            </w:r>
          </w:p>
        </w:tc>
        <w:tc>
          <w:tcPr>
            <w:tcW w:type="dxa" w:w="2209"/>
            <w:shd w:fill="071426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Product Owner</w:t>
            </w:r>
          </w:p>
        </w:tc>
        <w:tc>
          <w:tcPr>
            <w:tcW w:type="dxa" w:w="2651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 Panchal</w:t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/>
            </w:r>
          </w:p>
        </w:tc>
        <w:tc>
          <w:tcPr>
            <w:tcW w:type="dxa" w:w="2209"/>
            <w:shd w:fill="FFFFF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October 2026</w:t>
            </w:r>
          </w:p>
        </w:tc>
      </w:tr>
      <w:tr>
        <w:tc>
          <w:tcPr>
            <w:tcW w:type="dxa" w:w="265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Engineering Lead</w:t>
            </w:r>
          </w:p>
        </w:tc>
        <w:tc>
          <w:tcPr>
            <w:tcW w:type="dxa" w:w="2651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Sandeep Panchal</w:t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/>
            </w:r>
          </w:p>
        </w:tc>
        <w:tc>
          <w:tcPr>
            <w:tcW w:type="dxa" w:w="2209"/>
            <w:shd w:fill="F2F4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E293B"/>
                <w:sz w:val="18"/>
                <w:szCs w:val="18"/>
              </w:rPr>
              <w:t xml:space="preserve">October 2026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176BFA"/>
          <w:sz w:val="24"/>
          <w:szCs w:val="24"/>
        </w:rPr>
        <w:t xml:space="preserve">11. CHANGE LOG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14 Oct 2026 — PostgreSQL is live: scope (4.1, 4.3), FR-04 and assumption 14 corrected.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color w:val="1E293B"/>
          <w:sz w:val="20"/>
          <w:szCs w:val="20"/>
        </w:rPr>
        <w:t xml:space="preserve">14 Oct 2026 — FR-AC-01 adds the Access section (Invitations &amp; Access had none); FR-AC-05 names the real health checks; FR-AC-15 describes the privacy tools that exist.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720"/>
      <w:tblBorders>
        <w:top w:val="single" w:color="94A3B8" w:sz="2"/>
        <w:left w:val="none"/>
        <w:bottom w:val="none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top w:type="dxa" w:w="80"/>
          </w:tcMar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Page </w:t>
          </w:r>
          <w:pgNum/>
          <w:r>
            <w:rPr>
              <w:color w:val="64748B"/>
              <w:sz w:val="16"/>
              <w:szCs w:val="16"/>
            </w:rPr>
            <w:t xml:space="preserve"> of </w:t>
          </w:r>
          <w:pgNum/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20"/>
      <w:tblBorders>
        <w:top w:val="none"/>
        <w:left w:val="none"/>
        <w:bottom w:val="single" w:color="176BFA" w:sz="4"/>
        <w:right w:val="none"/>
        <w:insideH w:val="single" w:color="auto" w:sz="4"/>
        <w:insideV w:val="single" w:color="auto" w:sz="4"/>
      </w:tblBorders>
      <w:tblLayout w:type="fixed"/>
    </w:tblPr>
    <w:tblGrid>
      <w:gridCol w:w="100"/>
    </w:tblGrid>
    <w:tr>
      <w:tc>
        <w:tcPr>
          <w:tcW w:type="dxa" w:w="9720"/>
          <w:tcMar>
            <w:bottom w:type="dxa" w:w="80"/>
          </w:tcMar>
        </w:tcPr>
        <w:p>
          <w:r>
            <w:rPr>
              <w:b/>
              <w:bCs/>
              <w:color w:val="071426"/>
              <w:sz w:val="18"/>
              <w:szCs w:val="18"/>
            </w:rPr>
            <w:t xml:space="preserve">ChurnSight</w:t>
          </w:r>
          <w:r>
            <w:rPr>
              <w:color w:val="64748B"/>
              <w:sz w:val="18"/>
              <w:szCs w:val="18"/>
            </w:rPr>
            <w:t xml:space="preserve"> · </w:t>
          </w:r>
          <w:r>
            <w:rPr>
              <w:color w:val="64748B"/>
              <w:sz w:val="18"/>
              <w:szCs w:val="18"/>
            </w:rPr>
            <w:t xml:space="preserve">Business Requirements Document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bullet"/>
      <w:lvlText w:val="○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bullet"/>
      <w:lvlText w:val="▪"/>
      <w:lvlJc w:val="left"/>
      <w:pPr>
        <w:ind w:left="1080" w:hanging="360"/>
      </w:pPr>
      <w:rPr>
        <w:color w:val="1E293B"/>
        <w:sz w:val="20"/>
        <w:szCs w:val="2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color w:val="1E293B"/>
        <w:sz w:val="20"/>
        <w:szCs w:val="20"/>
      </w:rPr>
    </w:lvl>
    <w:lvl w:ilvl="1" w15:tentative="1">
      <w:start w:val="1"/>
      <w:numFmt w:val="decimal"/>
      <w:lvlText w:val="%2."/>
      <w:lvlJc w:val="left"/>
      <w:pPr>
        <w:ind w:left="720" w:hanging="360"/>
      </w:pPr>
      <w:rPr>
        <w:color w:val="1E293B"/>
        <w:sz w:val="20"/>
        <w:szCs w:val="20"/>
      </w:rPr>
    </w:lvl>
    <w:lvl w:ilvl="2" w15:tentative="1">
      <w:start w:val="1"/>
      <w:numFmt w:val="decimal"/>
      <w:lvlText w:val="%3."/>
      <w:lvlJc w:val="left"/>
      <w:pPr>
        <w:ind w:left="1080" w:hanging="360"/>
      </w:pPr>
      <w:rPr>
        <w:color w:val="1E293B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2026-10-14T16:06:55.173Z</dcterms:created>
  <dcterms:modified xsi:type="dcterms:W3CDTF">2026-10-14T16:06:55.186Z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