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W w:type="dxa" w:w="9720"/>
            <w:shd w:fill="071426" w:color="auto" w:val="clear"/>
            <w:tcMar>
              <w:top w:type="dxa" w:w="220"/>
              <w:left w:type="dxa" w:w="280"/>
              <w:bottom w:type="dxa" w:w="220"/>
              <w:right w:type="dxa" w:w="280"/>
            </w:tcMar>
          </w:tcPr>
          <w:p>
            <w:pPr>
              <w:spacing w:after="60" w:before="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Churn</w:t>
            </w:r>
            <w:r>
              <w:rPr>
                <w:b/>
                <w:bCs/>
                <w:color w:val="09C9E8"/>
                <w:sz w:val="48"/>
                <w:szCs w:val="48"/>
              </w:rPr>
              <w:t xml:space="preserve">Sight</w:t>
            </w:r>
          </w:p>
          <w:p>
            <w:r>
              <w:rPr>
                <w:color w:val="94A3B8"/>
                <w:sz w:val="20"/>
                <w:szCs w:val="20"/>
              </w:rPr>
              <w:t xml:space="preserve">AI-Powered Customer Intelligence Platform</w:t>
            </w:r>
          </w:p>
        </w:tc>
      </w:tr>
    </w:tbl>
    <w:p>
      <w:pPr>
        <w:spacing w:after="100" w:before="320"/>
      </w:pPr>
      <w:r>
        <w:rPr>
          <w:b/>
          <w:bCs/>
          <w:color w:val="1E293B"/>
          <w:sz w:val="52"/>
          <w:szCs w:val="52"/>
        </w:rPr>
        <w:t xml:space="preserve">RAID Log</w:t>
      </w:r>
    </w:p>
    <w:p>
      <w:pPr>
        <w:spacing w:after="0" w:before="0"/>
      </w:pPr>
      <w:r>
        <w:rPr>
          <w:color w:val="176BFA"/>
          <w:sz w:val="24"/>
          <w:szCs w:val="24"/>
        </w:rPr>
        <w:t xml:space="preserve">ChurnSight v2.0 — Risks, Assumptions, Issues &amp; Dependencies</w:t>
      </w:r>
    </w:p>
    <w:p>
      <w:pPr>
        <w:pBdr>
          <w:bottom w:val="single" w:color="176BFA" w:sz="4"/>
        </w:pBdr>
        <w:spacing w:after="80" w:before="80"/>
      </w:pPr>
    </w:p>
    <w:p>
      <w:pPr>
        <w:spacing w:before="160"/>
      </w:pP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Project:  </w:t>
      </w:r>
      <w:r>
        <w:rPr>
          <w:color w:val="1E293B"/>
          <w:sz w:val="18"/>
          <w:szCs w:val="18"/>
        </w:rPr>
        <w:t xml:space="preserve">ChurnSight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Version:  </w:t>
      </w:r>
      <w:r>
        <w:rPr>
          <w:color w:val="1E293B"/>
          <w:sz w:val="18"/>
          <w:szCs w:val="18"/>
        </w:rPr>
        <w:t xml:space="preserve">2.0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Status:  </w:t>
      </w:r>
      <w:r>
        <w:rPr>
          <w:color w:val="1E293B"/>
          <w:sz w:val="18"/>
          <w:szCs w:val="18"/>
        </w:rPr>
        <w:t xml:space="preserve">Live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Owner:  </w:t>
      </w:r>
      <w:r>
        <w:rPr>
          <w:color w:val="1E293B"/>
          <w:sz w:val="18"/>
          <w:szCs w:val="18"/>
        </w:rPr>
        <w:t xml:space="preserve">Sandeep Panchal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Date:  </w:t>
      </w:r>
      <w:r>
        <w:rPr>
          <w:color w:val="1E293B"/>
          <w:sz w:val="18"/>
          <w:szCs w:val="18"/>
        </w:rPr>
        <w:t xml:space="preserve">October 2026</w:t>
      </w:r>
    </w:p>
    <w:p>
      <w:pPr>
        <w:spacing w:after="40" w:before="40"/>
      </w:pPr>
      <w:r>
        <w:rPr>
          <w:b/>
          <w:bCs/>
          <w:color w:val="64748B"/>
          <w:sz w:val="18"/>
          <w:szCs w:val="18"/>
        </w:rPr>
        <w:t xml:space="preserve">Revised:  </w:t>
      </w:r>
      <w:r>
        <w:rPr>
          <w:color w:val="1E293B"/>
          <w:sz w:val="18"/>
          <w:szCs w:val="18"/>
        </w:rPr>
        <w:t xml:space="preserve">14 Oct 2026 — checked against the live code; see Change Log</w:t>
      </w:r>
    </w:p>
    <w:p>
      <w:pPr>
        <w:spacing w:before="80"/>
      </w:pPr>
    </w:p>
    <w:p>
      <w:r>
        <w:rPr>
          <w:b/>
          <w:bCs/>
          <w:caps/>
          <w:color w:val="94A3B8"/>
          <w:sz w:val="16"/>
          <w:szCs w:val="16"/>
        </w:rPr>
        <w:t xml:space="preserve">CONFIDENTIAL</w:t>
      </w:r>
    </w:p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SECTION 1 — RISKS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Risk scoring: Probability (1–5) × Impact (1–5) = Score. Score ≥ 12: Red. Score 6–11: Amber. Score &lt; 6: Green.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54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379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 Description</w:t>
            </w:r>
          </w:p>
        </w:tc>
        <w:tc>
          <w:tcPr>
            <w:tcW w:type="dxa" w:w="612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Prob</w:t>
            </w:r>
          </w:p>
        </w:tc>
        <w:tc>
          <w:tcPr>
            <w:tcW w:type="dxa" w:w="816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680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612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RAG</w:t>
            </w:r>
          </w:p>
        </w:tc>
        <w:tc>
          <w:tcPr>
            <w:tcW w:type="dxa" w:w="1223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85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 / Response</w:t>
            </w:r>
          </w:p>
        </w:tc>
      </w:tr>
      <w:tr>
        <w:tc>
          <w:tcPr>
            <w:tcW w:type="dxa" w:w="5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R-01</w:t>
            </w:r>
          </w:p>
        </w:tc>
        <w:tc>
          <w:tcPr>
            <w:tcW w:type="dxa" w:w="23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API integration rate limits block real-time health score refresh</w:t>
            </w:r>
          </w:p>
        </w:tc>
        <w:tc>
          <w:tcPr>
            <w:tcW w:type="dxa" w:w="6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8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6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Red</w:t>
            </w:r>
          </w:p>
        </w:tc>
        <w:tc>
          <w:tcPr>
            <w:tcW w:type="dxa" w:w="122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Cache scores 1 hr; exponential backoff; degrade gracefully</w:t>
            </w:r>
          </w:p>
        </w:tc>
      </w:tr>
      <w:tr>
        <w:tc>
          <w:tcPr>
            <w:tcW w:type="dxa" w:w="5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R-02</w:t>
            </w:r>
          </w:p>
        </w:tc>
        <w:tc>
          <w:tcPr>
            <w:tcW w:type="dxa" w:w="237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ML model AUC-ROC plateaus below 0.87 target</w:t>
            </w:r>
          </w:p>
        </w:tc>
        <w:tc>
          <w:tcPr>
            <w:tcW w:type="dxa" w:w="61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81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6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61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Amber</w:t>
            </w:r>
          </w:p>
        </w:tc>
        <w:tc>
          <w:tcPr>
            <w:tcW w:type="dxa" w:w="122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85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Ensemble methods; additional feature engineering; adjust target if justified by data</w:t>
            </w:r>
          </w:p>
        </w:tc>
      </w:tr>
      <w:tr>
        <w:tc>
          <w:tcPr>
            <w:tcW w:type="dxa" w:w="5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R-03</w:t>
            </w:r>
          </w:p>
        </w:tc>
        <w:tc>
          <w:tcPr>
            <w:tcW w:type="dxa" w:w="23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React rewrite scope creep delays v2.0 delivery</w:t>
            </w:r>
          </w:p>
        </w:tc>
        <w:tc>
          <w:tcPr>
            <w:tcW w:type="dxa" w:w="6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8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6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Red</w:t>
            </w:r>
          </w:p>
        </w:tc>
        <w:tc>
          <w:tcPr>
            <w:tcW w:type="dxa" w:w="122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2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Incremental migration; ship screens in React one at a time; keep Flask API stable</w:t>
            </w:r>
          </w:p>
        </w:tc>
      </w:tr>
      <w:tr>
        <w:tc>
          <w:tcPr>
            <w:tcW w:type="dxa" w:w="5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R-04</w:t>
            </w:r>
          </w:p>
        </w:tc>
        <w:tc>
          <w:tcPr>
            <w:tcW w:type="dxa" w:w="237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Brevo SMTP delivery to spam for Gmail recipients</w:t>
            </w:r>
          </w:p>
        </w:tc>
        <w:tc>
          <w:tcPr>
            <w:tcW w:type="dxa" w:w="61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81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6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9</w:t>
            </w:r>
          </w:p>
        </w:tc>
        <w:tc>
          <w:tcPr>
            <w:tcW w:type="dxa" w:w="61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Amber</w:t>
            </w:r>
          </w:p>
        </w:tc>
        <w:tc>
          <w:tcPr>
            <w:tcW w:type="dxa" w:w="122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285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Custom domain with Brevo DNS records; test deliverability early — RESOLVED: Brevo HTTPS API now used</w:t>
            </w:r>
          </w:p>
        </w:tc>
      </w:tr>
      <w:tr>
        <w:tc>
          <w:tcPr>
            <w:tcW w:type="dxa" w:w="5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R-05</w:t>
            </w:r>
          </w:p>
        </w:tc>
        <w:tc>
          <w:tcPr>
            <w:tcW w:type="dxa" w:w="23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 platform outage during demo/launch</w:t>
            </w:r>
          </w:p>
        </w:tc>
        <w:tc>
          <w:tcPr>
            <w:tcW w:type="dxa" w:w="6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8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6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Amber</w:t>
            </w:r>
          </w:p>
        </w:tc>
        <w:tc>
          <w:tcPr>
            <w:tcW w:type="dxa" w:w="122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Maintain Railway status alerts; prepare fallback deployment region</w:t>
            </w:r>
          </w:p>
        </w:tc>
      </w:tr>
      <w:tr>
        <w:tc>
          <w:tcPr>
            <w:tcW w:type="dxa" w:w="5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R-06</w:t>
            </w:r>
          </w:p>
        </w:tc>
        <w:tc>
          <w:tcPr>
            <w:tcW w:type="dxa" w:w="237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Firebase Auth quota exceeded under load</w:t>
            </w:r>
          </w:p>
        </w:tc>
        <w:tc>
          <w:tcPr>
            <w:tcW w:type="dxa" w:w="61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81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6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61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Amber</w:t>
            </w:r>
          </w:p>
        </w:tc>
        <w:tc>
          <w:tcPr>
            <w:tcW w:type="dxa" w:w="122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85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Monitor quota; upgrade Firebase plan if needed</w:t>
            </w:r>
          </w:p>
        </w:tc>
      </w:tr>
      <w:tr>
        <w:tc>
          <w:tcPr>
            <w:tcW w:type="dxa" w:w="5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R-07</w:t>
            </w:r>
          </w:p>
        </w:tc>
        <w:tc>
          <w:tcPr>
            <w:tcW w:type="dxa" w:w="23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WCAG compliance rework adds unplanned sprint work</w:t>
            </w:r>
          </w:p>
        </w:tc>
        <w:tc>
          <w:tcPr>
            <w:tcW w:type="dxa" w:w="6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8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6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Amber</w:t>
            </w:r>
          </w:p>
        </w:tc>
        <w:tc>
          <w:tcPr>
            <w:tcW w:type="dxa" w:w="122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Embed axe-core in CI; include accessibility in every screen DoD; admin console DoD includes axe-core pass</w:t>
            </w:r>
          </w:p>
        </w:tc>
      </w:tr>
      <w:tr>
        <w:tc>
          <w:tcPr>
            <w:tcW w:type="dxa" w:w="5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R-08</w:t>
            </w:r>
          </w:p>
        </w:tc>
        <w:tc>
          <w:tcPr>
            <w:tcW w:type="dxa" w:w="237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Customer CSV contains PII (GDPR risk)</w:t>
            </w:r>
          </w:p>
        </w:tc>
        <w:tc>
          <w:tcPr>
            <w:tcW w:type="dxa" w:w="61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81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6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61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Red</w:t>
            </w:r>
          </w:p>
        </w:tc>
        <w:tc>
          <w:tcPr>
            <w:tcW w:type="dxa" w:w="122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285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Personal-data columns are already detected on upload and neither modelled nor stored; IDs can be pseudonymised; erasure and subject-access export exist (/api/privacy/*). Remaining: surface the privacy tools in the admin console (Sprint 7)</w:t>
            </w:r>
          </w:p>
        </w:tc>
      </w:tr>
      <w:tr>
        <w:tc>
          <w:tcPr>
            <w:tcW w:type="dxa" w:w="5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R-09</w:t>
            </w:r>
          </w:p>
        </w:tc>
        <w:tc>
          <w:tcPr>
            <w:tcW w:type="dxa" w:w="23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Playbook email steps land in spam</w:t>
            </w:r>
          </w:p>
        </w:tc>
        <w:tc>
          <w:tcPr>
            <w:tcW w:type="dxa" w:w="6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8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6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Amber</w:t>
            </w:r>
          </w:p>
        </w:tc>
        <w:tc>
          <w:tcPr>
            <w:tcW w:type="dxa" w:w="122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Send via Brevo with verified sender; include unsubscribe footer per CAN-SPAM</w:t>
            </w:r>
          </w:p>
        </w:tc>
      </w:tr>
      <w:tr>
        <w:tc>
          <w:tcPr>
            <w:tcW w:type="dxa" w:w="5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R-10</w:t>
            </w:r>
          </w:p>
        </w:tc>
        <w:tc>
          <w:tcPr>
            <w:tcW w:type="dxa" w:w="237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Solo developer bus-factor risk</w:t>
            </w:r>
          </w:p>
        </w:tc>
        <w:tc>
          <w:tcPr>
            <w:tcW w:type="dxa" w:w="61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81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6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61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Amber</w:t>
            </w:r>
          </w:p>
        </w:tc>
        <w:tc>
          <w:tcPr>
            <w:tcW w:type="dxa" w:w="122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285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Document all decisions in DEVELOPER_GUIDE.md; maintain PR review trail in GitHub</w:t>
            </w:r>
          </w:p>
        </w:tc>
      </w:tr>
      <w:tr>
        <w:tc>
          <w:tcPr>
            <w:tcW w:type="dxa" w:w="5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R-11</w:t>
            </w:r>
          </w:p>
        </w:tc>
        <w:tc>
          <w:tcPr>
            <w:tcW w:type="dxa" w:w="23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console scope creep (9 categories)</w:t>
            </w:r>
          </w:p>
        </w:tc>
        <w:tc>
          <w:tcPr>
            <w:tcW w:type="dxa" w:w="6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8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6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Red</w:t>
            </w:r>
          </w:p>
        </w:tc>
        <w:tc>
          <w:tcPr>
            <w:tcW w:type="dxa" w:w="122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2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Deliver in phased order (9→1→3→5→2→7→4→6→8); one PR per category; scope each as a standalone feature</w:t>
            </w:r>
          </w:p>
        </w:tc>
      </w:tr>
      <w:tr>
        <w:tc>
          <w:tcPr>
            <w:tcW w:type="dxa" w:w="5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R-12</w:t>
            </w:r>
          </w:p>
        </w:tc>
        <w:tc>
          <w:tcPr>
            <w:tcW w:type="dxa" w:w="237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Act-as-user impersonation data exposure</w:t>
            </w:r>
          </w:p>
        </w:tc>
        <w:tc>
          <w:tcPr>
            <w:tcW w:type="dxa" w:w="61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81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6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61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Amber</w:t>
            </w:r>
          </w:p>
        </w:tc>
        <w:tc>
          <w:tcPr>
            <w:tcW w:type="dxa" w:w="122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85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Strictly read-only session token; audit every impersonation event; no write API calls permitted in impersonated session</w:t>
            </w:r>
          </w:p>
        </w:tc>
      </w:tr>
      <w:tr>
        <w:tc>
          <w:tcPr>
            <w:tcW w:type="dxa" w:w="5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R-13</w:t>
            </w:r>
          </w:p>
        </w:tc>
        <w:tc>
          <w:tcPr>
            <w:tcW w:type="dxa" w:w="23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Brevo API rate limits affect email log fetch</w:t>
            </w:r>
          </w:p>
        </w:tc>
        <w:tc>
          <w:tcPr>
            <w:tcW w:type="dxa" w:w="6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8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6</w:t>
            </w:r>
          </w:p>
        </w:tc>
        <w:tc>
          <w:tcPr>
            <w:tcW w:type="dxa" w:w="6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Amber</w:t>
            </w:r>
          </w:p>
        </w:tc>
        <w:tc>
          <w:tcPr>
            <w:tcW w:type="dxa" w:w="122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Cache email log response for 5 minutes; surface cache timestamp in admin UI</w:t>
            </w:r>
          </w:p>
        </w:tc>
      </w:tr>
      <w:tr>
        <w:tc>
          <w:tcPr>
            <w:tcW w:type="dxa" w:w="5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R-14</w:t>
            </w:r>
          </w:p>
        </w:tc>
        <w:tc>
          <w:tcPr>
            <w:tcW w:type="dxa" w:w="237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console missing audit entries (race condition)</w:t>
            </w:r>
          </w:p>
        </w:tc>
        <w:tc>
          <w:tcPr>
            <w:tcW w:type="dxa" w:w="61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81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6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8</w:t>
            </w:r>
          </w:p>
        </w:tc>
        <w:tc>
          <w:tcPr>
            <w:tcW w:type="dxa" w:w="61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Amber</w:t>
            </w:r>
          </w:p>
        </w:tc>
        <w:tc>
          <w:tcPr>
            <w:tcW w:type="dxa" w:w="122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85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Write audit log synchronously before HTTP 200 response is returned; cover with integration tests</w:t>
            </w:r>
          </w:p>
        </w:tc>
      </w:tr>
      <w:tr>
        <w:tc>
          <w:tcPr>
            <w:tcW w:type="dxa" w:w="5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R-15</w:t>
            </w:r>
          </w:p>
        </w:tc>
        <w:tc>
          <w:tcPr>
            <w:tcW w:type="dxa" w:w="2379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Health score inputs (logins, tickets, payments, NPS) missing from typical CSV uploads, so the composite score rests on the churn model alone</w:t>
            </w:r>
          </w:p>
        </w:tc>
        <w:tc>
          <w:tcPr>
            <w:tcW w:type="dxa" w:w="6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4</w:t>
            </w:r>
          </w:p>
        </w:tc>
        <w:tc>
          <w:tcPr>
            <w:tcW w:type="dxa" w:w="8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3</w:t>
            </w:r>
          </w:p>
        </w:tc>
        <w:tc>
          <w:tcPr>
            <w:tcW w:type="dxa" w:w="6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12</w:t>
            </w:r>
          </w:p>
        </w:tc>
        <w:tc>
          <w:tcPr>
            <w:tcW w:type="dxa" w:w="61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Red</w:t>
            </w:r>
          </w:p>
        </w:tc>
        <w:tc>
          <w:tcPr>
            <w:tcW w:type="dxa" w:w="122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285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Leave missing components out and re-normalise weights; show which components were used (CS2-03); B2B pipeline tables supply these signals; decision DEC-03</w:t>
            </w:r>
          </w:p>
        </w:tc>
      </w:tr>
      <w:tr>
        <w:tc>
          <w:tcPr>
            <w:tcW w:type="dxa" w:w="5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R-16</w:t>
            </w:r>
          </w:p>
        </w:tc>
        <w:tc>
          <w:tcPr>
            <w:tcW w:type="dxa" w:w="2379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Open security bugs reach users before they are fixed (admin via unverified email, script injection through CSV column names)</w:t>
            </w:r>
          </w:p>
        </w:tc>
        <w:tc>
          <w:tcPr>
            <w:tcW w:type="dxa" w:w="61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2</w:t>
            </w:r>
          </w:p>
        </w:tc>
        <w:tc>
          <w:tcPr>
            <w:tcW w:type="dxa" w:w="81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5</w:t>
            </w:r>
          </w:p>
        </w:tc>
        <w:tc>
          <w:tcPr>
            <w:tcW w:type="dxa" w:w="680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10</w:t>
            </w:r>
          </w:p>
        </w:tc>
        <w:tc>
          <w:tcPr>
            <w:tcW w:type="dxa" w:w="612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Amber</w:t>
            </w:r>
          </w:p>
        </w:tc>
        <w:tc>
          <w:tcPr>
            <w:tcW w:type="dxa" w:w="1223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285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Scheduled first in Sprint 1 (SEC-01, SEC-02), ahead of feature work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SECTION 2 — ASSUMPTIONS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88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418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194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474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Verification Method</w:t>
            </w:r>
          </w:p>
        </w:tc>
      </w:tr>
      <w:tr>
        <w:tc>
          <w:tcPr>
            <w:tcW w:type="dxa" w:w="8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A-01</w:t>
            </w:r>
          </w:p>
        </w:tc>
        <w:tc>
          <w:tcPr>
            <w:tcW w:type="dxa" w:w="441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Firebase Authentication remains the identity provider through v2.0</w:t>
            </w:r>
          </w:p>
        </w:tc>
        <w:tc>
          <w:tcPr>
            <w:tcW w:type="dxa" w:w="19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24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Confirmed — no migration planned</w:t>
            </w:r>
          </w:p>
        </w:tc>
      </w:tr>
      <w:tr>
        <w:tc>
          <w:tcPr>
            <w:tcW w:type="dxa" w:w="8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A-02</w:t>
            </w:r>
          </w:p>
        </w:tc>
        <w:tc>
          <w:tcPr>
            <w:tcW w:type="dxa" w:w="4418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 paid plan provides sufficient build minutes and volume for all 9 admin console categories</w:t>
            </w:r>
          </w:p>
        </w:tc>
        <w:tc>
          <w:tcPr>
            <w:tcW w:type="dxa" w:w="19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247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Monitor Railway usage dashboard monthly</w:t>
            </w:r>
          </w:p>
        </w:tc>
      </w:tr>
      <w:tr>
        <w:tc>
          <w:tcPr>
            <w:tcW w:type="dxa" w:w="8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A-03</w:t>
            </w:r>
          </w:p>
        </w:tc>
        <w:tc>
          <w:tcPr>
            <w:tcW w:type="dxa" w:w="441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Brevo free tier sufficient for &lt; 300 emails/day in v2.0</w:t>
            </w:r>
          </w:p>
        </w:tc>
        <w:tc>
          <w:tcPr>
            <w:tcW w:type="dxa" w:w="19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24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Monitor Brevo quota dashboard</w:t>
            </w:r>
          </w:p>
        </w:tc>
      </w:tr>
      <w:tr>
        <w:tc>
          <w:tcPr>
            <w:tcW w:type="dxa" w:w="8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A-04</w:t>
            </w:r>
          </w:p>
        </w:tc>
        <w:tc>
          <w:tcPr>
            <w:tcW w:type="dxa" w:w="4418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Brevo API key will remain available for admin console email log (FR-AC-21)</w:t>
            </w:r>
          </w:p>
        </w:tc>
        <w:tc>
          <w:tcPr>
            <w:tcW w:type="dxa" w:w="19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247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Key confirmed in Railway variables Oct 2026</w:t>
            </w:r>
          </w:p>
        </w:tc>
      </w:tr>
      <w:tr>
        <w:tc>
          <w:tcPr>
            <w:tcW w:type="dxa" w:w="8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A-05</w:t>
            </w:r>
          </w:p>
        </w:tc>
        <w:tc>
          <w:tcPr>
            <w:tcW w:type="dxa" w:w="441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Scored customers, alerts, audit log, jobs and usage are stored in PostgreSQL on Railway (row-level security per workspace); model artefacts are encrypted on the Railway volume</w:t>
            </w:r>
          </w:p>
        </w:tc>
        <w:tc>
          <w:tcPr>
            <w:tcW w:type="dxa" w:w="19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4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Corrected 14 Oct 2026: verified in code (api/churn/db.py) and /api/ready (database ok). The earlier "in-memory, no database" assumption was wrong</w:t>
            </w:r>
          </w:p>
        </w:tc>
      </w:tr>
      <w:tr>
        <w:tc>
          <w:tcPr>
            <w:tcW w:type="dxa" w:w="8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A-06</w:t>
            </w:r>
          </w:p>
        </w:tc>
        <w:tc>
          <w:tcPr>
            <w:tcW w:type="dxa" w:w="4418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console categories 1–5 deliver in Phases 4–5; categories 6–9 in Phases 6–7</w:t>
            </w:r>
          </w:p>
        </w:tc>
        <w:tc>
          <w:tcPr>
            <w:tcW w:type="dxa" w:w="19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247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Project Plan phase dates</w:t>
            </w:r>
          </w:p>
        </w:tc>
      </w:tr>
      <w:tr>
        <w:tc>
          <w:tcPr>
            <w:tcW w:type="dxa" w:w="8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A-07</w:t>
            </w:r>
          </w:p>
        </w:tc>
        <w:tc>
          <w:tcPr>
            <w:tcW w:type="dxa" w:w="441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Single admin user (Sandeep) for v2.0; multi-admin management deferred to v2.1</w:t>
            </w:r>
          </w:p>
        </w:tc>
        <w:tc>
          <w:tcPr>
            <w:tcW w:type="dxa" w:w="19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247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Confirmed in BRD scope</w:t>
            </w:r>
          </w:p>
        </w:tc>
      </w:tr>
      <w:tr>
        <w:tc>
          <w:tcPr>
            <w:tcW w:type="dxa" w:w="88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A-08</w:t>
            </w:r>
          </w:p>
        </w:tc>
        <w:tc>
          <w:tcPr>
            <w:tcW w:type="dxa" w:w="4418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Act-as-user impersonation is strictly read-only; enforced at API token level</w:t>
            </w:r>
          </w:p>
        </w:tc>
        <w:tc>
          <w:tcPr>
            <w:tcW w:type="dxa" w:w="194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2474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Code review + integration test TC-AC-USR-06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SECTION 3 — ISSUES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63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46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Issue Description</w:t>
            </w:r>
          </w:p>
        </w:tc>
        <w:tc>
          <w:tcPr>
            <w:tcW w:type="dxa" w:w="127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275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18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Resolution / Action</w:t>
            </w:r>
          </w:p>
        </w:tc>
      </w:tr>
      <w:tr>
        <w:tc>
          <w:tcPr>
            <w:tcW w:type="dxa" w:w="6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I-01</w:t>
            </w:r>
          </w:p>
        </w:tc>
        <w:tc>
          <w:tcPr>
            <w:tcW w:type="dxa" w:w="334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 Hobby plan blocks SMTP ports — Brevo API used instead</w:t>
            </w:r>
          </w:p>
        </w:tc>
        <w:tc>
          <w:tcPr>
            <w:tcW w:type="dxa" w:w="12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Resolved</w:t>
            </w:r>
          </w:p>
        </w:tc>
        <w:tc>
          <w:tcPr>
            <w:tcW w:type="dxa" w:w="31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 #5: Brevo HTTPS API fallback implemented and deployed. Email confirmed delivered.</w:t>
            </w:r>
          </w:p>
        </w:tc>
      </w:tr>
      <w:tr>
        <w:tc>
          <w:tcPr>
            <w:tcW w:type="dxa" w:w="6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I-02</w:t>
            </w:r>
          </w:p>
        </w:tc>
        <w:tc>
          <w:tcPr>
            <w:tcW w:type="dxa" w:w="334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GitHub branch protection on main required an admin bypass to merge PR #3</w:t>
            </w:r>
          </w:p>
        </w:tc>
        <w:tc>
          <w:tcPr>
            <w:tcW w:type="dxa" w:w="127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7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Resolved</w:t>
            </w:r>
          </w:p>
        </w:tc>
        <w:tc>
          <w:tcPr>
            <w:tcW w:type="dxa" w:w="31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 bypassed branch protection. Rule relaxed for solo development.</w:t>
            </w:r>
          </w:p>
        </w:tc>
      </w:tr>
      <w:tr>
        <w:tc>
          <w:tcPr>
            <w:tcW w:type="dxa" w:w="6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I-03</w:t>
            </w:r>
          </w:p>
        </w:tc>
        <w:tc>
          <w:tcPr>
            <w:tcW w:type="dxa" w:w="334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GovernXT documents mistakenly created in Churn Prediction Model folder</w:t>
            </w:r>
          </w:p>
        </w:tc>
        <w:tc>
          <w:tcPr>
            <w:tcW w:type="dxa" w:w="12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Resolved</w:t>
            </w:r>
          </w:p>
        </w:tc>
        <w:tc>
          <w:tcPr>
            <w:tcW w:type="dxa" w:w="31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Files deleted by user. ChurnSight documents rebuilt in correct folder.</w:t>
            </w:r>
          </w:p>
        </w:tc>
      </w:tr>
      <w:tr>
        <w:tc>
          <w:tcPr>
            <w:tcW w:type="dxa" w:w="6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I-04</w:t>
            </w:r>
          </w:p>
        </w:tc>
        <w:tc>
          <w:tcPr>
            <w:tcW w:type="dxa" w:w="334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Invitation email greeted user by email prefix instead of "Hi there"</w:t>
            </w:r>
          </w:p>
        </w:tc>
        <w:tc>
          <w:tcPr>
            <w:tcW w:type="dxa" w:w="127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7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Resolved</w:t>
            </w:r>
          </w:p>
        </w:tc>
        <w:tc>
          <w:tcPr>
            <w:tcW w:type="dxa" w:w="31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 #6: greeting changed to "Hi there". Merged Oct 2026.</w:t>
            </w:r>
          </w:p>
        </w:tc>
      </w:tr>
      <w:tr>
        <w:tc>
          <w:tcPr>
            <w:tcW w:type="dxa" w:w="6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I-05</w:t>
            </w:r>
          </w:p>
        </w:tc>
        <w:tc>
          <w:tcPr>
            <w:tcW w:type="dxa" w:w="334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Invitation code too prominent in email (large, wrapped)</w:t>
            </w:r>
          </w:p>
        </w:tc>
        <w:tc>
          <w:tcPr>
            <w:tcW w:type="dxa" w:w="12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Resolved</w:t>
            </w:r>
          </w:p>
        </w:tc>
        <w:tc>
          <w:tcPr>
            <w:tcW w:type="dxa" w:w="31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PR #6: code moved under button as small fallback line. Merged Oct 2026.</w:t>
            </w:r>
          </w:p>
        </w:tc>
      </w:tr>
      <w:tr>
        <w:tc>
          <w:tcPr>
            <w:tcW w:type="dxa" w:w="6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I-06</w:t>
            </w:r>
          </w:p>
        </w:tc>
        <w:tc>
          <w:tcPr>
            <w:tcW w:type="dxa" w:w="334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console is a basic user list — not a full-featured rich panel</w:t>
            </w:r>
          </w:p>
        </w:tc>
        <w:tc>
          <w:tcPr>
            <w:tcW w:type="dxa" w:w="127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7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Open</w:t>
            </w:r>
          </w:p>
        </w:tc>
        <w:tc>
          <w:tcPr>
            <w:tcW w:type="dxa" w:w="31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9-category Admin Console Enhancement planned. Phased delivery from Phase 4 onwards. This RAID log update marks start of work.</w:t>
            </w:r>
          </w:p>
        </w:tc>
      </w:tr>
      <w:tr>
        <w:tc>
          <w:tcPr>
            <w:tcW w:type="dxa" w:w="6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I-07</w:t>
            </w:r>
          </w:p>
        </w:tc>
        <w:tc>
          <w:tcPr>
            <w:tcW w:type="dxa" w:w="334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 email list and console login settings stored in Railway variables — not editable in UI</w:t>
            </w:r>
          </w:p>
        </w:tc>
        <w:tc>
          <w:tcPr>
            <w:tcW w:type="dxa" w:w="12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Open</w:t>
            </w:r>
          </w:p>
        </w:tc>
        <w:tc>
          <w:tcPr>
            <w:tcW w:type="dxa" w:w="31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FR-AC-25: admin email list management in UI. Targeted for Category 4 (Invitations &amp; Access).</w:t>
            </w:r>
          </w:p>
        </w:tc>
      </w:tr>
      <w:tr>
        <w:tc>
          <w:tcPr>
            <w:tcW w:type="dxa" w:w="6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I-08</w:t>
            </w:r>
          </w:p>
        </w:tc>
        <w:tc>
          <w:tcPr>
            <w:tcW w:type="dxa" w:w="334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Open security bugs: admin rights for unverified ADMIN_EMAILS sign-ups; script injection through CSV column names on Predict; unbounded sample-data cache; WORKSPACE_MODE not implemented</w:t>
            </w:r>
          </w:p>
        </w:tc>
        <w:tc>
          <w:tcPr>
            <w:tcW w:type="dxa" w:w="127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High</w:t>
            </w:r>
          </w:p>
        </w:tc>
        <w:tc>
          <w:tcPr>
            <w:tcW w:type="dxa" w:w="127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Open</w:t>
            </w:r>
          </w:p>
        </w:tc>
        <w:tc>
          <w:tcPr>
            <w:tcW w:type="dxa" w:w="31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Scheduled: SEC-01 and SEC-02 in Sprint 1, SEC-03 and SEC-04 in Sprint 2</w:t>
            </w:r>
          </w:p>
        </w:tc>
      </w:tr>
      <w:tr>
        <w:tc>
          <w:tcPr>
            <w:tcW w:type="dxa" w:w="6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I-09</w:t>
            </w:r>
          </w:p>
        </w:tc>
        <w:tc>
          <w:tcPr>
            <w:tcW w:type="dxa" w:w="334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MFA screens not built; REQUIRE_MFA_ROLES set to none so nobody is locked out</w:t>
            </w:r>
          </w:p>
        </w:tc>
        <w:tc>
          <w:tcPr>
            <w:tcW w:type="dxa" w:w="12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Open</w:t>
            </w:r>
          </w:p>
        </w:tc>
        <w:tc>
          <w:tcPr>
            <w:tcW w:type="dxa" w:w="31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SEC-05 in Sprint 7; then require MFA for admin and owner</w:t>
            </w:r>
          </w:p>
        </w:tc>
      </w:tr>
      <w:tr>
        <w:tc>
          <w:tcPr>
            <w:tcW w:type="dxa" w:w="6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I-10</w:t>
            </w:r>
          </w:p>
        </w:tc>
        <w:tc>
          <w:tcPr>
            <w:tcW w:type="dxa" w:w="334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Local project folder is on the old branch feature/admin-login with uncommitted edits; Firebase service-account key file sits in the folder and is not git-ignored</w:t>
            </w:r>
          </w:p>
        </w:tc>
        <w:tc>
          <w:tcPr>
            <w:tcW w:type="dxa" w:w="127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7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 progress</w:t>
            </w:r>
          </w:p>
        </w:tc>
        <w:tc>
          <w:tcPr>
            <w:tcW w:type="dxa" w:w="31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Key file pattern added to .gitignore; stale copies removed; switch the folder to main (commands supplied 14 Oct 2026)</w:t>
            </w:r>
          </w:p>
        </w:tc>
      </w:tr>
      <w:tr>
        <w:tc>
          <w:tcPr>
            <w:tcW w:type="dxa" w:w="6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I-11</w:t>
            </w:r>
          </w:p>
        </w:tc>
        <w:tc>
          <w:tcPr>
            <w:tcW w:type="dxa" w:w="334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v2.0 documents described React/Next.js, Recharts, Vitest and in-memory data; the app is Vite + plain JavaScript with Chart.js, pytest and PostgreSQL</w:t>
            </w:r>
          </w:p>
        </w:tc>
        <w:tc>
          <w:tcPr>
            <w:tcW w:type="dxa" w:w="12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Medium</w:t>
            </w:r>
          </w:p>
        </w:tc>
        <w:tc>
          <w:tcPr>
            <w:tcW w:type="dxa" w:w="127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Resolved</w:t>
            </w:r>
          </w:p>
        </w:tc>
        <w:tc>
          <w:tcPr>
            <w:tcW w:type="dxa" w:w="318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Documents corrected 14 Oct 2026</w:t>
            </w:r>
          </w:p>
        </w:tc>
      </w:tr>
      <w:tr>
        <w:tc>
          <w:tcPr>
            <w:tcW w:type="dxa" w:w="6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I-12</w:t>
            </w:r>
          </w:p>
        </w:tc>
        <w:tc>
          <w:tcPr>
            <w:tcW w:type="dxa" w:w="3346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Tier names differ: app shows High / Medium / Low risk, BRD specifies Critical / At Risk / Healthy</w:t>
            </w:r>
          </w:p>
        </w:tc>
        <w:tc>
          <w:tcPr>
            <w:tcW w:type="dxa" w:w="127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Low</w:t>
            </w:r>
          </w:p>
        </w:tc>
        <w:tc>
          <w:tcPr>
            <w:tcW w:type="dxa" w:w="1275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Open</w:t>
            </w:r>
          </w:p>
        </w:tc>
        <w:tc>
          <w:tcPr>
            <w:tcW w:type="dxa" w:w="318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Decision DEC-01 needed before Sprint 1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SECTION 4 — DEPENDENCIES</w:t>
      </w:r>
    </w:p>
    <w:tbl>
      <w:tblPr>
        <w:tblW w:type="dxa" w:w="9720"/>
        <w:tblBorders>
          <w:top w:val="single" w:color="10194B" w:sz="4"/>
          <w:left w:val="none"/>
          <w:bottom w:val="single" w:color="10194B" w:sz="4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58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  <w:tc>
          <w:tcPr>
            <w:tcW w:type="dxa" w:w="123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59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37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Due</w:t>
            </w:r>
          </w:p>
        </w:tc>
        <w:tc>
          <w:tcPr>
            <w:tcW w:type="dxa" w:w="1591"/>
            <w:shd w:fill="071426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D-01</w:t>
            </w:r>
          </w:p>
        </w:tc>
        <w:tc>
          <w:tcPr>
            <w:tcW w:type="dxa" w:w="33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Firebase project with Email/Password + Google SSO enabled</w:t>
            </w:r>
          </w:p>
        </w:tc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External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Complete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D-02</w:t>
            </w:r>
          </w:p>
        </w:tc>
        <w:tc>
          <w:tcPr>
            <w:tcW w:type="dxa" w:w="3358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Railway paid plan with EU West region and volume</w:t>
            </w:r>
          </w:p>
        </w:tc>
        <w:tc>
          <w:tcPr>
            <w:tcW w:type="dxa" w:w="12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External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12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Complete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D-03</w:t>
            </w:r>
          </w:p>
        </w:tc>
        <w:tc>
          <w:tcPr>
            <w:tcW w:type="dxa" w:w="33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Brevo account with verified sender and API key set in Railway</w:t>
            </w:r>
          </w:p>
        </w:tc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External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Complete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D-04</w:t>
            </w:r>
          </w:p>
        </w:tc>
        <w:tc>
          <w:tcPr>
            <w:tcW w:type="dxa" w:w="3358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Representative customer dataset to train and evaluate the model (models are trained per workspace inside the app)</w:t>
            </w:r>
          </w:p>
        </w:tc>
        <w:tc>
          <w:tcPr>
            <w:tcW w:type="dxa" w:w="12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Internal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2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2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W w:type="dxa" w:w="70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D-05</w:t>
            </w:r>
          </w:p>
        </w:tc>
        <w:tc>
          <w:tcPr>
            <w:tcW w:type="dxa" w:w="33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React migration (Phase 6) — not a prerequisite: admin console Categories 9, 1, 3, 5 are built on the current Vite + plain JavaScript stack</w:t>
            </w:r>
          </w:p>
        </w:tc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Internal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6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Planned (DEC-04)</w:t>
            </w:r>
          </w:p>
        </w:tc>
      </w:tr>
      <w:tr>
        <w:tc>
          <w:tcPr>
            <w:tcW w:type="dxa" w:w="70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D-06</w:t>
            </w:r>
          </w:p>
        </w:tc>
        <w:tc>
          <w:tcPr>
            <w:tcW w:type="dxa" w:w="3358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Brevo API key available for sending and the admin console email log</w:t>
            </w:r>
          </w:p>
        </w:tc>
        <w:tc>
          <w:tcPr>
            <w:tcW w:type="dxa" w:w="12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External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12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Complete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Done (set in Railway Oct 2026)</w:t>
            </w:r>
          </w:p>
        </w:tc>
      </w:tr>
      <w:tr>
        <w:tc>
          <w:tcPr>
            <w:tcW w:type="dxa" w:w="70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D-07</w:t>
            </w:r>
          </w:p>
        </w:tc>
        <w:tc>
          <w:tcPr>
            <w:tcW w:type="dxa" w:w="33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Chart.js (already in the frontend bundle) for admin console charts; Recharts only after the React migration</w:t>
            </w:r>
          </w:p>
        </w:tc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Internal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Complete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Done</w:t>
            </w:r>
          </w:p>
        </w:tc>
      </w:tr>
      <w:tr>
        <w:tc>
          <w:tcPr>
            <w:tcW w:type="dxa" w:w="70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D-08</w:t>
            </w:r>
          </w:p>
        </w:tc>
        <w:tc>
          <w:tcPr>
            <w:tcW w:type="dxa" w:w="3358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React Table for data grids — only after the React migration; admin tables use server-side paging until then</w:t>
            </w:r>
          </w:p>
        </w:tc>
        <w:tc>
          <w:tcPr>
            <w:tcW w:type="dxa" w:w="12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Internal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Engineering</w:t>
            </w:r>
          </w:p>
        </w:tc>
        <w:tc>
          <w:tcPr>
            <w:tcW w:type="dxa" w:w="12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Phase 6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Deferred</w:t>
            </w:r>
          </w:p>
        </w:tc>
      </w:tr>
      <w:tr>
        <w:tc>
          <w:tcPr>
            <w:tcW w:type="dxa" w:w="70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D-09</w:t>
            </w:r>
          </w:p>
        </w:tc>
        <w:tc>
          <w:tcPr>
            <w:tcW w:type="dxa" w:w="3358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ADMIN_TOKEN_SECRET (and ADMIN_USERNAME / ADMIN_PASSWORD) set in Railway for the admin console token</w:t>
            </w:r>
          </w:p>
        </w:tc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External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1237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Complete</w:t>
            </w:r>
          </w:p>
        </w:tc>
        <w:tc>
          <w:tcPr>
            <w:tcW w:type="dxa" w:w="1591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Done (Oct 2026)</w:t>
            </w:r>
          </w:p>
        </w:tc>
      </w:tr>
      <w:tr>
        <w:tc>
          <w:tcPr>
            <w:tcW w:type="dxa" w:w="70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D-10</w:t>
            </w:r>
          </w:p>
        </w:tc>
        <w:tc>
          <w:tcPr>
            <w:tcW w:type="dxa" w:w="3358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PostgreSQL service on Railway</w:t>
            </w:r>
          </w:p>
        </w:tc>
        <w:tc>
          <w:tcPr>
            <w:tcW w:type="dxa" w:w="12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External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Sandeep</w:t>
            </w:r>
          </w:p>
        </w:tc>
        <w:tc>
          <w:tcPr>
            <w:tcW w:type="dxa" w:w="1237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Complete</w:t>
            </w:r>
          </w:p>
        </w:tc>
        <w:tc>
          <w:tcPr>
            <w:tcW w:type="dxa" w:w="1591"/>
            <w:shd w:fill="F2F4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E293B"/>
                <w:sz w:val="18"/>
                <w:szCs w:val="18"/>
              </w:rPr>
              <w:t xml:space="preserve">Done (live Oct 2026)</w:t>
            </w:r>
          </w:p>
        </w:tc>
      </w:tr>
    </w:tbl>
    <w:p>
      <w:pPr>
        <w:pStyle w:val="Heading2"/>
        <w:spacing w:after="120" w:before="280"/>
      </w:pPr>
      <w:r>
        <w:rPr>
          <w:b/>
          <w:bCs/>
          <w:color w:val="176BFA"/>
          <w:sz w:val="24"/>
          <w:szCs w:val="24"/>
        </w:rPr>
        <w:t xml:space="preserve">SECTION 5 — CHANGE LOG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14 Oct 2026 — A-05 corrected (PostgreSQL is live; data is not in-memory only). D-06, D-07, D-09, D-10 marked done; D-05 and D-08 re-scoped.</w:t>
      </w:r>
    </w:p>
    <w:p>
      <w:pPr>
        <w:spacing w:after="80" w:before="60"/>
        <w:jc w:val="left"/>
      </w:pPr>
      <w:r>
        <w:rPr>
          <w:b w:val="false"/>
          <w:bCs w:val="false"/>
          <w:i w:val="false"/>
          <w:iCs w:val="false"/>
          <w:color w:val="1E293B"/>
          <w:sz w:val="20"/>
          <w:szCs w:val="20"/>
        </w:rPr>
        <w:t xml:space="preserve">14 Oct 2026 — Added R-15, R-16 and issues I-08 to I-12. R-08 mitigation updated to what already exists. I-02 wording fixed (GitHub, not Firebase).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20"/>
      <w:tblBorders>
        <w:top w:val="single" w:color="94A3B8" w:sz="2"/>
        <w:left w:val="none"/>
        <w:bottom w:val="none"/>
        <w:right w:val="none"/>
        <w:insideH w:val="single" w:color="auto" w:sz="4"/>
        <w:insideV w:val="single" w:color="auto" w:sz="4"/>
      </w:tblBorders>
      <w:tblLayout w:type="fixed"/>
    </w:tblPr>
    <w:tblGrid>
      <w:gridCol w:w="100"/>
    </w:tblGrid>
    <w:tr>
      <w:tc>
        <w:tcPr>
          <w:tcW w:type="dxa" w:w="9720"/>
          <w:tcMar>
            <w:top w:type="dxa" w:w="80"/>
          </w:tcMar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Page </w:t>
          </w:r>
          <w:pgNum/>
          <w:r>
            <w:rPr>
              <w:color w:val="64748B"/>
              <w:sz w:val="16"/>
              <w:szCs w:val="16"/>
            </w:rPr>
            <w:t xml:space="preserve"> of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none"/>
        <w:left w:val="none"/>
        <w:bottom w:val="single" w:color="176BFA" w:sz="4"/>
        <w:right w:val="none"/>
        <w:insideH w:val="single" w:color="auto" w:sz="4"/>
        <w:insideV w:val="single" w:color="auto" w:sz="4"/>
      </w:tblBorders>
      <w:tblLayout w:type="fixed"/>
    </w:tblPr>
    <w:tblGrid>
      <w:gridCol w:w="100"/>
    </w:tblGrid>
    <w:tr>
      <w:tc>
        <w:tcPr>
          <w:tcW w:type="dxa" w:w="9720"/>
          <w:tcMar>
            <w:bottom w:type="dxa" w:w="80"/>
          </w:tcMar>
        </w:tcPr>
        <w:p>
          <w:r>
            <w:rPr>
              <w:b/>
              <w:bCs/>
              <w:color w:val="071426"/>
              <w:sz w:val="18"/>
              <w:szCs w:val="18"/>
            </w:rPr>
            <w:t xml:space="preserve">ChurnSight</w:t>
          </w:r>
          <w:r>
            <w:rPr>
              <w:color w:val="64748B"/>
              <w:sz w:val="18"/>
              <w:szCs w:val="18"/>
            </w:rPr>
            <w:t xml:space="preserve"> · </w:t>
          </w:r>
          <w:r>
            <w:rPr>
              <w:color w:val="64748B"/>
              <w:sz w:val="18"/>
              <w:szCs w:val="18"/>
            </w:rPr>
            <w:t xml:space="preserve">RAID Log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360" w:hanging="360"/>
      </w:pPr>
      <w:rPr>
        <w:color w:val="1E293B"/>
        <w:sz w:val="20"/>
        <w:szCs w:val="20"/>
      </w:rPr>
    </w:lvl>
    <w:lvl w:ilvl="1" w15:tentative="1">
      <w:start w:val="1"/>
      <w:numFmt w:val="bullet"/>
      <w:lvlText w:val="○"/>
      <w:lvlJc w:val="left"/>
      <w:pPr>
        <w:ind w:left="720" w:hanging="360"/>
      </w:pPr>
      <w:rPr>
        <w:color w:val="1E293B"/>
        <w:sz w:val="20"/>
        <w:szCs w:val="20"/>
      </w:rPr>
    </w:lvl>
    <w:lvl w:ilvl="2" w15:tentative="1">
      <w:start w:val="1"/>
      <w:numFmt w:val="bullet"/>
      <w:lvlText w:val="▪"/>
      <w:lvlJc w:val="left"/>
      <w:pPr>
        <w:ind w:left="1080" w:hanging="360"/>
      </w:pPr>
      <w:rPr>
        <w:color w:val="1E293B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color w:val="1E293B"/>
        <w:sz w:val="20"/>
        <w:szCs w:val="20"/>
      </w:rPr>
    </w:lvl>
    <w:lvl w:ilvl="1" w15:tentative="1">
      <w:start w:val="1"/>
      <w:numFmt w:val="decimal"/>
      <w:lvlText w:val="%2."/>
      <w:lvlJc w:val="left"/>
      <w:pPr>
        <w:ind w:left="720" w:hanging="360"/>
      </w:pPr>
      <w:rPr>
        <w:color w:val="1E293B"/>
        <w:sz w:val="20"/>
        <w:szCs w:val="20"/>
      </w:rPr>
    </w:lvl>
    <w:lvl w:ilvl="2" w15:tentative="1">
      <w:start w:val="1"/>
      <w:numFmt w:val="decimal"/>
      <w:lvlText w:val="%3."/>
      <w:lvlJc w:val="left"/>
      <w:pPr>
        <w:ind w:left="1080" w:hanging="360"/>
      </w:pPr>
      <w:rPr>
        <w:color w:val="1E293B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2026-10-14T16:06:55.648Z</dcterms:created>
  <dcterms:modified xsi:type="dcterms:W3CDTF">2026-10-14T16:06:55.648Z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