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720"/>
            <w:shd w:fill="071426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Churn</w:t>
            </w:r>
            <w:r>
              <w:rPr>
                <w:b/>
                <w:bCs/>
                <w:color w:val="09C9E8"/>
                <w:sz w:val="48"/>
                <w:szCs w:val="48"/>
              </w:rPr>
              <w:t xml:space="preserve">Sight</w:t>
            </w:r>
          </w:p>
          <w:p>
            <w:r>
              <w:rPr>
                <w:color w:val="94A3B8"/>
                <w:sz w:val="20"/>
                <w:szCs w:val="20"/>
              </w:rPr>
              <w:t xml:space="preserve">AI-Powered Customer Intelligence Platform</w:t>
            </w:r>
          </w:p>
        </w:tc>
      </w:tr>
    </w:tbl>
    <w:p>
      <w:pPr>
        <w:spacing w:after="100" w:before="320"/>
      </w:pPr>
      <w:r>
        <w:rPr>
          <w:b/>
          <w:bCs/>
          <w:color w:val="1E293B"/>
          <w:sz w:val="52"/>
          <w:szCs w:val="52"/>
        </w:rPr>
        <w:t xml:space="preserve">Business Requirements Document</w:t>
      </w:r>
    </w:p>
    <w:p>
      <w:pPr>
        <w:spacing w:after="0" w:before="0"/>
      </w:pPr>
      <w:r>
        <w:rPr>
          <w:color w:val="176BFA"/>
          <w:sz w:val="24"/>
          <w:szCs w:val="24"/>
        </w:rPr>
        <w:t xml:space="preserve">ChurnSight v2.0</w:t>
      </w:r>
    </w:p>
    <w:p>
      <w:pPr>
        <w:pBdr>
          <w:bottom w:val="single" w:color="176BFA" w:sz="4"/>
        </w:pBdr>
        <w:spacing w:after="80" w:before="80"/>
      </w:pPr>
    </w:p>
    <w:p>
      <w:pPr>
        <w:spacing w:before="160"/>
      </w:pP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Project:  </w:t>
      </w:r>
      <w:r>
        <w:rPr>
          <w:color w:val="1E293B"/>
          <w:sz w:val="18"/>
          <w:szCs w:val="18"/>
        </w:rPr>
        <w:t xml:space="preserve">ChurnSight — AI-Powered Churn Prediction &amp; Customer Intelligence Platform</w:t>
      </w: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Version:  </w:t>
      </w:r>
      <w:r>
        <w:rPr>
          <w:color w:val="1E293B"/>
          <w:sz w:val="18"/>
          <w:szCs w:val="18"/>
        </w:rPr>
        <w:t xml:space="preserve">2.0</w:t>
      </w: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Status:  </w:t>
      </w:r>
      <w:r>
        <w:rPr>
          <w:color w:val="1E293B"/>
          <w:sz w:val="18"/>
          <w:szCs w:val="18"/>
        </w:rPr>
        <w:t xml:space="preserve">Draft</w:t>
      </w: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Author:  </w:t>
      </w:r>
      <w:r>
        <w:rPr>
          <w:color w:val="1E293B"/>
          <w:sz w:val="18"/>
          <w:szCs w:val="18"/>
        </w:rPr>
        <w:t xml:space="preserve">Sandeep Panchal</w:t>
      </w: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Date:  </w:t>
      </w:r>
      <w:r>
        <w:rPr>
          <w:color w:val="1E293B"/>
          <w:sz w:val="18"/>
          <w:szCs w:val="18"/>
        </w:rPr>
        <w:t xml:space="preserve">October 2026</w:t>
      </w:r>
    </w:p>
    <w:p>
      <w:pPr>
        <w:spacing w:before="80"/>
      </w:pPr>
    </w:p>
    <w:p>
      <w:r>
        <w:rPr>
          <w:b/>
          <w:bCs/>
          <w:caps/>
          <w:color w:val="94A3B8"/>
          <w:sz w:val="16"/>
          <w:szCs w:val="16"/>
        </w:rPr>
        <w:t xml:space="preserve">CONFIDENTIAL</w:t>
      </w:r>
    </w:p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1. EXECUTIVE SUMMARY</w:t>
      </w:r>
    </w:p>
    <w:p>
      <w:pPr>
        <w:spacing w:after="80" w:before="60"/>
        <w:jc w:val="left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ChurnSight is an AI-powered churn prediction and customer intelligence platform that enables Customer Success Managers (CSMs), Product Managers, and revenue leaders to identify at-risk customers early, prioritise interventions, and automate playbooks that reduce churn. Version 2.0 transforms the existing CSV-upload prediction tool into a full-stack, always-on intelligence system.</w:t>
      </w:r>
    </w:p>
    <w:p>
      <w:pPr>
        <w:spacing w:after="80" w:before="60"/>
        <w:jc w:val="left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platform addresses a critical gap: 73% of CS leaders report their current health scores do not reliably predict churn (ChurnZero, 2025, N≈800). ChurnSight closes this gap by unifying churn model output, product adoption signals, support telemetry, and payment health into a single composite score per customer, backed by multi-signal early alerts and automated response playbooks.</w:t>
      </w:r>
    </w:p>
    <w:p>
      <w:pPr>
        <w:spacing w:after="80" w:before="60"/>
        <w:jc w:val="left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v2.0 also introduces a full-featured Admin Console that gives platform administrators real-time visibility into system health, workspace governance, user lifecycle management, ML operations, and security audit — all from a dedicated, role-gated interface.</w:t>
      </w:r>
    </w:p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2. BUSINESS OBJECTIVES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2.1 Primary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Reduce customer churn rate by at least 15% within 12 months of v2.0 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Provide CSMs with actionable daily alerts — not weekly dashboard reviews.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Automate at least 40% of standard intervention workflows via playbooks.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Give revenue leaders ARR-at-risk visibility at account and cohort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Deliver a full-featured Admin Console covering platform overview, user governance, workspace management, security audit, ML ops, and email monitoring.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2.2 Success Metrics</w:t>
      </w:r>
    </w:p>
    <w:tbl>
      <w:tblPr>
        <w:tblW w:type="dxa" w:w="9720"/>
        <w:tblBorders>
          <w:top w:val="single" w:color="10194B" w:sz="4"/>
          <w:left w:val="none"/>
          <w:bottom w:val="single" w:color="10194B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35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9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Baseline (v1.0)</w:t>
            </w:r>
          </w:p>
        </w:tc>
        <w:tc>
          <w:tcPr>
            <w:tcW w:type="dxa" w:w="2209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(v2.0)</w:t>
            </w:r>
          </w:p>
        </w:tc>
        <w:tc>
          <w:tcPr>
            <w:tcW w:type="dxa" w:w="1767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353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Monthly churn rate</w:t>
            </w:r>
          </w:p>
        </w:tc>
        <w:tc>
          <w:tcPr>
            <w:tcW w:type="dxa" w:w="220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5.2%</w:t>
            </w:r>
          </w:p>
        </w:tc>
        <w:tc>
          <w:tcPr>
            <w:tcW w:type="dxa" w:w="220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≤ 4.4%</w:t>
            </w:r>
          </w:p>
        </w:tc>
        <w:tc>
          <w:tcPr>
            <w:tcW w:type="dxa" w:w="176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Q2 2027</w:t>
            </w:r>
          </w:p>
        </w:tc>
      </w:tr>
      <w:tr>
        <w:tc>
          <w:tcPr>
            <w:tcW w:type="dxa" w:w="353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CSM alert response time</w:t>
            </w:r>
          </w:p>
        </w:tc>
        <w:tc>
          <w:tcPr>
            <w:tcW w:type="dxa" w:w="2209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72 hrs</w:t>
            </w:r>
          </w:p>
        </w:tc>
        <w:tc>
          <w:tcPr>
            <w:tcW w:type="dxa" w:w="2209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&lt; 24 hrs</w:t>
            </w:r>
          </w:p>
        </w:tc>
        <w:tc>
          <w:tcPr>
            <w:tcW w:type="dxa" w:w="176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Q1 2027</w:t>
            </w:r>
          </w:p>
        </w:tc>
      </w:tr>
      <w:tr>
        <w:tc>
          <w:tcPr>
            <w:tcW w:type="dxa" w:w="353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Playbook automation coverage</w:t>
            </w:r>
          </w:p>
        </w:tc>
        <w:tc>
          <w:tcPr>
            <w:tcW w:type="dxa" w:w="220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0%</w:t>
            </w:r>
          </w:p>
        </w:tc>
        <w:tc>
          <w:tcPr>
            <w:tcW w:type="dxa" w:w="220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≥ 40%</w:t>
            </w:r>
          </w:p>
        </w:tc>
        <w:tc>
          <w:tcPr>
            <w:tcW w:type="dxa" w:w="176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Q2 2027</w:t>
            </w:r>
          </w:p>
        </w:tc>
      </w:tr>
      <w:tr>
        <w:tc>
          <w:tcPr>
            <w:tcW w:type="dxa" w:w="353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Model AUC-ROC</w:t>
            </w:r>
          </w:p>
        </w:tc>
        <w:tc>
          <w:tcPr>
            <w:tcW w:type="dxa" w:w="2209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0.81</w:t>
            </w:r>
          </w:p>
        </w:tc>
        <w:tc>
          <w:tcPr>
            <w:tcW w:type="dxa" w:w="2209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≥ 0.87</w:t>
            </w:r>
          </w:p>
        </w:tc>
        <w:tc>
          <w:tcPr>
            <w:tcW w:type="dxa" w:w="176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Q1 2027</w:t>
            </w:r>
          </w:p>
        </w:tc>
      </w:tr>
      <w:tr>
        <w:tc>
          <w:tcPr>
            <w:tcW w:type="dxa" w:w="353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ARR-at-risk visibility</w:t>
            </w:r>
          </w:p>
        </w:tc>
        <w:tc>
          <w:tcPr>
            <w:tcW w:type="dxa" w:w="220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None</w:t>
            </w:r>
          </w:p>
        </w:tc>
        <w:tc>
          <w:tcPr>
            <w:tcW w:type="dxa" w:w="220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100% accounts scored</w:t>
            </w:r>
          </w:p>
        </w:tc>
        <w:tc>
          <w:tcPr>
            <w:tcW w:type="dxa" w:w="176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Q1 2027</w:t>
            </w:r>
          </w:p>
        </w:tc>
      </w:tr>
      <w:tr>
        <w:tc>
          <w:tcPr>
            <w:tcW w:type="dxa" w:w="353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 console features live</w:t>
            </w:r>
          </w:p>
        </w:tc>
        <w:tc>
          <w:tcPr>
            <w:tcW w:type="dxa" w:w="2209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0 / 9 categories</w:t>
            </w:r>
          </w:p>
        </w:tc>
        <w:tc>
          <w:tcPr>
            <w:tcW w:type="dxa" w:w="2209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9 / 9 categories</w:t>
            </w:r>
          </w:p>
        </w:tc>
        <w:tc>
          <w:tcPr>
            <w:tcW w:type="dxa" w:w="176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Q2 2027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3. STAKEHOLDERS</w:t>
      </w:r>
    </w:p>
    <w:tbl>
      <w:tblPr>
        <w:tblW w:type="dxa" w:w="9720"/>
        <w:tblBorders>
          <w:top w:val="single" w:color="10194B" w:sz="4"/>
          <w:left w:val="none"/>
          <w:bottom w:val="single" w:color="10194B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51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74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 / Group</w:t>
            </w:r>
          </w:p>
        </w:tc>
        <w:tc>
          <w:tcPr>
            <w:tcW w:type="dxa" w:w="2474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Interest</w:t>
            </w:r>
          </w:p>
        </w:tc>
        <w:tc>
          <w:tcPr>
            <w:tcW w:type="dxa" w:w="2121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Influence</w:t>
            </w:r>
          </w:p>
        </w:tc>
      </w:tr>
      <w:tr>
        <w:tc>
          <w:tcPr>
            <w:tcW w:type="dxa" w:w="265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247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Sandeep Panchal</w:t>
            </w:r>
          </w:p>
        </w:tc>
        <w:tc>
          <w:tcPr>
            <w:tcW w:type="dxa" w:w="247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Platform vision and delivery</w:t>
            </w:r>
          </w:p>
        </w:tc>
        <w:tc>
          <w:tcPr>
            <w:tcW w:type="dxa" w:w="212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5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Primary User</w:t>
            </w:r>
          </w:p>
        </w:tc>
        <w:tc>
          <w:tcPr>
            <w:tcW w:type="dxa" w:w="247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CSMs (Priya persona)</w:t>
            </w:r>
          </w:p>
        </w:tc>
        <w:tc>
          <w:tcPr>
            <w:tcW w:type="dxa" w:w="247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Early churn warnings, daily alerts</w:t>
            </w:r>
          </w:p>
        </w:tc>
        <w:tc>
          <w:tcPr>
            <w:tcW w:type="dxa" w:w="212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5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Secondary User</w:t>
            </w:r>
          </w:p>
        </w:tc>
        <w:tc>
          <w:tcPr>
            <w:tcW w:type="dxa" w:w="247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PMs (Marcus persona)</w:t>
            </w:r>
          </w:p>
        </w:tc>
        <w:tc>
          <w:tcPr>
            <w:tcW w:type="dxa" w:w="247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Cohort analysis, ARR-at-risk</w:t>
            </w:r>
          </w:p>
        </w:tc>
        <w:tc>
          <w:tcPr>
            <w:tcW w:type="dxa" w:w="212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65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Platform Admin</w:t>
            </w:r>
          </w:p>
        </w:tc>
        <w:tc>
          <w:tcPr>
            <w:tcW w:type="dxa" w:w="247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Sofia persona</w:t>
            </w:r>
          </w:p>
        </w:tc>
        <w:tc>
          <w:tcPr>
            <w:tcW w:type="dxa" w:w="247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Workspace governance, user lifecycle</w:t>
            </w:r>
          </w:p>
        </w:tc>
        <w:tc>
          <w:tcPr>
            <w:tcW w:type="dxa" w:w="212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5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Revenue Leadership</w:t>
            </w:r>
          </w:p>
        </w:tc>
        <w:tc>
          <w:tcPr>
            <w:tcW w:type="dxa" w:w="247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VP CS / CFO</w:t>
            </w:r>
          </w:p>
        </w:tc>
        <w:tc>
          <w:tcPr>
            <w:tcW w:type="dxa" w:w="247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Churn reduction ROI, reporting</w:t>
            </w:r>
          </w:p>
        </w:tc>
        <w:tc>
          <w:tcPr>
            <w:tcW w:type="dxa" w:w="212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High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4. SCOPE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4.1 In Scope — Core Platform (v2.0)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Customer Health Score engine (6 components, weighted composite 0–100)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Multi-signal early alert engine (Critical / High / Medium / Low severity)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Cohort Analysis: segment by risk tier, plan, MRR band, geo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Automated Playbooks: trigger, step runner, outcome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Transactional emails: invitation, password reset, email verification, welcome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Firebase Authentication: Email/Password + Google 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Railway hosting: web service + volume + PostgreSQL (future v2.1)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4.2 In Scope — Admin Console Enhancement (v2.0)</w:t>
      </w:r>
    </w:p>
    <w:p>
      <w:pPr>
        <w:spacing w:after="80" w:before="60"/>
        <w:jc w:val="left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Admin Console will be rebuilt as a full-featured rich panel across 9 capability categories, delivered in the order listed: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E293B"/>
          <w:sz w:val="20"/>
          <w:szCs w:val="20"/>
        </w:rPr>
        <w:t xml:space="preserve">Console Layout &amp; UX — sidebar navigation, ChurnSight brand, dark mode, mobile-responsive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E293B"/>
          <w:sz w:val="20"/>
          <w:szCs w:val="20"/>
        </w:rPr>
        <w:t xml:space="preserve">Platform Overview Dashboard — live user/workspace KPIs, service health, background job monitor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E293B"/>
          <w:sz w:val="20"/>
          <w:szCs w:val="20"/>
        </w:rPr>
        <w:t xml:space="preserve">Workspace Management — list all workspaces, plan/limits editor, suspend/transfer/delete, usage export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E293B"/>
          <w:sz w:val="20"/>
          <w:szCs w:val="20"/>
        </w:rPr>
        <w:t xml:space="preserve">Security &amp; Audit Log — platform-wide audit trail, console sign-in history, API key management, privacy requests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E293B"/>
          <w:sz w:val="20"/>
          <w:szCs w:val="20"/>
        </w:rPr>
        <w:t xml:space="preserve">User Management (Extended) — user detail page, bulk actions, filters, act-as-user (read-only)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E293B"/>
          <w:sz w:val="20"/>
          <w:szCs w:val="20"/>
        </w:rPr>
        <w:t xml:space="preserve">Email &amp; Notifications — Brevo email log, template preview, test-send, alert channels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E293B"/>
          <w:sz w:val="20"/>
          <w:szCs w:val="20"/>
        </w:rPr>
        <w:t xml:space="preserve">Invitations &amp; Access — pending invitations across all workspaces, admin email list, MFA enforcement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E293B"/>
          <w:sz w:val="20"/>
          <w:szCs w:val="20"/>
        </w:rPr>
        <w:t xml:space="preserve">ML Operations — model per workspace, drift status, promote/rollback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E293B"/>
          <w:sz w:val="20"/>
          <w:szCs w:val="20"/>
        </w:rPr>
        <w:t xml:space="preserve">Settings &amp; Maintenance — maintenance mode, feature flags, storage/backup status, announcements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4.3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Native mobile app (iOS / 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Persistent database per workspace (v2.1)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Third-party CRM/billing integrations (Phase 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Multi-region deployment</w:t>
      </w:r>
    </w:p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5. FUNCTIONAL REQUIREMENTS — CORE PLATFORM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5.1 Customer Health Score Engine</w:t>
      </w:r>
    </w:p>
    <w:tbl>
      <w:tblPr>
        <w:tblW w:type="dxa" w:w="9720"/>
        <w:tblBorders>
          <w:top w:val="none"/>
          <w:left w:val="single" w:color="176BFA" w:sz="18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720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60"/>
              <w:jc w:val="left"/>
            </w:pPr>
            <w:r>
              <w:rPr>
                <w:b/>
                <w:bCs/>
                <w:i w:val="false"/>
                <w:iCs w:val="false"/>
                <w:color w:val="1E293B"/>
                <w:sz w:val="18"/>
                <w:szCs w:val="18"/>
              </w:rPr>
              <w:t xml:space="preserve">Six weighted components — each scored 0–100, combined into a composite:</w:t>
            </w:r>
          </w:p>
          <w:p>
            <w:pPr>
              <w:spacing w:after="8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Product Adoption (30%) · Churn Model Output (25%) · Support Load (20%) · Payment Health (15%) · Engagement Trend (7%) · Contract Proximity (3%)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FR-01: System shall compute a composite health score (0–100) for every customer on dataset upload.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FR-02: System shall refresh scores on demand when a new dataset is uploaded.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FR-03: System shall display scores with colour-coded risk tiers: Critical (0–39 Red), At Risk (40–59 Amber), Healthy (60–100 Green).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FR-04: Admin may adjust component weights from the Admin Console (future v2.1 persistent storage).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5.2 Alert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FR-05: System shall generate alerts when score drops ≥ 15 points in 7 days (Critical).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FR-06: System shall fire a High alert when the Churn Model Output component exceeds 70%.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FR-07: System shall fire a Medium alert for 3 consecutive missed logins.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FR-08: Alerts shall display severity badge, customer name, trigger reason, and recommended playbook.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5.3 Cohort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FR-09: Users may segment customers by risk tier, plan type, MRR band, and geography.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FR-10: System shall render a cohort heatmap and retention curve for selected segments.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5.4 Playbooks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FR-11: Admin shall define playbook steps (email, task, CRM note, call) via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FR-12: System shall auto-trigger the mapped playbook when an alert fires.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FR-13: CSM may manually launch any playbook from the Health Score card.</w:t>
      </w:r>
    </w:p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6. FUNCTIONAL REQUIREMENTS — ADMIN CONSOLE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6.1 Console Layout &amp; UX (Category 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FR-AC-01: Admin Console shall have a persistent sidebar with sections: Overview, Users, Workspaces, Audit, ML Ops, Email, 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FR-AC-02: Console shall apply the ChurnSight brand palette and support dark mode toggle.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FR-AC-03: Console shall be fully usable on screens ≥ 375 px wide (mobile-responsive).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6.2 Platform Overview Dashboard (Category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FR-AC-04: Dashboard shall display: total users, total workspaces, active users (7-day and 30-day), sign-ups per day (bar chart), predictions run.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FR-AC-05: Service health panel shall show real-time status of database, storage volume, encryption keys, schema, and email service (sourced from /api/health and /api/ready).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FR-AC-06: Background jobs panel shall list running, queued, and failed jobs with Cancel and Retry actions.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6.3 Workspace Management (Category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FR-AC-07: Admin shall see a paginated list of all workspaces with owner, member count, plan, storage used, and last activity.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FR-AC-08: Admin may change a workspace's plan or limits (reuses /api/platform/workspaces/&lt;id&gt;/plan).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FR-AC-09: Admin may suspend, reactivate, transfer ownership, or delete a workspace.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FR-AC-10: Admin may export per-workspace usage (rows scored, uploads, API calls) as CSV (reuses /api/usage).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6.4 Security &amp; Audit Log (Category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FR-AC-11: Platform-wide audit log shall record every admin action with actor, action, timestamp, and workspace.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FR-AC-12: Audit log shall be filterable by user, action type, date range, and workspace, and exportable as CSV.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FR-AC-13: Console sign-in history shall show successful and failed login attempts with IP and timestamp.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FR-AC-14: Admin may view and revoke API keys across all workspaces, with last-used time shown.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FR-AC-15: Data privacy requests (/api/privacy/*) shall be surfaced in the UI for GDPR export and erasure.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6.5 Extended User Management (Category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FR-AC-16: User detail page shall show workspaces, role, last sign-in, sign-in method, email-verified flag, and MFA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FR-AC-17: Admin may resend verification email, force a password reset, or sign a user out everywhere.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FR-AC-18: Bulk actions shall allow selecting multiple users to disable, enable, or export as CSV.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FR-AC-19: User list shall be filterable by status, sign-in method, verified flag, and date joined.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FR-AC-20: Act-as-user (read-only impersonation) for support purposes; every use recorded in audit log.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6.6 Email &amp; Notifications (Category 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FR-AC-21: Email log shall read from Brevo API and display sent-to, template, status (sent/failed), and timestamp.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FR-AC-22: Admin may preview all four email templates and send a live test to themselves.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FR-AC-23: Alert channels (/api/channels) shall be manageable with a send-test action.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6.7 Invitations &amp; Access (Category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FR-AC-24: Admin shall see all pending invitations across workspaces with Revoke and Resend 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FR-AC-25: Admin email list and console login settings shall be manageable in the UI (currently Railway variables).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FR-AC-26: MFA enforcement shall be configurable per role; enrolled and non-enrolled users shall be tracked.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6.8 ML Operations (Category 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FR-AC-27: ML Ops panel shall show active model version, AUC-ROC, and drift status per workspace.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FR-AC-28: Platform-wide view shall flag workspaces whose model drift or accuracy has degraded.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FR-AC-29: Admin may promote or roll back a model on a workspace's behalf (reuses /api/mlops, /api/models, /api/monitoring/drift).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6.9 Settings &amp; Maintenance (Category 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FR-AC-30: Maintenance mode shall display a configurable banner to all users while active.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FR-AC-31: Feature flags shall be configurable per workspace (e.g., sign-up on/off).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FR-AC-32: Database backup status and data volume usage shall be visible in the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FR-AC-33: Admin may publish announcements to all users or a specific workspace.</w:t>
      </w:r>
    </w:p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7. NON-FUNCTIONAL REQUIREMENTS</w:t>
      </w:r>
    </w:p>
    <w:tbl>
      <w:tblPr>
        <w:tblW w:type="dxa" w:w="9720"/>
        <w:tblBorders>
          <w:top w:val="single" w:color="10194B" w:sz="4"/>
          <w:left w:val="none"/>
          <w:bottom w:val="single" w:color="10194B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325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302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093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132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NFR-01</w:t>
            </w:r>
          </w:p>
        </w:tc>
        <w:tc>
          <w:tcPr>
            <w:tcW w:type="dxa" w:w="530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Page load time (P95)</w:t>
            </w:r>
          </w:p>
        </w:tc>
        <w:tc>
          <w:tcPr>
            <w:tcW w:type="dxa" w:w="309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&lt; 2 s on 4G</w:t>
            </w:r>
          </w:p>
        </w:tc>
      </w:tr>
      <w:tr>
        <w:tc>
          <w:tcPr>
            <w:tcW w:type="dxa" w:w="132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NFR-02</w:t>
            </w:r>
          </w:p>
        </w:tc>
        <w:tc>
          <w:tcPr>
            <w:tcW w:type="dxa" w:w="5302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API response time (P95)</w:t>
            </w:r>
          </w:p>
        </w:tc>
        <w:tc>
          <w:tcPr>
            <w:tcW w:type="dxa" w:w="3093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&lt; 500 ms</w:t>
            </w:r>
          </w:p>
        </w:tc>
      </w:tr>
      <w:tr>
        <w:tc>
          <w:tcPr>
            <w:tcW w:type="dxa" w:w="132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NFR-03</w:t>
            </w:r>
          </w:p>
        </w:tc>
        <w:tc>
          <w:tcPr>
            <w:tcW w:type="dxa" w:w="530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Uptime SLA</w:t>
            </w:r>
          </w:p>
        </w:tc>
        <w:tc>
          <w:tcPr>
            <w:tcW w:type="dxa" w:w="309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≥ 99.5% monthly</w:t>
            </w:r>
          </w:p>
        </w:tc>
      </w:tr>
      <w:tr>
        <w:tc>
          <w:tcPr>
            <w:tcW w:type="dxa" w:w="132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NFR-04</w:t>
            </w:r>
          </w:p>
        </w:tc>
        <w:tc>
          <w:tcPr>
            <w:tcW w:type="dxa" w:w="5302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WCAG accessibility</w:t>
            </w:r>
          </w:p>
        </w:tc>
        <w:tc>
          <w:tcPr>
            <w:tcW w:type="dxa" w:w="3093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2.1 AA compliant</w:t>
            </w:r>
          </w:p>
        </w:tc>
      </w:tr>
      <w:tr>
        <w:tc>
          <w:tcPr>
            <w:tcW w:type="dxa" w:w="132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NFR-05</w:t>
            </w:r>
          </w:p>
        </w:tc>
        <w:tc>
          <w:tcPr>
            <w:tcW w:type="dxa" w:w="530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GDPR data residency</w:t>
            </w:r>
          </w:p>
        </w:tc>
        <w:tc>
          <w:tcPr>
            <w:tcW w:type="dxa" w:w="309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EU West (Railway Amsterdam)</w:t>
            </w:r>
          </w:p>
        </w:tc>
      </w:tr>
      <w:tr>
        <w:tc>
          <w:tcPr>
            <w:tcW w:type="dxa" w:w="132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NFR-06</w:t>
            </w:r>
          </w:p>
        </w:tc>
        <w:tc>
          <w:tcPr>
            <w:tcW w:type="dxa" w:w="5302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 Console security</w:t>
            </w:r>
          </w:p>
        </w:tc>
        <w:tc>
          <w:tcPr>
            <w:tcW w:type="dxa" w:w="3093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Role-gated; every action audit-logged</w:t>
            </w:r>
          </w:p>
        </w:tc>
      </w:tr>
      <w:tr>
        <w:tc>
          <w:tcPr>
            <w:tcW w:type="dxa" w:w="132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NFR-07</w:t>
            </w:r>
          </w:p>
        </w:tc>
        <w:tc>
          <w:tcPr>
            <w:tcW w:type="dxa" w:w="530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 Console performance</w:t>
            </w:r>
          </w:p>
        </w:tc>
        <w:tc>
          <w:tcPr>
            <w:tcW w:type="dxa" w:w="309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Dashboard loads in &lt; 3 s on cold start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8. ASSUMPTIONS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E293B"/>
          <w:sz w:val="20"/>
          <w:szCs w:val="20"/>
        </w:rPr>
        <w:t xml:space="preserve">Firebase Authentication remains the identity provider through v2.0.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E293B"/>
          <w:sz w:val="20"/>
          <w:szCs w:val="20"/>
        </w:rPr>
        <w:t xml:space="preserve">Railway paid plan provides sufficient volume and build minutes for 9 admin console categories.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E293B"/>
          <w:sz w:val="20"/>
          <w:szCs w:val="20"/>
        </w:rPr>
        <w:t xml:space="preserve">Brevo API key is maintained for email log access by the Admin Console (FR-AC-21).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E293B"/>
          <w:sz w:val="20"/>
          <w:szCs w:val="20"/>
        </w:rPr>
        <w:t xml:space="preserve">Admin Console categories 1–5 are delivered in Phases 4–5; categories 6–9 in Phase 6–7.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E293B"/>
          <w:sz w:val="20"/>
          <w:szCs w:val="20"/>
        </w:rPr>
        <w:t xml:space="preserve">Persistent workspace-level database (PostgreSQL) is a v2.1 dependency; admin console ML Ops and feature flags operate on in-memory state until then.</w:t>
      </w:r>
    </w:p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9. RISKS</w:t>
      </w:r>
    </w:p>
    <w:p>
      <w:pPr>
        <w:spacing w:after="80" w:before="60"/>
        <w:jc w:val="left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See RAID Log for full risk register. Key risks relating to Admin Console: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Admin console scope increases significantly with 9 categories; managed by phased delivery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Brevo API rate limits may affect email log rendering at scale (mitigate: cache log for 5 mins).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Act-as-user feature carries data exposure risk; mitigated by read-only enforcement and audit logging.</w:t>
      </w:r>
    </w:p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10. APPROVAL</w:t>
      </w:r>
    </w:p>
    <w:tbl>
      <w:tblPr>
        <w:tblW w:type="dxa" w:w="9720"/>
        <w:tblBorders>
          <w:top w:val="single" w:color="10194B" w:sz="4"/>
          <w:left w:val="none"/>
          <w:bottom w:val="single" w:color="10194B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51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651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209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209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65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265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Sandeep Panchal</w:t>
            </w:r>
          </w:p>
        </w:tc>
        <w:tc>
          <w:tcPr>
            <w:tcW w:type="dxa" w:w="220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20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October 2026</w:t>
            </w:r>
          </w:p>
        </w:tc>
      </w:tr>
      <w:tr>
        <w:tc>
          <w:tcPr>
            <w:tcW w:type="dxa" w:w="265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Engineering Lead</w:t>
            </w:r>
          </w:p>
        </w:tc>
        <w:tc>
          <w:tcPr>
            <w:tcW w:type="dxa" w:w="265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Sandeep Panchal</w:t>
            </w:r>
          </w:p>
        </w:tc>
        <w:tc>
          <w:tcPr>
            <w:tcW w:type="dxa" w:w="2209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209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October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720"/>
      <w:tblBorders>
        <w:top w:val="single" w:color="94A3B8" w:sz="2"/>
        <w:left w:val="none"/>
        <w:bottom w:val="none"/>
        <w:right w:val="none"/>
        <w:insideH w:val="single" w:color="auto" w:sz="4"/>
        <w:insideV w:val="single" w:color="auto" w:sz="4"/>
      </w:tblBorders>
      <w:tblLayout w:type="fixed"/>
    </w:tblPr>
    <w:tblGrid>
      <w:gridCol w:w="100"/>
    </w:tblGrid>
    <w:tr>
      <w:tc>
        <w:tcPr>
          <w:tcW w:type="dxa" w:w="9720"/>
          <w:tcMar>
            <w:top w:type="dxa" w:w="80"/>
          </w:tcMar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Page </w:t>
          </w:r>
          <w:pgNum/>
          <w:r>
            <w:rPr>
              <w:color w:val="64748B"/>
              <w:sz w:val="16"/>
              <w:szCs w:val="16"/>
            </w:rPr>
            <w:t xml:space="preserve"> of </w:t>
          </w:r>
          <w:pgNum/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none"/>
        <w:left w:val="none"/>
        <w:bottom w:val="single" w:color="176BFA" w:sz="4"/>
        <w:right w:val="none"/>
        <w:insideH w:val="single" w:color="auto" w:sz="4"/>
        <w:insideV w:val="single" w:color="auto" w:sz="4"/>
      </w:tblBorders>
      <w:tblLayout w:type="fixed"/>
    </w:tblPr>
    <w:tblGrid>
      <w:gridCol w:w="100"/>
    </w:tblGrid>
    <w:tr>
      <w:tc>
        <w:tcPr>
          <w:tcW w:type="dxa" w:w="9720"/>
          <w:tcMar>
            <w:bottom w:type="dxa" w:w="80"/>
          </w:tcMar>
        </w:tcPr>
        <w:p>
          <w:r>
            <w:rPr>
              <w:b/>
              <w:bCs/>
              <w:color w:val="071426"/>
              <w:sz w:val="18"/>
              <w:szCs w:val="18"/>
            </w:rPr>
            <w:t xml:space="preserve">ChurnSight</w:t>
          </w:r>
          <w:r>
            <w:rPr>
              <w:color w:val="64748B"/>
              <w:sz w:val="18"/>
              <w:szCs w:val="18"/>
            </w:rPr>
            <w:t xml:space="preserve"> · </w:t>
          </w:r>
          <w:r>
            <w:rPr>
              <w:color w:val="64748B"/>
              <w:sz w:val="18"/>
              <w:szCs w:val="18"/>
            </w:rPr>
            <w:t xml:space="preserve">Business Requirements Document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360"/>
      </w:pPr>
      <w:rPr>
        <w:color w:val="1E293B"/>
        <w:sz w:val="20"/>
        <w:szCs w:val="20"/>
      </w:rPr>
    </w:lvl>
    <w:lvl w:ilvl="1" w15:tentative="1">
      <w:start w:val="1"/>
      <w:numFmt w:val="bullet"/>
      <w:lvlText w:val="○"/>
      <w:lvlJc w:val="left"/>
      <w:pPr>
        <w:ind w:left="720" w:hanging="360"/>
      </w:pPr>
      <w:rPr>
        <w:color w:val="1E293B"/>
        <w:sz w:val="20"/>
        <w:szCs w:val="20"/>
      </w:rPr>
    </w:lvl>
    <w:lvl w:ilvl="2" w15:tentative="1">
      <w:start w:val="1"/>
      <w:numFmt w:val="bullet"/>
      <w:lvlText w:val="▪"/>
      <w:lvlJc w:val="left"/>
      <w:pPr>
        <w:ind w:left="1080" w:hanging="360"/>
      </w:pPr>
      <w:rPr>
        <w:color w:val="1E293B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color w:val="1E293B"/>
        <w:sz w:val="20"/>
        <w:szCs w:val="20"/>
      </w:rPr>
    </w:lvl>
    <w:lvl w:ilvl="1" w15:tentative="1">
      <w:start w:val="1"/>
      <w:numFmt w:val="decimal"/>
      <w:lvlText w:val="%2."/>
      <w:lvlJc w:val="left"/>
      <w:pPr>
        <w:ind w:left="720" w:hanging="360"/>
      </w:pPr>
      <w:rPr>
        <w:color w:val="1E293B"/>
        <w:sz w:val="20"/>
        <w:szCs w:val="20"/>
      </w:rPr>
    </w:lvl>
    <w:lvl w:ilvl="2" w15:tentative="1">
      <w:start w:val="1"/>
      <w:numFmt w:val="decimal"/>
      <w:lvlText w:val="%3."/>
      <w:lvlJc w:val="left"/>
      <w:pPr>
        <w:ind w:left="1080" w:hanging="360"/>
      </w:pPr>
      <w:rPr>
        <w:color w:val="1E293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2026-10-14T16:06:55.173Z</dcterms:created>
  <dcterms:modified xsi:type="dcterms:W3CDTF">2026-10-14T16:06:55.186Z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