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2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071426" w:color="auto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60" w:before="0"/>
            </w:pPr>
            <w:r>
              <w:rPr>
                <w:b/>
                <w:bCs/>
                <w:color w:val="FFFFFF"/>
                <w:sz w:val="48"/>
                <w:szCs w:val="48"/>
              </w:rPr>
              <w:t xml:space="preserve">Churn</w:t>
            </w:r>
            <w:r>
              <w:rPr>
                <w:b/>
                <w:bCs/>
                <w:color w:val="09C9E8"/>
                <w:sz w:val="48"/>
                <w:szCs w:val="48"/>
              </w:rPr>
              <w:t xml:space="preserve">Sight</w:t>
            </w:r>
          </w:p>
          <w:p>
            <w:r>
              <w:rPr>
                <w:color w:val="94A3B8"/>
                <w:sz w:val="20"/>
                <w:szCs w:val="20"/>
              </w:rPr>
              <w:t xml:space="preserve">AI-Powered Customer Intelligence Platform</w:t>
            </w:r>
          </w:p>
        </w:tc>
      </w:tr>
    </w:tbl>
    <w:p>
      <w:pPr>
        <w:spacing w:after="100" w:before="320"/>
      </w:pPr>
      <w:r>
        <w:rPr>
          <w:b/>
          <w:bCs/>
          <w:color w:val="1E293B"/>
          <w:sz w:val="52"/>
          <w:szCs w:val="52"/>
        </w:rPr>
        <w:t xml:space="preserve">RAID Log</w:t>
      </w:r>
    </w:p>
    <w:p>
      <w:pPr>
        <w:spacing w:after="0" w:before="0"/>
      </w:pPr>
      <w:r>
        <w:rPr>
          <w:color w:val="176BFA"/>
          <w:sz w:val="24"/>
          <w:szCs w:val="24"/>
        </w:rPr>
        <w:t xml:space="preserve">ChurnSight v2.0 — Risks, Assumptions, Issues &amp; Dependencies</w:t>
      </w:r>
    </w:p>
    <w:p>
      <w:pPr>
        <w:pBdr>
          <w:bottom w:val="single" w:color="176BFA" w:sz="4"/>
        </w:pBdr>
        <w:spacing w:after="80" w:before="80"/>
      </w:pPr>
    </w:p>
    <w:p>
      <w:pPr>
        <w:spacing w:before="160"/>
      </w:pP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Project:  </w:t>
      </w:r>
      <w:r>
        <w:rPr>
          <w:color w:val="1E293B"/>
          <w:sz w:val="18"/>
          <w:szCs w:val="18"/>
        </w:rPr>
        <w:t xml:space="preserve">ChurnSight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Version:  </w:t>
      </w:r>
      <w:r>
        <w:rPr>
          <w:color w:val="1E293B"/>
          <w:sz w:val="18"/>
          <w:szCs w:val="18"/>
        </w:rPr>
        <w:t xml:space="preserve">2.0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Status:  </w:t>
      </w:r>
      <w:r>
        <w:rPr>
          <w:color w:val="1E293B"/>
          <w:sz w:val="18"/>
          <w:szCs w:val="18"/>
        </w:rPr>
        <w:t xml:space="preserve">Live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Owner:  </w:t>
      </w:r>
      <w:r>
        <w:rPr>
          <w:color w:val="1E293B"/>
          <w:sz w:val="18"/>
          <w:szCs w:val="18"/>
        </w:rPr>
        <w:t xml:space="preserve">Sandeep Panchal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Date:  </w:t>
      </w:r>
      <w:r>
        <w:rPr>
          <w:color w:val="1E293B"/>
          <w:sz w:val="18"/>
          <w:szCs w:val="18"/>
        </w:rPr>
        <w:t xml:space="preserve">October 2026</w:t>
      </w:r>
    </w:p>
    <w:p>
      <w:pPr>
        <w:spacing w:before="80"/>
      </w:pPr>
    </w:p>
    <w:p>
      <w:r>
        <w:rPr>
          <w:b/>
          <w:bCs/>
          <w:caps/>
          <w:color w:val="94A3B8"/>
          <w:sz w:val="16"/>
          <w:szCs w:val="16"/>
        </w:rPr>
        <w:t xml:space="preserve">CONFIDENTIAL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SECTION 1 — RISKS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Risk scoring: Probability (1–5) × Impact (1–5) = Score. Score ≥ 12: Red. Score 6–11: Amber. Score &lt; 6: Green.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5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79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Risk Description</w:t>
            </w:r>
          </w:p>
        </w:tc>
        <w:tc>
          <w:tcPr>
            <w:tcW w:type="dxa" w:w="61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81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W w:type="dxa" w:w="680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61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RAG</w:t>
            </w:r>
          </w:p>
        </w:tc>
        <w:tc>
          <w:tcPr>
            <w:tcW w:type="dxa" w:w="1223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285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Mitigation / Response</w:t>
            </w:r>
          </w:p>
        </w:tc>
      </w:tr>
      <w:tr>
        <w:tc>
          <w:tcPr>
            <w:tcW w:type="dxa" w:w="5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R-01</w:t>
            </w:r>
          </w:p>
        </w:tc>
        <w:tc>
          <w:tcPr>
            <w:tcW w:type="dxa" w:w="23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API integration rate limits block real-time health score refresh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8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12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</w:t>
            </w:r>
          </w:p>
        </w:tc>
        <w:tc>
          <w:tcPr>
            <w:tcW w:type="dxa" w:w="122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Cache scores 1 hr; exponential backoff; degrade gracefully</w:t>
            </w:r>
          </w:p>
        </w:tc>
      </w:tr>
      <w:tr>
        <w:tc>
          <w:tcPr>
            <w:tcW w:type="dxa" w:w="5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R-02</w:t>
            </w:r>
          </w:p>
        </w:tc>
        <w:tc>
          <w:tcPr>
            <w:tcW w:type="dxa" w:w="237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ML model AUC-ROC plateaus below 0.87 target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81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6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9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85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Ensemble methods; additional feature engineering; adjust target if justified by data</w:t>
            </w:r>
          </w:p>
        </w:tc>
      </w:tr>
      <w:tr>
        <w:tc>
          <w:tcPr>
            <w:tcW w:type="dxa" w:w="5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R-03</w:t>
            </w:r>
          </w:p>
        </w:tc>
        <w:tc>
          <w:tcPr>
            <w:tcW w:type="dxa" w:w="23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React rewrite scope creep delays v2.0 delivery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8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12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</w:t>
            </w:r>
          </w:p>
        </w:tc>
        <w:tc>
          <w:tcPr>
            <w:tcW w:type="dxa" w:w="122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Incremental migration; ship screens in React one at a time; keep Flask API stable</w:t>
            </w:r>
          </w:p>
        </w:tc>
      </w:tr>
      <w:tr>
        <w:tc>
          <w:tcPr>
            <w:tcW w:type="dxa" w:w="5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R-04</w:t>
            </w:r>
          </w:p>
        </w:tc>
        <w:tc>
          <w:tcPr>
            <w:tcW w:type="dxa" w:w="237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SMTP delivery to spam for Gmail recipients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81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6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9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85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Custom domain with Brevo DNS records; test deliverability early — RESOLVED: Brevo HTTPS API now used</w:t>
            </w:r>
          </w:p>
        </w:tc>
      </w:tr>
      <w:tr>
        <w:tc>
          <w:tcPr>
            <w:tcW w:type="dxa" w:w="5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R-05</w:t>
            </w:r>
          </w:p>
        </w:tc>
        <w:tc>
          <w:tcPr>
            <w:tcW w:type="dxa" w:w="23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platform outage during demo/launch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8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8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Maintain Railway status alerts; prepare fallback deployment region</w:t>
            </w:r>
          </w:p>
        </w:tc>
      </w:tr>
      <w:tr>
        <w:tc>
          <w:tcPr>
            <w:tcW w:type="dxa" w:w="5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R-06</w:t>
            </w:r>
          </w:p>
        </w:tc>
        <w:tc>
          <w:tcPr>
            <w:tcW w:type="dxa" w:w="237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Firebase Auth quota exceeded under load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81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6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8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85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Monitor quota; upgrade Firebase plan if needed</w:t>
            </w:r>
          </w:p>
        </w:tc>
      </w:tr>
      <w:tr>
        <w:tc>
          <w:tcPr>
            <w:tcW w:type="dxa" w:w="5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R-07</w:t>
            </w:r>
          </w:p>
        </w:tc>
        <w:tc>
          <w:tcPr>
            <w:tcW w:type="dxa" w:w="23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WCAG compliance rework adds unplanned sprint work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8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6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Embed axe-core in CI; include accessibility in every screen DoD; admin console DoD includes axe-core pass</w:t>
            </w:r>
          </w:p>
        </w:tc>
      </w:tr>
      <w:tr>
        <w:tc>
          <w:tcPr>
            <w:tcW w:type="dxa" w:w="5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R-08</w:t>
            </w:r>
          </w:p>
        </w:tc>
        <w:tc>
          <w:tcPr>
            <w:tcW w:type="dxa" w:w="237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Customer CSV contains PII (GDPR risk)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81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6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12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</w:t>
            </w:r>
          </w:p>
        </w:tc>
        <w:tc>
          <w:tcPr>
            <w:tcW w:type="dxa" w:w="122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85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Add PII detection on upload; document data handling policy; v2.1 persistent storage must include GDPR controls</w:t>
            </w:r>
          </w:p>
        </w:tc>
      </w:tr>
      <w:tr>
        <w:tc>
          <w:tcPr>
            <w:tcW w:type="dxa" w:w="5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R-09</w:t>
            </w:r>
          </w:p>
        </w:tc>
        <w:tc>
          <w:tcPr>
            <w:tcW w:type="dxa" w:w="23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Playbook email steps land in spam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8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6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Send via Brevo with verified sender; include unsubscribe footer per CAN-SPAM</w:t>
            </w:r>
          </w:p>
        </w:tc>
      </w:tr>
      <w:tr>
        <w:tc>
          <w:tcPr>
            <w:tcW w:type="dxa" w:w="5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R-10</w:t>
            </w:r>
          </w:p>
        </w:tc>
        <w:tc>
          <w:tcPr>
            <w:tcW w:type="dxa" w:w="237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Solo developer bus-factor risk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81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5</w:t>
            </w:r>
          </w:p>
        </w:tc>
        <w:tc>
          <w:tcPr>
            <w:tcW w:type="dxa" w:w="6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10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85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Document all decisions in DEVELOPER_GUIDE.md; maintain PR review trail in GitHub</w:t>
            </w:r>
          </w:p>
        </w:tc>
      </w:tr>
      <w:tr>
        <w:tc>
          <w:tcPr>
            <w:tcW w:type="dxa" w:w="5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R-11</w:t>
            </w:r>
          </w:p>
        </w:tc>
        <w:tc>
          <w:tcPr>
            <w:tcW w:type="dxa" w:w="23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 scope creep (9 categories)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8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12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Red</w:t>
            </w:r>
          </w:p>
        </w:tc>
        <w:tc>
          <w:tcPr>
            <w:tcW w:type="dxa" w:w="122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Deliver in phased order (9→1→3→5→2→7→4→6→8); one PR per category; scope each as a standalone feature</w:t>
            </w:r>
          </w:p>
        </w:tc>
      </w:tr>
      <w:tr>
        <w:tc>
          <w:tcPr>
            <w:tcW w:type="dxa" w:w="5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R-12</w:t>
            </w:r>
          </w:p>
        </w:tc>
        <w:tc>
          <w:tcPr>
            <w:tcW w:type="dxa" w:w="237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Act-as-user impersonation data exposure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81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5</w:t>
            </w:r>
          </w:p>
        </w:tc>
        <w:tc>
          <w:tcPr>
            <w:tcW w:type="dxa" w:w="6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10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85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Strictly read-only session token; audit every impersonation event; no write API calls permitted in impersonated session</w:t>
            </w:r>
          </w:p>
        </w:tc>
      </w:tr>
      <w:tr>
        <w:tc>
          <w:tcPr>
            <w:tcW w:type="dxa" w:w="5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R-13</w:t>
            </w:r>
          </w:p>
        </w:tc>
        <w:tc>
          <w:tcPr>
            <w:tcW w:type="dxa" w:w="237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API rate limits affect email log fetch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8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6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6</w:t>
            </w:r>
          </w:p>
        </w:tc>
        <w:tc>
          <w:tcPr>
            <w:tcW w:type="dxa" w:w="61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Cache email log response for 5 minutes; surface cache timestamp in admin UI</w:t>
            </w:r>
          </w:p>
        </w:tc>
      </w:tr>
      <w:tr>
        <w:tc>
          <w:tcPr>
            <w:tcW w:type="dxa" w:w="5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R-14</w:t>
            </w:r>
          </w:p>
        </w:tc>
        <w:tc>
          <w:tcPr>
            <w:tcW w:type="dxa" w:w="237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 missing audit entries (race condition)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81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680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8</w:t>
            </w:r>
          </w:p>
        </w:tc>
        <w:tc>
          <w:tcPr>
            <w:tcW w:type="dxa" w:w="61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Amber</w:t>
            </w:r>
          </w:p>
        </w:tc>
        <w:tc>
          <w:tcPr>
            <w:tcW w:type="dxa" w:w="122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85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Write audit log synchronously before HTTP 200 response is returned; cover with integration tests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SECTION 2 — ASSUMPTIONS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88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4418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Assumption</w:t>
            </w:r>
          </w:p>
        </w:tc>
        <w:tc>
          <w:tcPr>
            <w:tcW w:type="dxa" w:w="194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247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Verification Method</w:t>
            </w:r>
          </w:p>
        </w:tc>
      </w:tr>
      <w:tr>
        <w:tc>
          <w:tcPr>
            <w:tcW w:type="dxa" w:w="8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A-01</w:t>
            </w:r>
          </w:p>
        </w:tc>
        <w:tc>
          <w:tcPr>
            <w:tcW w:type="dxa" w:w="44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Firebase Authentication remains the identity provider through v2.0</w:t>
            </w:r>
          </w:p>
        </w:tc>
        <w:tc>
          <w:tcPr>
            <w:tcW w:type="dxa" w:w="19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Confirmed — no migration planned</w:t>
            </w:r>
          </w:p>
        </w:tc>
      </w:tr>
      <w:tr>
        <w:tc>
          <w:tcPr>
            <w:tcW w:type="dxa" w:w="88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A-02</w:t>
            </w:r>
          </w:p>
        </w:tc>
        <w:tc>
          <w:tcPr>
            <w:tcW w:type="dxa" w:w="441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paid plan provides sufficient build minutes and volume for all 9 admin console categories</w:t>
            </w:r>
          </w:p>
        </w:tc>
        <w:tc>
          <w:tcPr>
            <w:tcW w:type="dxa" w:w="19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Monitor Railway usage dashboard monthly</w:t>
            </w:r>
          </w:p>
        </w:tc>
      </w:tr>
      <w:tr>
        <w:tc>
          <w:tcPr>
            <w:tcW w:type="dxa" w:w="8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A-03</w:t>
            </w:r>
          </w:p>
        </w:tc>
        <w:tc>
          <w:tcPr>
            <w:tcW w:type="dxa" w:w="44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free tier sufficient for &lt; 300 emails/day in v2.0</w:t>
            </w:r>
          </w:p>
        </w:tc>
        <w:tc>
          <w:tcPr>
            <w:tcW w:type="dxa" w:w="19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Monitor Brevo quota dashboard</w:t>
            </w:r>
          </w:p>
        </w:tc>
      </w:tr>
      <w:tr>
        <w:tc>
          <w:tcPr>
            <w:tcW w:type="dxa" w:w="88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A-04</w:t>
            </w:r>
          </w:p>
        </w:tc>
        <w:tc>
          <w:tcPr>
            <w:tcW w:type="dxa" w:w="441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API key will remain available for admin console email log (FR-AC-21)</w:t>
            </w:r>
          </w:p>
        </w:tc>
        <w:tc>
          <w:tcPr>
            <w:tcW w:type="dxa" w:w="19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Key confirmed in Railway variables Oct 2026</w:t>
            </w:r>
          </w:p>
        </w:tc>
      </w:tr>
      <w:tr>
        <w:tc>
          <w:tcPr>
            <w:tcW w:type="dxa" w:w="8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A-05</w:t>
            </w:r>
          </w:p>
        </w:tc>
        <w:tc>
          <w:tcPr>
            <w:tcW w:type="dxa" w:w="44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All customers are accessible via the in-memory DataFrame (no persistent DB in v2.0)</w:t>
            </w:r>
          </w:p>
        </w:tc>
        <w:tc>
          <w:tcPr>
            <w:tcW w:type="dxa" w:w="19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Confirmed in Architecture decision log</w:t>
            </w:r>
          </w:p>
        </w:tc>
      </w:tr>
      <w:tr>
        <w:tc>
          <w:tcPr>
            <w:tcW w:type="dxa" w:w="88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A-06</w:t>
            </w:r>
          </w:p>
        </w:tc>
        <w:tc>
          <w:tcPr>
            <w:tcW w:type="dxa" w:w="441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 categories 1–5 deliver in Phases 4–5; categories 6–9 in Phases 6–7</w:t>
            </w:r>
          </w:p>
        </w:tc>
        <w:tc>
          <w:tcPr>
            <w:tcW w:type="dxa" w:w="19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Project Plan phase dates</w:t>
            </w:r>
          </w:p>
        </w:tc>
      </w:tr>
      <w:tr>
        <w:tc>
          <w:tcPr>
            <w:tcW w:type="dxa" w:w="8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A-07</w:t>
            </w:r>
          </w:p>
        </w:tc>
        <w:tc>
          <w:tcPr>
            <w:tcW w:type="dxa" w:w="44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Single admin user (Sandeep) for v2.0; multi-admin management deferred to v2.1</w:t>
            </w:r>
          </w:p>
        </w:tc>
        <w:tc>
          <w:tcPr>
            <w:tcW w:type="dxa" w:w="19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Confirmed in BRD scope</w:t>
            </w:r>
          </w:p>
        </w:tc>
      </w:tr>
      <w:tr>
        <w:tc>
          <w:tcPr>
            <w:tcW w:type="dxa" w:w="88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A-08</w:t>
            </w:r>
          </w:p>
        </w:tc>
        <w:tc>
          <w:tcPr>
            <w:tcW w:type="dxa" w:w="441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Act-as-user impersonation is strictly read-only; enforced at API token level</w:t>
            </w:r>
          </w:p>
        </w:tc>
        <w:tc>
          <w:tcPr>
            <w:tcW w:type="dxa" w:w="194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Code review + integration test TC-AC-USR-06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SECTION 3 — ISSUES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63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346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Issue Description</w:t>
            </w:r>
          </w:p>
        </w:tc>
        <w:tc>
          <w:tcPr>
            <w:tcW w:type="dxa" w:w="127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Severity</w:t>
            </w:r>
          </w:p>
        </w:tc>
        <w:tc>
          <w:tcPr>
            <w:tcW w:type="dxa" w:w="127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18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Resolution / Action</w:t>
            </w:r>
          </w:p>
        </w:tc>
      </w:tr>
      <w:tr>
        <w:tc>
          <w:tcPr>
            <w:tcW w:type="dxa" w:w="6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I-01</w:t>
            </w:r>
          </w:p>
        </w:tc>
        <w:tc>
          <w:tcPr>
            <w:tcW w:type="dxa" w:w="33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Hobby plan blocks SMTP ports — Brevo API used instead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High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Resolved</w:t>
            </w:r>
          </w:p>
        </w:tc>
        <w:tc>
          <w:tcPr>
            <w:tcW w:type="dxa" w:w="31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 #5: Brevo HTTPS API fallback implemented and deployed. Email confirmed delivered.</w:t>
            </w:r>
          </w:p>
        </w:tc>
      </w:tr>
      <w:tr>
        <w:tc>
          <w:tcPr>
            <w:tcW w:type="dxa" w:w="6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I-02</w:t>
            </w:r>
          </w:p>
        </w:tc>
        <w:tc>
          <w:tcPr>
            <w:tcW w:type="dxa" w:w="334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Firebase branch-protection required admin bypass to merge PR #3</w:t>
            </w:r>
          </w:p>
        </w:tc>
        <w:tc>
          <w:tcPr>
            <w:tcW w:type="dxa" w:w="127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Medium</w:t>
            </w:r>
          </w:p>
        </w:tc>
        <w:tc>
          <w:tcPr>
            <w:tcW w:type="dxa" w:w="127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Resolved</w:t>
            </w:r>
          </w:p>
        </w:tc>
        <w:tc>
          <w:tcPr>
            <w:tcW w:type="dxa" w:w="31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 bypassed branch protection. Rule relaxed for solo development.</w:t>
            </w:r>
          </w:p>
        </w:tc>
      </w:tr>
      <w:tr>
        <w:tc>
          <w:tcPr>
            <w:tcW w:type="dxa" w:w="6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I-03</w:t>
            </w:r>
          </w:p>
        </w:tc>
        <w:tc>
          <w:tcPr>
            <w:tcW w:type="dxa" w:w="33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GovernXT documents mistakenly created in Churn Prediction Model folder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Low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Resolved</w:t>
            </w:r>
          </w:p>
        </w:tc>
        <w:tc>
          <w:tcPr>
            <w:tcW w:type="dxa" w:w="31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Files deleted by user. ChurnSight documents rebuilt in correct folder.</w:t>
            </w:r>
          </w:p>
        </w:tc>
      </w:tr>
      <w:tr>
        <w:tc>
          <w:tcPr>
            <w:tcW w:type="dxa" w:w="6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I-04</w:t>
            </w:r>
          </w:p>
        </w:tc>
        <w:tc>
          <w:tcPr>
            <w:tcW w:type="dxa" w:w="334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Invitation email greeted user by email prefix instead of "Hi there"</w:t>
            </w:r>
          </w:p>
        </w:tc>
        <w:tc>
          <w:tcPr>
            <w:tcW w:type="dxa" w:w="127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Low</w:t>
            </w:r>
          </w:p>
        </w:tc>
        <w:tc>
          <w:tcPr>
            <w:tcW w:type="dxa" w:w="127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Resolved</w:t>
            </w:r>
          </w:p>
        </w:tc>
        <w:tc>
          <w:tcPr>
            <w:tcW w:type="dxa" w:w="31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 #6: greeting changed to "Hi there". Merged Oct 2026.</w:t>
            </w:r>
          </w:p>
        </w:tc>
      </w:tr>
      <w:tr>
        <w:tc>
          <w:tcPr>
            <w:tcW w:type="dxa" w:w="6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I-05</w:t>
            </w:r>
          </w:p>
        </w:tc>
        <w:tc>
          <w:tcPr>
            <w:tcW w:type="dxa" w:w="33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Invitation code too prominent in email (large, wrapped)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Low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Resolved</w:t>
            </w:r>
          </w:p>
        </w:tc>
        <w:tc>
          <w:tcPr>
            <w:tcW w:type="dxa" w:w="31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 #6: code moved under button as small fallback line. Merged Oct 2026.</w:t>
            </w:r>
          </w:p>
        </w:tc>
      </w:tr>
      <w:tr>
        <w:tc>
          <w:tcPr>
            <w:tcW w:type="dxa" w:w="6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I-06</w:t>
            </w:r>
          </w:p>
        </w:tc>
        <w:tc>
          <w:tcPr>
            <w:tcW w:type="dxa" w:w="3346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 is a basic user list — not a full-featured rich panel</w:t>
            </w:r>
          </w:p>
        </w:tc>
        <w:tc>
          <w:tcPr>
            <w:tcW w:type="dxa" w:w="127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High</w:t>
            </w:r>
          </w:p>
        </w:tc>
        <w:tc>
          <w:tcPr>
            <w:tcW w:type="dxa" w:w="127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</w:t>
            </w:r>
          </w:p>
        </w:tc>
        <w:tc>
          <w:tcPr>
            <w:tcW w:type="dxa" w:w="318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9-category Admin Console Enhancement planned. Phased delivery from Phase 4 onwards. This RAID log update marks start of work.</w:t>
            </w:r>
          </w:p>
        </w:tc>
      </w:tr>
      <w:tr>
        <w:tc>
          <w:tcPr>
            <w:tcW w:type="dxa" w:w="6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I-07</w:t>
            </w:r>
          </w:p>
        </w:tc>
        <w:tc>
          <w:tcPr>
            <w:tcW w:type="dxa" w:w="33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email list and console login settings stored in Railway variables — not editable in UI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Medium</w:t>
            </w:r>
          </w:p>
        </w:tc>
        <w:tc>
          <w:tcPr>
            <w:tcW w:type="dxa" w:w="12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Open</w:t>
            </w:r>
          </w:p>
        </w:tc>
        <w:tc>
          <w:tcPr>
            <w:tcW w:type="dxa" w:w="318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FR-AC-25: admin email list management in UI. Targeted for Category 4 (Invitations &amp; Access).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SECTION 4 — DEPENDENCIES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0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358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Dependency</w:t>
            </w:r>
          </w:p>
        </w:tc>
        <w:tc>
          <w:tcPr>
            <w:tcW w:type="dxa" w:w="123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59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3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Due</w:t>
            </w:r>
          </w:p>
        </w:tc>
        <w:tc>
          <w:tcPr>
            <w:tcW w:type="dxa" w:w="159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7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D-01</w:t>
            </w:r>
          </w:p>
        </w:tc>
        <w:tc>
          <w:tcPr>
            <w:tcW w:type="dxa" w:w="33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Firebase project with Email/Password + Google SSO enabled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External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Complete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Done</w:t>
            </w:r>
          </w:p>
        </w:tc>
      </w:tr>
      <w:tr>
        <w:tc>
          <w:tcPr>
            <w:tcW w:type="dxa" w:w="70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D-02</w:t>
            </w:r>
          </w:p>
        </w:tc>
        <w:tc>
          <w:tcPr>
            <w:tcW w:type="dxa" w:w="335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Railway paid plan with EU West region and volume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External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Complete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Done</w:t>
            </w:r>
          </w:p>
        </w:tc>
      </w:tr>
      <w:tr>
        <w:tc>
          <w:tcPr>
            <w:tcW w:type="dxa" w:w="7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D-03</w:t>
            </w:r>
          </w:p>
        </w:tc>
        <w:tc>
          <w:tcPr>
            <w:tcW w:type="dxa" w:w="33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account with verified sender and API key set in Railway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External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Complete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Done</w:t>
            </w:r>
          </w:p>
        </w:tc>
      </w:tr>
      <w:tr>
        <w:tc>
          <w:tcPr>
            <w:tcW w:type="dxa" w:w="70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D-04</w:t>
            </w:r>
          </w:p>
        </w:tc>
        <w:tc>
          <w:tcPr>
            <w:tcW w:type="dxa" w:w="335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churn_model.pkl trained on representative data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Internal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2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 progress</w:t>
            </w:r>
          </w:p>
        </w:tc>
      </w:tr>
      <w:tr>
        <w:tc>
          <w:tcPr>
            <w:tcW w:type="dxa" w:w="7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D-05</w:t>
            </w:r>
          </w:p>
        </w:tc>
        <w:tc>
          <w:tcPr>
            <w:tcW w:type="dxa" w:w="33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React/Next.js migration complete before Phase 6 admin console frontend rebuild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Internal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6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70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D-06</w:t>
            </w:r>
          </w:p>
        </w:tc>
        <w:tc>
          <w:tcPr>
            <w:tcW w:type="dxa" w:w="335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Brevo API key available for admin console email log (separate from SMTP key)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External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5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7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D-07</w:t>
            </w:r>
          </w:p>
        </w:tc>
        <w:tc>
          <w:tcPr>
            <w:tcW w:type="dxa" w:w="33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Recharts installed in frontend bundle for admin console charts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Internal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4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70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D-08</w:t>
            </w:r>
          </w:p>
        </w:tc>
        <w:tc>
          <w:tcPr>
            <w:tcW w:type="dxa" w:w="335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React Table installed for admin console data grids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Internal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4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7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D-09</w:t>
            </w:r>
          </w:p>
        </w:tc>
        <w:tc>
          <w:tcPr>
            <w:tcW w:type="dxa" w:w="33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ADMIN_TOKEN_SECRET set in Railway for admin console JWT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External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12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Phase 4</w:t>
            </w:r>
          </w:p>
        </w:tc>
        <w:tc>
          <w:tcPr>
            <w:tcW w:type="dxa" w:w="15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70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D-10</w:t>
            </w:r>
          </w:p>
        </w:tc>
        <w:tc>
          <w:tcPr>
            <w:tcW w:type="dxa" w:w="3358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PostgreSQL service added to Railway (for v2.1 persistent data)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External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</w:t>
            </w:r>
          </w:p>
        </w:tc>
        <w:tc>
          <w:tcPr>
            <w:tcW w:type="dxa" w:w="123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v2.1</w:t>
            </w:r>
          </w:p>
        </w:tc>
        <w:tc>
          <w:tcPr>
            <w:tcW w:type="dxa" w:w="159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Deferred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720"/>
      <w:tblBorders>
        <w:top w:val="single" w:color="94A3B8" w:sz="2"/>
        <w:left w:val="none"/>
        <w:bottom w:val="none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top w:type="dxa" w:w="80"/>
          </w:tcMar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Page </w:t>
          </w:r>
          <w:pgNum/>
          <w:r>
            <w:rPr>
              <w:color w:val="64748B"/>
              <w:sz w:val="16"/>
              <w:szCs w:val="16"/>
            </w:rPr>
            <w:t xml:space="preserve"> of </w:t>
          </w:r>
          <w:pgNum/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20"/>
      <w:tblBorders>
        <w:top w:val="none"/>
        <w:left w:val="none"/>
        <w:bottom w:val="single" w:color="176BFA" w:sz="4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bottom w:type="dxa" w:w="80"/>
          </w:tcMar>
        </w:tcPr>
        <w:p>
          <w:r>
            <w:rPr>
              <w:b/>
              <w:bCs/>
              <w:color w:val="071426"/>
              <w:sz w:val="18"/>
              <w:szCs w:val="18"/>
            </w:rPr>
            <w:t xml:space="preserve">ChurnSight</w:t>
          </w:r>
          <w:r>
            <w:rPr>
              <w:color w:val="64748B"/>
              <w:sz w:val="18"/>
              <w:szCs w:val="18"/>
            </w:rPr>
            <w:t xml:space="preserve"> · </w:t>
          </w:r>
          <w:r>
            <w:rPr>
              <w:color w:val="64748B"/>
              <w:sz w:val="18"/>
              <w:szCs w:val="18"/>
            </w:rPr>
            <w:t xml:space="preserve">RAID Log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bullet"/>
      <w:lvlText w:val="○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color w:val="1E293B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decimal"/>
      <w:lvlText w:val="%2.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decimal"/>
      <w:lvlText w:val="%3."/>
      <w:lvlJc w:val="left"/>
      <w:pPr>
        <w:ind w:left="1080" w:hanging="360"/>
      </w:pPr>
      <w:rPr>
        <w:color w:val="1E293B"/>
        <w:sz w:val="20"/>
        <w:szCs w:val="2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2026-10-14T16:06:55.648Z</dcterms:created>
  <dcterms:modified xsi:type="dcterms:W3CDTF">2026-10-14T16:06:55.648Z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