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B4D"/>
          <w:sz w:val="72"/>
          <w:szCs w:val="72"/>
        </w:rPr>
        <w:t xml:space="preserve">COSECHA</w:t>
      </w:r>
    </w:p>
    <w:p>
      <w:pPr>
        <w:spacing w:after="100" w:before="200"/>
        <w:jc w:val="center"/>
      </w:pPr>
      <w:r>
        <w:rPr>
          <w:color w:val="595959"/>
          <w:sz w:val="32"/>
          <w:szCs w:val="32"/>
        </w:rPr>
        <w:t xml:space="preserve">Documento de Investigación y Documentación</w:t>
      </w:r>
    </w:p>
    <w:p>
      <w:pPr>
        <w:spacing w:after="1200"/>
        <w:jc w:val="center"/>
      </w:pPr>
      <w:r>
        <w:rPr>
          <w:b/>
          <w:bCs/>
          <w:color w:val="2E7D32"/>
          <w:sz w:val="28"/>
          <w:szCs w:val="28"/>
        </w:rPr>
        <w:t xml:space="preserve">Proyecto: Zafra — Copiloto Agronómico</w:t>
      </w:r>
    </w:p>
    <w:p>
      <w:pPr>
        <w:jc w:val="center"/>
      </w:pPr>
      <w:r>
        <w:rPr>
          <w:color w:val="595959"/>
          <w:sz w:val="22"/>
          <w:szCs w:val="22"/>
        </w:rPr>
        <w:t xml:space="preserve">Cultivos de referencia: Maíz y Soya — Santa Cruz, Bolivia</w:t>
      </w:r>
    </w:p>
    <w:p>
      <w:pPr>
        <w:spacing w:before="3200"/>
        <w:jc w:val="center"/>
      </w:pPr>
      <w:r>
        <w:rPr>
          <w:color w:val="595959"/>
          <w:sz w:val="20"/>
          <w:szCs w:val="20"/>
        </w:rPr>
        <w:t xml:space="preserve">Julio 2026</w:t>
      </w:r>
    </w:p>
    <w:p>
      <w:r>
        <w:br w:type="page"/>
      </w:r>
    </w:p>
    <w:p>
      <w:pPr>
        <w:pStyle w:val="Heading1"/>
        <w:spacing w:after="160" w:before="360"/>
      </w:pPr>
      <w:r>
        <w:t xml:space="preserve">Tabla de contenido</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0. Resumen ejecutivo</w:t>
      </w:r>
    </w:p>
    <w:p>
      <w:pPr>
        <w:spacing w:after="160" w:line="300"/>
      </w:pPr>
      <w:r>
        <w:t xml:space="preserve">Cosecha reúne la investigación, los datos reales y las decisiones técnicas recopiladas para sustentar Zafra, un copiloto agronómico móvil enfocado en maíz y soya en Santa Cruz, Bolivia. El objetivo de este documento es centralizar en un solo lugar lo investigado hasta ahora — problema, mercado, reglas agronómicas, marco legal, arquitectura tecnológica y modelo de negocio — y marcar con claridad qué puntos ya están validados con fuentes reales y cuáles siguen pendientes de investigación o entrevista.</w:t>
      </w:r>
    </w:p>
    <w:p>
      <w:pPr>
        <w:pBdr>
          <w:left w:val="single" w:color="2E7D32" w:sz="18" w:space="8"/>
        </w:pBdr>
        <w:shd w:fill="EAF2ED" w:val="clear"/>
        <w:spacing w:after="200" w:before="80"/>
      </w:pPr>
      <w:r>
        <w:rPr>
          <w:i/>
          <w:iCs/>
          <w:color w:val="595959"/>
          <w:sz w:val="20"/>
          <w:szCs w:val="20"/>
        </w:rPr>
        <w:t xml:space="preserve">Convención usada en todo el documento: los datos marcados como [VALIDADO] provienen de una fuente citada (ANAPO, SENASAG, papers, guías de extensión agrícola). Los marcados como [PENDIENTE] son supuestos razonables que todavía necesitan una fuente real o una entrevista para confirmarse.</w:t>
      </w:r>
    </w:p>
    <w:p>
      <w:pPr>
        <w:pStyle w:val="Heading1"/>
        <w:spacing w:after="160" w:before="360"/>
      </w:pPr>
      <w:r>
        <w:t xml:space="preserve">1. Diagnóstico del problema</w:t>
      </w:r>
    </w:p>
    <w:p>
      <w:pPr>
        <w:pStyle w:val="Heading2"/>
        <w:spacing w:after="120" w:before="240"/>
      </w:pPr>
      <w:r>
        <w:t xml:space="preserve">1.1 El problema central</w:t>
      </w:r>
    </w:p>
    <w:p>
      <w:pPr>
        <w:spacing w:after="160" w:line="300"/>
      </w:pPr>
      <w:r>
        <w:t xml:space="preserve">El agro moderno requiere precisión milimétrica, pero las decisiones críticas de aplicación de agroquímicos se toman en el campo, con poca conectividad, bajo presión de tiempo y con datos dispersos entre distintas plataformas. Esto genera un riesgo alto de error humano en decisiones que involucran miles de dólares por hectárea.</w:t>
      </w:r>
    </w:p>
    <w:p>
      <w:pPr>
        <w:pStyle w:val="Heading2"/>
        <w:spacing w:after="120" w:before="240"/>
      </w:pPr>
      <w:r>
        <w:t xml:space="preserve">1.2 Magnitud económica — caso de estudio real [VALIDADO]</w:t>
      </w:r>
    </w:p>
    <w:p>
      <w:pPr>
        <w:spacing w:after="160" w:line="300"/>
      </w:pPr>
      <w:r>
        <w:t xml:space="preserve">Los datos oficiales de ANAPO (Memoria Anual 2025, Estadísticas) muestran que la campaña de soya de verano 23/24 tuvo una caída de rendimiento del 34% respecto a la campaña anterior (de 2,02 a 1,34 t/ha), sobre una superficie de más de 1,15 millones de hectáreas. Este tipo de caída es el escenario exacto donde una mala decisión de aplicación (fumigar en la ventana climática equivocada, perder el producto por lluvia o viento) se vuelve más costosa, porque el margen de tolerancia del productor ya está reducido.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1F3B4D" w:val="clear"/>
            <w:tcMar>
              <w:top w:type="dxa" w:w="60"/>
              <w:left w:type="dxa" w:w="100"/>
              <w:bottom w:type="dxa" w:w="60"/>
              <w:right w:type="dxa" w:w="100"/>
            </w:tcMar>
          </w:tcPr>
          <w:p>
            <w:pPr>
              <w:jc w:val="center"/>
            </w:pPr>
            <w:r>
              <w:rPr>
                <w:b/>
                <w:bCs/>
                <w:color w:val="FFFFFF"/>
                <w:sz w:val="20"/>
                <w:szCs w:val="20"/>
              </w:rPr>
              <w:t xml:space="preserve">Campaña</w:t>
            </w:r>
          </w:p>
        </w:tc>
        <w:tc>
          <w:tcPr>
            <w:tcW w:type="dxa" w:w="2400"/>
            <w:shd w:fill="1F3B4D" w:val="clear"/>
            <w:tcMar>
              <w:top w:type="dxa" w:w="60"/>
              <w:left w:type="dxa" w:w="100"/>
              <w:bottom w:type="dxa" w:w="60"/>
              <w:right w:type="dxa" w:w="100"/>
            </w:tcMar>
          </w:tcPr>
          <w:p>
            <w:pPr>
              <w:jc w:val="center"/>
            </w:pPr>
            <w:r>
              <w:rPr>
                <w:b/>
                <w:bCs/>
                <w:color w:val="FFFFFF"/>
                <w:sz w:val="20"/>
                <w:szCs w:val="20"/>
              </w:rPr>
              <w:t xml:space="preserve">Superficie (ha)</w:t>
            </w:r>
          </w:p>
        </w:tc>
        <w:tc>
          <w:tcPr>
            <w:tcW w:type="dxa" w:w="2400"/>
            <w:shd w:fill="1F3B4D" w:val="clear"/>
            <w:tcMar>
              <w:top w:type="dxa" w:w="60"/>
              <w:left w:type="dxa" w:w="100"/>
              <w:bottom w:type="dxa" w:w="60"/>
              <w:right w:type="dxa" w:w="100"/>
            </w:tcMar>
          </w:tcPr>
          <w:p>
            <w:pPr>
              <w:jc w:val="center"/>
            </w:pPr>
            <w:r>
              <w:rPr>
                <w:b/>
                <w:bCs/>
                <w:color w:val="FFFFFF"/>
                <w:sz w:val="20"/>
                <w:szCs w:val="20"/>
              </w:rPr>
              <w:t xml:space="preserve">Rendimiento (t/ha)</w:t>
            </w:r>
          </w:p>
        </w:tc>
        <w:tc>
          <w:tcPr>
            <w:tcW w:type="dxa" w:w="2400"/>
            <w:shd w:fill="1F3B4D" w:val="clear"/>
            <w:tcMar>
              <w:top w:type="dxa" w:w="60"/>
              <w:left w:type="dxa" w:w="100"/>
              <w:bottom w:type="dxa" w:w="60"/>
              <w:right w:type="dxa" w:w="100"/>
            </w:tcMar>
          </w:tcPr>
          <w:p>
            <w:pPr>
              <w:jc w:val="center"/>
            </w:pPr>
            <w:r>
              <w:rPr>
                <w:b/>
                <w:bCs/>
                <w:color w:val="FFFFFF"/>
                <w:sz w:val="20"/>
                <w:szCs w:val="20"/>
              </w:rPr>
              <w:t xml:space="preserve">Producción (t)</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20/21</w:t>
            </w:r>
          </w:p>
        </w:tc>
        <w:tc>
          <w:tcPr>
            <w:tcW w:type="dxa" w:w="2400"/>
            <w:tcMar>
              <w:top w:type="dxa" w:w="60"/>
              <w:left w:type="dxa" w:w="100"/>
              <w:bottom w:type="dxa" w:w="60"/>
              <w:right w:type="dxa" w:w="100"/>
            </w:tcMar>
          </w:tcPr>
          <w:p>
            <w:pPr>
              <w:jc w:val="center"/>
            </w:pPr>
            <w:r>
              <w:rPr>
                <w:b w:val="false"/>
                <w:bCs w:val="false"/>
                <w:color w:val="000000"/>
                <w:sz w:val="20"/>
                <w:szCs w:val="20"/>
              </w:rPr>
              <w:t xml:space="preserve">1.055.000</w:t>
            </w:r>
          </w:p>
        </w:tc>
        <w:tc>
          <w:tcPr>
            <w:tcW w:type="dxa" w:w="2400"/>
            <w:tcMar>
              <w:top w:type="dxa" w:w="60"/>
              <w:left w:type="dxa" w:w="100"/>
              <w:bottom w:type="dxa" w:w="60"/>
              <w:right w:type="dxa" w:w="100"/>
            </w:tcMar>
          </w:tcPr>
          <w:p>
            <w:pPr>
              <w:jc w:val="center"/>
            </w:pPr>
            <w:r>
              <w:rPr>
                <w:b w:val="false"/>
                <w:bCs w:val="false"/>
                <w:color w:val="000000"/>
                <w:sz w:val="20"/>
                <w:szCs w:val="20"/>
              </w:rPr>
              <w:t xml:space="preserve">2,43</w:t>
            </w:r>
          </w:p>
        </w:tc>
        <w:tc>
          <w:tcPr>
            <w:tcW w:type="dxa" w:w="2400"/>
            <w:tcMar>
              <w:top w:type="dxa" w:w="60"/>
              <w:left w:type="dxa" w:w="100"/>
              <w:bottom w:type="dxa" w:w="60"/>
              <w:right w:type="dxa" w:w="100"/>
            </w:tcMar>
          </w:tcPr>
          <w:p>
            <w:pPr>
              <w:jc w:val="center"/>
            </w:pPr>
            <w:r>
              <w:rPr>
                <w:b w:val="false"/>
                <w:bCs w:val="false"/>
                <w:color w:val="000000"/>
                <w:sz w:val="20"/>
                <w:szCs w:val="20"/>
              </w:rPr>
              <w:t xml:space="preserve">2.568.351</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21/22</w:t>
            </w:r>
          </w:p>
        </w:tc>
        <w:tc>
          <w:tcPr>
            <w:tcW w:type="dxa" w:w="2400"/>
            <w:tcMar>
              <w:top w:type="dxa" w:w="60"/>
              <w:left w:type="dxa" w:w="100"/>
              <w:bottom w:type="dxa" w:w="60"/>
              <w:right w:type="dxa" w:w="100"/>
            </w:tcMar>
          </w:tcPr>
          <w:p>
            <w:pPr>
              <w:jc w:val="center"/>
            </w:pPr>
            <w:r>
              <w:rPr>
                <w:b w:val="false"/>
                <w:bCs w:val="false"/>
                <w:color w:val="000000"/>
                <w:sz w:val="20"/>
                <w:szCs w:val="20"/>
              </w:rPr>
              <w:t xml:space="preserve">1.100.800</w:t>
            </w:r>
          </w:p>
        </w:tc>
        <w:tc>
          <w:tcPr>
            <w:tcW w:type="dxa" w:w="2400"/>
            <w:tcMar>
              <w:top w:type="dxa" w:w="60"/>
              <w:left w:type="dxa" w:w="100"/>
              <w:bottom w:type="dxa" w:w="60"/>
              <w:right w:type="dxa" w:w="100"/>
            </w:tcMar>
          </w:tcPr>
          <w:p>
            <w:pPr>
              <w:jc w:val="center"/>
            </w:pPr>
            <w:r>
              <w:rPr>
                <w:b w:val="false"/>
                <w:bCs w:val="false"/>
                <w:color w:val="000000"/>
                <w:sz w:val="20"/>
                <w:szCs w:val="20"/>
              </w:rPr>
              <w:t xml:space="preserve">2,15</w:t>
            </w:r>
          </w:p>
        </w:tc>
        <w:tc>
          <w:tcPr>
            <w:tcW w:type="dxa" w:w="2400"/>
            <w:tcMar>
              <w:top w:type="dxa" w:w="60"/>
              <w:left w:type="dxa" w:w="100"/>
              <w:bottom w:type="dxa" w:w="60"/>
              <w:right w:type="dxa" w:w="100"/>
            </w:tcMar>
          </w:tcPr>
          <w:p>
            <w:pPr>
              <w:jc w:val="center"/>
            </w:pPr>
            <w:r>
              <w:rPr>
                <w:b w:val="false"/>
                <w:bCs w:val="false"/>
                <w:color w:val="000000"/>
                <w:sz w:val="20"/>
                <w:szCs w:val="20"/>
              </w:rPr>
              <w:t xml:space="preserve">2.370.529</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22/23</w:t>
            </w:r>
          </w:p>
        </w:tc>
        <w:tc>
          <w:tcPr>
            <w:tcW w:type="dxa" w:w="2400"/>
            <w:tcMar>
              <w:top w:type="dxa" w:w="60"/>
              <w:left w:type="dxa" w:w="100"/>
              <w:bottom w:type="dxa" w:w="60"/>
              <w:right w:type="dxa" w:w="100"/>
            </w:tcMar>
          </w:tcPr>
          <w:p>
            <w:pPr>
              <w:jc w:val="center"/>
            </w:pPr>
            <w:r>
              <w:rPr>
                <w:b w:val="false"/>
                <w:bCs w:val="false"/>
                <w:color w:val="000000"/>
                <w:sz w:val="20"/>
                <w:szCs w:val="20"/>
              </w:rPr>
              <w:t xml:space="preserve">1.171.700</w:t>
            </w:r>
          </w:p>
        </w:tc>
        <w:tc>
          <w:tcPr>
            <w:tcW w:type="dxa" w:w="2400"/>
            <w:tcMar>
              <w:top w:type="dxa" w:w="60"/>
              <w:left w:type="dxa" w:w="100"/>
              <w:bottom w:type="dxa" w:w="60"/>
              <w:right w:type="dxa" w:w="100"/>
            </w:tcMar>
          </w:tcPr>
          <w:p>
            <w:pPr>
              <w:jc w:val="center"/>
            </w:pPr>
            <w:r>
              <w:rPr>
                <w:b w:val="false"/>
                <w:bCs w:val="false"/>
                <w:color w:val="000000"/>
                <w:sz w:val="20"/>
                <w:szCs w:val="20"/>
              </w:rPr>
              <w:t xml:space="preserve">2,02</w:t>
            </w:r>
          </w:p>
        </w:tc>
        <w:tc>
          <w:tcPr>
            <w:tcW w:type="dxa" w:w="2400"/>
            <w:tcMar>
              <w:top w:type="dxa" w:w="60"/>
              <w:left w:type="dxa" w:w="100"/>
              <w:bottom w:type="dxa" w:w="60"/>
              <w:right w:type="dxa" w:w="100"/>
            </w:tcMar>
          </w:tcPr>
          <w:p>
            <w:pPr>
              <w:jc w:val="center"/>
            </w:pPr>
            <w:r>
              <w:rPr>
                <w:b w:val="false"/>
                <w:bCs w:val="false"/>
                <w:color w:val="000000"/>
                <w:sz w:val="20"/>
                <w:szCs w:val="20"/>
              </w:rPr>
              <w:t xml:space="preserve">2.362.651</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23/24</w:t>
            </w:r>
          </w:p>
        </w:tc>
        <w:tc>
          <w:tcPr>
            <w:tcW w:type="dxa" w:w="2400"/>
            <w:tcMar>
              <w:top w:type="dxa" w:w="60"/>
              <w:left w:type="dxa" w:w="100"/>
              <w:bottom w:type="dxa" w:w="60"/>
              <w:right w:type="dxa" w:w="100"/>
            </w:tcMar>
          </w:tcPr>
          <w:p>
            <w:pPr>
              <w:jc w:val="center"/>
            </w:pPr>
            <w:r>
              <w:rPr>
                <w:b w:val="false"/>
                <w:bCs w:val="false"/>
                <w:color w:val="000000"/>
                <w:sz w:val="20"/>
                <w:szCs w:val="20"/>
              </w:rPr>
              <w:t xml:space="preserve">1.156.600</w:t>
            </w:r>
          </w:p>
        </w:tc>
        <w:tc>
          <w:tcPr>
            <w:tcW w:type="dxa" w:w="2400"/>
            <w:tcMar>
              <w:top w:type="dxa" w:w="60"/>
              <w:left w:type="dxa" w:w="100"/>
              <w:bottom w:type="dxa" w:w="60"/>
              <w:right w:type="dxa" w:w="100"/>
            </w:tcMar>
          </w:tcPr>
          <w:p>
            <w:pPr>
              <w:jc w:val="center"/>
            </w:pPr>
            <w:r>
              <w:rPr>
                <w:b w:val="false"/>
                <w:bCs w:val="false"/>
                <w:color w:val="000000"/>
                <w:sz w:val="20"/>
                <w:szCs w:val="20"/>
              </w:rPr>
              <w:t xml:space="preserve">1,34</w:t>
            </w:r>
          </w:p>
        </w:tc>
        <w:tc>
          <w:tcPr>
            <w:tcW w:type="dxa" w:w="2400"/>
            <w:tcMar>
              <w:top w:type="dxa" w:w="60"/>
              <w:left w:type="dxa" w:w="100"/>
              <w:bottom w:type="dxa" w:w="60"/>
              <w:right w:type="dxa" w:w="100"/>
            </w:tcMar>
          </w:tcPr>
          <w:p>
            <w:pPr>
              <w:jc w:val="center"/>
            </w:pPr>
            <w:r>
              <w:rPr>
                <w:b w:val="false"/>
                <w:bCs w:val="false"/>
                <w:color w:val="000000"/>
                <w:sz w:val="20"/>
                <w:szCs w:val="20"/>
              </w:rPr>
              <w:t xml:space="preserve">1.548.752</w:t>
            </w:r>
          </w:p>
        </w:tc>
      </w:tr>
      <w:tr>
        <w:tc>
          <w:tcPr>
            <w:tcW w:type="dxa" w:w="2400"/>
            <w:tcMar>
              <w:top w:type="dxa" w:w="60"/>
              <w:left w:type="dxa" w:w="100"/>
              <w:bottom w:type="dxa" w:w="60"/>
              <w:right w:type="dxa" w:w="100"/>
            </w:tcMar>
          </w:tcPr>
          <w:p>
            <w:pPr>
              <w:jc w:val="left"/>
            </w:pPr>
            <w:r>
              <w:rPr>
                <w:b w:val="false"/>
                <w:bCs w:val="false"/>
                <w:color w:val="000000"/>
                <w:sz w:val="20"/>
                <w:szCs w:val="20"/>
              </w:rPr>
              <w:t xml:space="preserve">24/25</w:t>
            </w:r>
          </w:p>
        </w:tc>
        <w:tc>
          <w:tcPr>
            <w:tcW w:type="dxa" w:w="2400"/>
            <w:tcMar>
              <w:top w:type="dxa" w:w="60"/>
              <w:left w:type="dxa" w:w="100"/>
              <w:bottom w:type="dxa" w:w="60"/>
              <w:right w:type="dxa" w:w="100"/>
            </w:tcMar>
          </w:tcPr>
          <w:p>
            <w:pPr>
              <w:jc w:val="center"/>
            </w:pPr>
            <w:r>
              <w:rPr>
                <w:b w:val="false"/>
                <w:bCs w:val="false"/>
                <w:color w:val="000000"/>
                <w:sz w:val="20"/>
                <w:szCs w:val="20"/>
              </w:rPr>
              <w:t xml:space="preserve">1.212.500</w:t>
            </w:r>
          </w:p>
        </w:tc>
        <w:tc>
          <w:tcPr>
            <w:tcW w:type="dxa" w:w="2400"/>
            <w:tcMar>
              <w:top w:type="dxa" w:w="60"/>
              <w:left w:type="dxa" w:w="100"/>
              <w:bottom w:type="dxa" w:w="60"/>
              <w:right w:type="dxa" w:w="100"/>
            </w:tcMar>
          </w:tcPr>
          <w:p>
            <w:pPr>
              <w:jc w:val="center"/>
            </w:pPr>
            <w:r>
              <w:rPr>
                <w:b w:val="false"/>
                <w:bCs w:val="false"/>
                <w:color w:val="000000"/>
                <w:sz w:val="20"/>
                <w:szCs w:val="20"/>
              </w:rPr>
              <w:t xml:space="preserve">2,21</w:t>
            </w:r>
          </w:p>
        </w:tc>
        <w:tc>
          <w:tcPr>
            <w:tcW w:type="dxa" w:w="2400"/>
            <w:tcMar>
              <w:top w:type="dxa" w:w="60"/>
              <w:left w:type="dxa" w:w="100"/>
              <w:bottom w:type="dxa" w:w="60"/>
              <w:right w:type="dxa" w:w="100"/>
            </w:tcMar>
          </w:tcPr>
          <w:p>
            <w:pPr>
              <w:jc w:val="center"/>
            </w:pPr>
            <w:r>
              <w:rPr>
                <w:b w:val="false"/>
                <w:bCs w:val="false"/>
                <w:color w:val="000000"/>
                <w:sz w:val="20"/>
                <w:szCs w:val="20"/>
              </w:rPr>
              <w:t xml:space="preserve">2.681.531</w:t>
            </w:r>
          </w:p>
        </w:tc>
      </w:tr>
    </w:tbl>
    <w:p>
      <w:pPr>
        <w:spacing w:after="160" w:line="300"/>
      </w:pPr>
      <w:r>
        <w:rPr>
          <w:i/>
          <w:iCs/>
          <w:color w:val="595959"/>
          <w:sz w:val="18"/>
          <w:szCs w:val="18"/>
        </w:rPr>
        <w:t xml:space="preserve">Fuente: ANAPO, Memoria Anual 2025 — Estadísticas, p.120.</w:t>
      </w:r>
    </w:p>
    <w:p>
      <w:pPr>
        <w:pStyle w:val="Heading2"/>
        <w:spacing w:after="120" w:before="240"/>
      </w:pPr>
      <w:r>
        <w:t xml:space="preserve">1.3 Frecuencia de aplicaciones por hectárea [VALIDADO — a nivel de estudio puntual]</w:t>
      </w:r>
    </w:p>
    <w:p>
      <w:pPr>
        <w:spacing w:after="160" w:line="300"/>
      </w:pPr>
      <w:r>
        <w:t xml:space="preserve">Un estudio de campo en San Pedro, Santa Cruz, encontró que en una hectárea de soya se aplican anualmente más de 35 kg de productos químicos, con caldos compuestos de hasta 11 productos distintos, en 6 a 13 aplicaciones durante el ciclo del cultivo. Esto confirma que cada hectárea representa entre 6 y 13 decisiones críticas por campaña donde Zafra puede intervenir.</w:t>
      </w:r>
    </w:p>
    <w:p>
      <w:pPr>
        <w:pBdr>
          <w:left w:val="single" w:color="2E7D32" w:sz="18" w:space="8"/>
        </w:pBdr>
        <w:shd w:fill="EAF2ED" w:val="clear"/>
        <w:spacing w:after="200" w:before="80"/>
      </w:pPr>
      <w:r>
        <w:rPr>
          <w:i/>
          <w:iCs/>
          <w:color w:val="595959"/>
          <w:sz w:val="20"/>
          <w:szCs w:val="20"/>
        </w:rPr>
        <w:t xml:space="preserve">PENDIENTE: confirmar si esta frecuencia (6-13 aplicaciones) es representativa de todo Santa Cruz o solo del municipio estudiado, y conseguir el dato equivalente para maíz.</w:t>
      </w:r>
    </w:p>
    <w:p>
      <w:pPr>
        <w:pStyle w:val="Heading2"/>
        <w:spacing w:after="120" w:before="240"/>
      </w:pPr>
      <w:r>
        <w:t xml:space="preserve">1.4 Testimonios de campo</w:t>
      </w:r>
    </w:p>
    <w:p>
      <w:pPr>
        <w:spacing w:after="160" w:line="300"/>
      </w:pPr>
      <w:r>
        <w:t xml:space="preserve">PENDIENTE: recopilar 5-10 testimonios directos de ingenieros agrónomos sobre decisiones erróneas o postergadas por falta de datos a tiempo (ver sección 8 — Validación con usuarios).</w:t>
      </w:r>
    </w:p>
    <w:p>
      <w:pPr>
        <w:pStyle w:val="Heading1"/>
        <w:spacing w:after="160" w:before="360"/>
      </w:pPr>
      <w:r>
        <w:t xml:space="preserve">2. Mercado y público objetivo</w:t>
      </w:r>
    </w:p>
    <w:p>
      <w:pPr>
        <w:pStyle w:val="Heading2"/>
        <w:spacing w:after="120" w:before="240"/>
      </w:pPr>
      <w:r>
        <w:t xml:space="preserve">2.1 Tamaño del mercado potencial [VALIDADO]</w:t>
      </w:r>
    </w:p>
    <w:p>
      <w:pPr>
        <w:spacing w:after="160" w:line="300"/>
      </w:pPr>
      <w:r>
        <w:t xml:space="preserve">Bolivia sembró entre 1,1 y 1,9 millones de hectáreas de soya en las últimas diez campañas según el ranking mundial de productores de ANAPO, y Santa Cruz concentra prácticamente toda esa superficie. A esto se suman entre 85.000 y 140.000 ha de maíz de verano y 30.000-60.000 ha de maíz de invierno en los últimos cinco años.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200"/>
      </w:tblGrid>
      <w:tr>
        <w:trPr>
          <w:tblHeader/>
        </w:trPr>
        <w:tc>
          <w:tcPr>
            <w:tcW w:type="dxa" w:w="3200"/>
            <w:shd w:fill="1F3B4D" w:val="clear"/>
            <w:tcMar>
              <w:top w:type="dxa" w:w="60"/>
              <w:left w:type="dxa" w:w="100"/>
              <w:bottom w:type="dxa" w:w="60"/>
              <w:right w:type="dxa" w:w="100"/>
            </w:tcMar>
          </w:tcPr>
          <w:p>
            <w:pPr>
              <w:jc w:val="center"/>
            </w:pPr>
            <w:r>
              <w:rPr>
                <w:b/>
                <w:bCs/>
                <w:color w:val="FFFFFF"/>
                <w:sz w:val="20"/>
                <w:szCs w:val="20"/>
              </w:rPr>
              <w:t xml:space="preserve">Cultivo / campaña</w:t>
            </w:r>
          </w:p>
        </w:tc>
        <w:tc>
          <w:tcPr>
            <w:tcW w:type="dxa" w:w="2200"/>
            <w:shd w:fill="1F3B4D" w:val="clear"/>
            <w:tcMar>
              <w:top w:type="dxa" w:w="60"/>
              <w:left w:type="dxa" w:w="100"/>
              <w:bottom w:type="dxa" w:w="60"/>
              <w:right w:type="dxa" w:w="100"/>
            </w:tcMar>
          </w:tcPr>
          <w:p>
            <w:pPr>
              <w:jc w:val="center"/>
            </w:pPr>
            <w:r>
              <w:rPr>
                <w:b/>
                <w:bCs/>
                <w:color w:val="FFFFFF"/>
                <w:sz w:val="20"/>
                <w:szCs w:val="20"/>
              </w:rPr>
              <w:t xml:space="preserve">24/25</w:t>
            </w:r>
          </w:p>
        </w:tc>
        <w:tc>
          <w:tcPr>
            <w:tcW w:type="dxa" w:w="2200"/>
            <w:shd w:fill="1F3B4D" w:val="clear"/>
            <w:tcMar>
              <w:top w:type="dxa" w:w="60"/>
              <w:left w:type="dxa" w:w="100"/>
              <w:bottom w:type="dxa" w:w="60"/>
              <w:right w:type="dxa" w:w="100"/>
            </w:tcMar>
          </w:tcPr>
          <w:p>
            <w:pPr>
              <w:jc w:val="center"/>
            </w:pPr>
            <w:r>
              <w:rPr>
                <w:b/>
                <w:bCs/>
                <w:color w:val="FFFFFF"/>
                <w:sz w:val="20"/>
                <w:szCs w:val="20"/>
              </w:rPr>
              <w:t xml:space="preserve">23/24</w:t>
            </w:r>
          </w:p>
        </w:tc>
        <w:tc>
          <w:tcPr>
            <w:tcW w:type="dxa" w:w="2200"/>
            <w:shd w:fill="1F3B4D" w:val="clear"/>
            <w:tcMar>
              <w:top w:type="dxa" w:w="60"/>
              <w:left w:type="dxa" w:w="100"/>
              <w:bottom w:type="dxa" w:w="60"/>
              <w:right w:type="dxa" w:w="100"/>
            </w:tcMar>
          </w:tcPr>
          <w:p>
            <w:pPr>
              <w:jc w:val="center"/>
            </w:pPr>
            <w:r>
              <w:rPr>
                <w:b/>
                <w:bCs/>
                <w:color w:val="FFFFFF"/>
                <w:sz w:val="20"/>
                <w:szCs w:val="20"/>
              </w:rPr>
              <w:t xml:space="preserve">22/23</w:t>
            </w:r>
          </w:p>
        </w:tc>
      </w:tr>
      <w:tr>
        <w:tc>
          <w:tcPr>
            <w:tcW w:type="dxa" w:w="3200"/>
            <w:tcMar>
              <w:top w:type="dxa" w:w="60"/>
              <w:left w:type="dxa" w:w="100"/>
              <w:bottom w:type="dxa" w:w="60"/>
              <w:right w:type="dxa" w:w="100"/>
            </w:tcMar>
          </w:tcPr>
          <w:p>
            <w:pPr>
              <w:jc w:val="left"/>
            </w:pPr>
            <w:r>
              <w:rPr>
                <w:b w:val="false"/>
                <w:bCs w:val="false"/>
                <w:color w:val="000000"/>
                <w:sz w:val="20"/>
                <w:szCs w:val="20"/>
              </w:rPr>
              <w:t xml:space="preserve">Maíz de verano (ha)</w:t>
            </w:r>
          </w:p>
        </w:tc>
        <w:tc>
          <w:tcPr>
            <w:tcW w:type="dxa" w:w="2200"/>
            <w:tcMar>
              <w:top w:type="dxa" w:w="60"/>
              <w:left w:type="dxa" w:w="100"/>
              <w:bottom w:type="dxa" w:w="60"/>
              <w:right w:type="dxa" w:w="100"/>
            </w:tcMar>
          </w:tcPr>
          <w:p>
            <w:pPr>
              <w:jc w:val="center"/>
            </w:pPr>
            <w:r>
              <w:rPr>
                <w:b w:val="false"/>
                <w:bCs w:val="false"/>
                <w:color w:val="000000"/>
                <w:sz w:val="20"/>
                <w:szCs w:val="20"/>
              </w:rPr>
              <w:t xml:space="preserve">101.800</w:t>
            </w:r>
          </w:p>
        </w:tc>
        <w:tc>
          <w:tcPr>
            <w:tcW w:type="dxa" w:w="2200"/>
            <w:tcMar>
              <w:top w:type="dxa" w:w="60"/>
              <w:left w:type="dxa" w:w="100"/>
              <w:bottom w:type="dxa" w:w="60"/>
              <w:right w:type="dxa" w:w="100"/>
            </w:tcMar>
          </w:tcPr>
          <w:p>
            <w:pPr>
              <w:jc w:val="center"/>
            </w:pPr>
            <w:r>
              <w:rPr>
                <w:b w:val="false"/>
                <w:bCs w:val="false"/>
                <w:color w:val="000000"/>
                <w:sz w:val="20"/>
                <w:szCs w:val="20"/>
              </w:rPr>
              <w:t xml:space="preserve">85.800</w:t>
            </w:r>
          </w:p>
        </w:tc>
        <w:tc>
          <w:tcPr>
            <w:tcW w:type="dxa" w:w="2200"/>
            <w:tcMar>
              <w:top w:type="dxa" w:w="60"/>
              <w:left w:type="dxa" w:w="100"/>
              <w:bottom w:type="dxa" w:w="60"/>
              <w:right w:type="dxa" w:w="100"/>
            </w:tcMar>
          </w:tcPr>
          <w:p>
            <w:pPr>
              <w:jc w:val="center"/>
            </w:pPr>
            <w:r>
              <w:rPr>
                <w:b w:val="false"/>
                <w:bCs w:val="false"/>
                <w:color w:val="000000"/>
                <w:sz w:val="20"/>
                <w:szCs w:val="20"/>
              </w:rPr>
              <w:t xml:space="preserve">106.600</w:t>
            </w:r>
          </w:p>
        </w:tc>
      </w:tr>
      <w:tr>
        <w:tc>
          <w:tcPr>
            <w:tcW w:type="dxa" w:w="3200"/>
            <w:tcMar>
              <w:top w:type="dxa" w:w="60"/>
              <w:left w:type="dxa" w:w="100"/>
              <w:bottom w:type="dxa" w:w="60"/>
              <w:right w:type="dxa" w:w="100"/>
            </w:tcMar>
          </w:tcPr>
          <w:p>
            <w:pPr>
              <w:jc w:val="left"/>
            </w:pPr>
            <w:r>
              <w:rPr>
                <w:b w:val="false"/>
                <w:bCs w:val="false"/>
                <w:color w:val="000000"/>
                <w:sz w:val="20"/>
                <w:szCs w:val="20"/>
              </w:rPr>
              <w:t xml:space="preserve">Maíz de invierno (ha)</w:t>
            </w:r>
          </w:p>
        </w:tc>
        <w:tc>
          <w:tcPr>
            <w:tcW w:type="dxa" w:w="2200"/>
            <w:tcMar>
              <w:top w:type="dxa" w:w="60"/>
              <w:left w:type="dxa" w:w="100"/>
              <w:bottom w:type="dxa" w:w="60"/>
              <w:right w:type="dxa" w:w="100"/>
            </w:tcMar>
          </w:tcPr>
          <w:p>
            <w:pPr>
              <w:jc w:val="center"/>
            </w:pPr>
            <w:r>
              <w:rPr>
                <w:b w:val="false"/>
                <w:bCs w:val="false"/>
                <w:color w:val="000000"/>
                <w:sz w:val="20"/>
                <w:szCs w:val="20"/>
              </w:rPr>
              <w:t xml:space="preserve">40.000</w:t>
            </w:r>
          </w:p>
        </w:tc>
        <w:tc>
          <w:tcPr>
            <w:tcW w:type="dxa" w:w="2200"/>
            <w:tcMar>
              <w:top w:type="dxa" w:w="60"/>
              <w:left w:type="dxa" w:w="100"/>
              <w:bottom w:type="dxa" w:w="60"/>
              <w:right w:type="dxa" w:w="100"/>
            </w:tcMar>
          </w:tcPr>
          <w:p>
            <w:pPr>
              <w:jc w:val="center"/>
            </w:pPr>
            <w:r>
              <w:rPr>
                <w:b w:val="false"/>
                <w:bCs w:val="false"/>
                <w:color w:val="000000"/>
                <w:sz w:val="20"/>
                <w:szCs w:val="20"/>
              </w:rPr>
              <w:t xml:space="preserve">40.000</w:t>
            </w:r>
          </w:p>
        </w:tc>
        <w:tc>
          <w:tcPr>
            <w:tcW w:type="dxa" w:w="2200"/>
            <w:tcMar>
              <w:top w:type="dxa" w:w="60"/>
              <w:left w:type="dxa" w:w="100"/>
              <w:bottom w:type="dxa" w:w="60"/>
              <w:right w:type="dxa" w:w="100"/>
            </w:tcMar>
          </w:tcPr>
          <w:p>
            <w:pPr>
              <w:jc w:val="center"/>
            </w:pPr>
            <w:r>
              <w:rPr>
                <w:b w:val="false"/>
                <w:bCs w:val="false"/>
                <w:color w:val="000000"/>
                <w:sz w:val="20"/>
                <w:szCs w:val="20"/>
              </w:rPr>
              <w:t xml:space="preserve">32.520</w:t>
            </w:r>
          </w:p>
        </w:tc>
      </w:tr>
      <w:tr>
        <w:tc>
          <w:tcPr>
            <w:tcW w:type="dxa" w:w="3200"/>
            <w:tcMar>
              <w:top w:type="dxa" w:w="60"/>
              <w:left w:type="dxa" w:w="100"/>
              <w:bottom w:type="dxa" w:w="60"/>
              <w:right w:type="dxa" w:w="100"/>
            </w:tcMar>
          </w:tcPr>
          <w:p>
            <w:pPr>
              <w:jc w:val="left"/>
            </w:pPr>
            <w:r>
              <w:rPr>
                <w:b w:val="false"/>
                <w:bCs w:val="false"/>
                <w:color w:val="000000"/>
                <w:sz w:val="20"/>
                <w:szCs w:val="20"/>
              </w:rPr>
              <w:t xml:space="preserve">Soya de verano (ha)</w:t>
            </w:r>
          </w:p>
        </w:tc>
        <w:tc>
          <w:tcPr>
            <w:tcW w:type="dxa" w:w="2200"/>
            <w:tcMar>
              <w:top w:type="dxa" w:w="60"/>
              <w:left w:type="dxa" w:w="100"/>
              <w:bottom w:type="dxa" w:w="60"/>
              <w:right w:type="dxa" w:w="100"/>
            </w:tcMar>
          </w:tcPr>
          <w:p>
            <w:pPr>
              <w:jc w:val="center"/>
            </w:pPr>
            <w:r>
              <w:rPr>
                <w:b w:val="false"/>
                <w:bCs w:val="false"/>
                <w:color w:val="000000"/>
                <w:sz w:val="20"/>
                <w:szCs w:val="20"/>
              </w:rPr>
              <w:t xml:space="preserve">1.212.500</w:t>
            </w:r>
          </w:p>
        </w:tc>
        <w:tc>
          <w:tcPr>
            <w:tcW w:type="dxa" w:w="2200"/>
            <w:tcMar>
              <w:top w:type="dxa" w:w="60"/>
              <w:left w:type="dxa" w:w="100"/>
              <w:bottom w:type="dxa" w:w="60"/>
              <w:right w:type="dxa" w:w="100"/>
            </w:tcMar>
          </w:tcPr>
          <w:p>
            <w:pPr>
              <w:jc w:val="center"/>
            </w:pPr>
            <w:r>
              <w:rPr>
                <w:b w:val="false"/>
                <w:bCs w:val="false"/>
                <w:color w:val="000000"/>
                <w:sz w:val="20"/>
                <w:szCs w:val="20"/>
              </w:rPr>
              <w:t xml:space="preserve">1.156.600</w:t>
            </w:r>
          </w:p>
        </w:tc>
        <w:tc>
          <w:tcPr>
            <w:tcW w:type="dxa" w:w="2200"/>
            <w:tcMar>
              <w:top w:type="dxa" w:w="60"/>
              <w:left w:type="dxa" w:w="100"/>
              <w:bottom w:type="dxa" w:w="60"/>
              <w:right w:type="dxa" w:w="100"/>
            </w:tcMar>
          </w:tcPr>
          <w:p>
            <w:pPr>
              <w:jc w:val="center"/>
            </w:pPr>
            <w:r>
              <w:rPr>
                <w:b w:val="false"/>
                <w:bCs w:val="false"/>
                <w:color w:val="000000"/>
                <w:sz w:val="20"/>
                <w:szCs w:val="20"/>
              </w:rPr>
              <w:t xml:space="preserve">1.171.700</w:t>
            </w:r>
          </w:p>
        </w:tc>
      </w:tr>
    </w:tbl>
    <w:p>
      <w:pPr>
        <w:spacing w:after="160" w:line="300"/>
      </w:pPr>
      <w:r>
        <w:rPr>
          <w:i/>
          <w:iCs/>
          <w:color w:val="595959"/>
          <w:sz w:val="18"/>
          <w:szCs w:val="18"/>
        </w:rPr>
        <w:t xml:space="preserve">Fuente: ANAPO, Memoria Anual 2025 — Estadísticas, pp.120-125.</w:t>
      </w:r>
    </w:p>
    <w:p>
      <w:pPr>
        <w:pStyle w:val="Heading2"/>
        <w:spacing w:after="120" w:before="240"/>
      </w:pPr>
      <w:r>
        <w:t xml:space="preserve">2.2 Segmentos de cliente</w:t>
      </w:r>
    </w:p>
    <w:p>
      <w:pPr>
        <w:pStyle w:val="ListParagraph"/>
        <w:numPr>
          <w:ilvl w:val="0"/>
          <w:numId w:val="2"/>
        </w:numPr>
        <w:spacing w:after="80"/>
      </w:pPr>
      <w:r>
        <w:t xml:space="preserve">Ingenieros agrónomos que asesoran múltiples propiedades.</w:t>
      </w:r>
    </w:p>
    <w:p>
      <w:pPr>
        <w:pStyle w:val="ListParagraph"/>
        <w:numPr>
          <w:ilvl w:val="0"/>
          <w:numId w:val="2"/>
        </w:numPr>
        <w:spacing w:after="80"/>
      </w:pPr>
      <w:r>
        <w:t xml:space="preserve">Asesores técnicos y peritos que aprueban o rechazan cronogramas de aplicación.</w:t>
      </w:r>
    </w:p>
    <w:p>
      <w:pPr>
        <w:pStyle w:val="ListParagraph"/>
        <w:numPr>
          <w:ilvl w:val="0"/>
          <w:numId w:val="2"/>
        </w:numPr>
        <w:spacing w:after="80"/>
      </w:pPr>
      <w:r>
        <w:t xml:space="preserve">Encargados de campo en grandes haciendas, que ejecutan las órdenes y confirman ventanas climáticas.</w:t>
      </w:r>
    </w:p>
    <w:p>
      <w:pPr>
        <w:pStyle w:val="Heading2"/>
        <w:spacing w:after="120" w:before="240"/>
      </w:pPr>
      <w:r>
        <w:t xml:space="preserve">2.3 Competencia [PENDIENTE]</w:t>
      </w:r>
    </w:p>
    <w:p>
      <w:pPr>
        <w:spacing w:after="160" w:line="300"/>
      </w:pPr>
      <w:r>
        <w:t xml:space="preserve">PENDIENTE: relevar apps agroclimáticas existentes en Bolivia o la región (Climate FieldView, Xarvio, soluciones locales) y su nivel de adopción real entre productores cruceños.</w:t>
      </w:r>
    </w:p>
    <w:p>
      <w:pPr>
        <w:pStyle w:val="Heading2"/>
        <w:spacing w:after="120" w:before="240"/>
      </w:pPr>
      <w:r>
        <w:t xml:space="preserve">2.4 Número de ingenieros agrónomos activos en Santa Cruz [PENDIENTE]</w:t>
      </w:r>
    </w:p>
    <w:p>
      <w:pPr>
        <w:spacing w:after="160" w:line="300"/>
      </w:pPr>
      <w:r>
        <w:t xml:space="preserve">PENDIENTE: solicitar esta cifra al Colegio de Ingenieros Agrónomos de Santa Cruz o a la CAO (Cámara Agropecuaria del Oriente) para dimensionar el mercado directo de usuarios.</w:t>
      </w:r>
    </w:p>
    <w:p>
      <w:r>
        <w:br w:type="page"/>
      </w:r>
    </w:p>
    <w:p>
      <w:pPr>
        <w:pStyle w:val="Heading1"/>
        <w:spacing w:after="160" w:before="360"/>
      </w:pPr>
      <w:r>
        <w:t xml:space="preserve">3. Investigación agronómica técnica</w:t>
      </w:r>
    </w:p>
    <w:p>
      <w:pPr>
        <w:spacing w:after="160" w:line="300"/>
      </w:pPr>
      <w:r>
        <w:t xml:space="preserve">Esta sección es el activo central del producto: son las reglas que el motor de decisiones de Zafra debe codificar.</w:t>
      </w:r>
    </w:p>
    <w:p>
      <w:pPr>
        <w:pStyle w:val="Heading2"/>
        <w:spacing w:after="120" w:before="240"/>
      </w:pPr>
      <w:r>
        <w:t xml:space="preserve">3.1 Umbrales climáticos estándar [VALIDADO — estándar internacional, pendiente de ajuste local]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F3B4D" w:val="clear"/>
            <w:tcMar>
              <w:top w:type="dxa" w:w="60"/>
              <w:left w:type="dxa" w:w="100"/>
              <w:bottom w:type="dxa" w:w="60"/>
              <w:right w:type="dxa" w:w="100"/>
            </w:tcMar>
          </w:tcPr>
          <w:p>
            <w:pPr>
              <w:jc w:val="center"/>
            </w:pPr>
            <w:r>
              <w:rPr>
                <w:b/>
                <w:bCs/>
                <w:color w:val="FFFFFF"/>
                <w:sz w:val="20"/>
                <w:szCs w:val="20"/>
              </w:rPr>
              <w:t xml:space="preserve">Variable</w:t>
            </w:r>
          </w:p>
        </w:tc>
        <w:tc>
          <w:tcPr>
            <w:tcW w:type="dxa" w:w="3600"/>
            <w:shd w:fill="1F3B4D" w:val="clear"/>
            <w:tcMar>
              <w:top w:type="dxa" w:w="60"/>
              <w:left w:type="dxa" w:w="100"/>
              <w:bottom w:type="dxa" w:w="60"/>
              <w:right w:type="dxa" w:w="100"/>
            </w:tcMar>
          </w:tcPr>
          <w:p>
            <w:pPr>
              <w:jc w:val="center"/>
            </w:pPr>
            <w:r>
              <w:rPr>
                <w:b/>
                <w:bCs/>
                <w:color w:val="FFFFFF"/>
                <w:sz w:val="20"/>
                <w:szCs w:val="20"/>
              </w:rPr>
              <w:t xml:space="preserve">Rango seguro</w:t>
            </w:r>
          </w:p>
        </w:tc>
        <w:tc>
          <w:tcPr>
            <w:tcW w:type="dxa" w:w="3600"/>
            <w:shd w:fill="1F3B4D" w:val="clear"/>
            <w:tcMar>
              <w:top w:type="dxa" w:w="60"/>
              <w:left w:type="dxa" w:w="100"/>
              <w:bottom w:type="dxa" w:w="60"/>
              <w:right w:type="dxa" w:w="100"/>
            </w:tcMar>
          </w:tcPr>
          <w:p>
            <w:pPr>
              <w:jc w:val="center"/>
            </w:pPr>
            <w:r>
              <w:rPr>
                <w:b/>
                <w:bCs/>
                <w:color w:val="FFFFFF"/>
                <w:sz w:val="20"/>
                <w:szCs w:val="20"/>
              </w:rPr>
              <w:t xml:space="preserve">Riesgo alto</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Viento</w:t>
            </w:r>
          </w:p>
        </w:tc>
        <w:tc>
          <w:tcPr>
            <w:tcW w:type="dxa" w:w="3600"/>
            <w:tcMar>
              <w:top w:type="dxa" w:w="60"/>
              <w:left w:type="dxa" w:w="100"/>
              <w:bottom w:type="dxa" w:w="60"/>
              <w:right w:type="dxa" w:w="100"/>
            </w:tcMar>
          </w:tcPr>
          <w:p>
            <w:pPr>
              <w:jc w:val="center"/>
            </w:pPr>
            <w:r>
              <w:rPr>
                <w:b w:val="false"/>
                <w:bCs w:val="false"/>
                <w:color w:val="000000"/>
                <w:sz w:val="20"/>
                <w:szCs w:val="20"/>
              </w:rPr>
              <w:t xml:space="preserve">5 - 15 km/h</w:t>
            </w:r>
          </w:p>
        </w:tc>
        <w:tc>
          <w:tcPr>
            <w:tcW w:type="dxa" w:w="3600"/>
            <w:tcMar>
              <w:top w:type="dxa" w:w="60"/>
              <w:left w:type="dxa" w:w="100"/>
              <w:bottom w:type="dxa" w:w="60"/>
              <w:right w:type="dxa" w:w="100"/>
            </w:tcMar>
          </w:tcPr>
          <w:p>
            <w:pPr>
              <w:jc w:val="center"/>
            </w:pPr>
            <w:r>
              <w:rPr>
                <w:b w:val="false"/>
                <w:bCs w:val="false"/>
                <w:color w:val="000000"/>
                <w:sz w:val="20"/>
                <w:szCs w:val="20"/>
              </w:rPr>
              <w:t xml:space="preserve">&lt; 3 km/h (inversión) o &gt; 15-20 km/h</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Temperatura</w:t>
            </w:r>
          </w:p>
        </w:tc>
        <w:tc>
          <w:tcPr>
            <w:tcW w:type="dxa" w:w="3600"/>
            <w:tcMar>
              <w:top w:type="dxa" w:w="60"/>
              <w:left w:type="dxa" w:w="100"/>
              <w:bottom w:type="dxa" w:w="60"/>
              <w:right w:type="dxa" w:w="100"/>
            </w:tcMar>
          </w:tcPr>
          <w:p>
            <w:pPr>
              <w:jc w:val="center"/>
            </w:pPr>
            <w:r>
              <w:rPr>
                <w:b w:val="false"/>
                <w:bCs w:val="false"/>
                <w:color w:val="000000"/>
                <w:sz w:val="20"/>
                <w:szCs w:val="20"/>
              </w:rPr>
              <w:t xml:space="preserve">&lt; 30°C (ideal 23-26°C p/ sistémicos)</w:t>
            </w:r>
          </w:p>
        </w:tc>
        <w:tc>
          <w:tcPr>
            <w:tcW w:type="dxa" w:w="3600"/>
            <w:tcMar>
              <w:top w:type="dxa" w:w="60"/>
              <w:left w:type="dxa" w:w="100"/>
              <w:bottom w:type="dxa" w:w="60"/>
              <w:right w:type="dxa" w:w="100"/>
            </w:tcMar>
          </w:tcPr>
          <w:p>
            <w:pPr>
              <w:jc w:val="center"/>
            </w:pPr>
            <w:r>
              <w:rPr>
                <w:b w:val="false"/>
                <w:bCs w:val="false"/>
                <w:color w:val="000000"/>
                <w:sz w:val="20"/>
                <w:szCs w:val="20"/>
              </w:rPr>
              <w:t xml:space="preserve">&gt; 30-35°C</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Humedad relativa</w:t>
            </w:r>
          </w:p>
        </w:tc>
        <w:tc>
          <w:tcPr>
            <w:tcW w:type="dxa" w:w="3600"/>
            <w:tcMar>
              <w:top w:type="dxa" w:w="60"/>
              <w:left w:type="dxa" w:w="100"/>
              <w:bottom w:type="dxa" w:w="60"/>
              <w:right w:type="dxa" w:w="100"/>
            </w:tcMar>
          </w:tcPr>
          <w:p>
            <w:pPr>
              <w:jc w:val="center"/>
            </w:pPr>
            <w:r>
              <w:rPr>
                <w:b w:val="false"/>
                <w:bCs w:val="false"/>
                <w:color w:val="000000"/>
                <w:sz w:val="20"/>
                <w:szCs w:val="20"/>
              </w:rPr>
              <w:t xml:space="preserve">&gt; 55-65%</w:t>
            </w:r>
          </w:p>
        </w:tc>
        <w:tc>
          <w:tcPr>
            <w:tcW w:type="dxa" w:w="3600"/>
            <w:tcMar>
              <w:top w:type="dxa" w:w="60"/>
              <w:left w:type="dxa" w:w="100"/>
              <w:bottom w:type="dxa" w:w="60"/>
              <w:right w:type="dxa" w:w="100"/>
            </w:tcMar>
          </w:tcPr>
          <w:p>
            <w:pPr>
              <w:jc w:val="center"/>
            </w:pPr>
            <w:r>
              <w:rPr>
                <w:b w:val="false"/>
                <w:bCs w:val="false"/>
                <w:color w:val="000000"/>
                <w:sz w:val="20"/>
                <w:szCs w:val="20"/>
              </w:rPr>
              <w:t xml:space="preserve">&lt; 45%</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Lluvia pronosticada</w:t>
            </w:r>
          </w:p>
        </w:tc>
        <w:tc>
          <w:tcPr>
            <w:tcW w:type="dxa" w:w="3600"/>
            <w:tcMar>
              <w:top w:type="dxa" w:w="60"/>
              <w:left w:type="dxa" w:w="100"/>
              <w:bottom w:type="dxa" w:w="60"/>
              <w:right w:type="dxa" w:w="100"/>
            </w:tcMar>
          </w:tcPr>
          <w:p>
            <w:pPr>
              <w:jc w:val="center"/>
            </w:pPr>
            <w:r>
              <w:rPr>
                <w:b w:val="false"/>
                <w:bCs w:val="false"/>
                <w:color w:val="000000"/>
                <w:sz w:val="20"/>
                <w:szCs w:val="20"/>
              </w:rPr>
              <w:t xml:space="preserve">Ausente en ventana rainfast del producto</w:t>
            </w:r>
          </w:p>
        </w:tc>
        <w:tc>
          <w:tcPr>
            <w:tcW w:type="dxa" w:w="3600"/>
            <w:tcMar>
              <w:top w:type="dxa" w:w="60"/>
              <w:left w:type="dxa" w:w="100"/>
              <w:bottom w:type="dxa" w:w="60"/>
              <w:right w:type="dxa" w:w="100"/>
            </w:tcMar>
          </w:tcPr>
          <w:p>
            <w:pPr>
              <w:jc w:val="center"/>
            </w:pPr>
            <w:r>
              <w:rPr>
                <w:b w:val="false"/>
                <w:bCs w:val="false"/>
                <w:color w:val="000000"/>
                <w:sz w:val="20"/>
                <w:szCs w:val="20"/>
              </w:rPr>
              <w:t xml:space="preserve">Lluvia dentro de esa ventana</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Inversión térmica</w:t>
            </w:r>
          </w:p>
        </w:tc>
        <w:tc>
          <w:tcPr>
            <w:tcW w:type="dxa" w:w="3600"/>
            <w:tcMar>
              <w:top w:type="dxa" w:w="60"/>
              <w:left w:type="dxa" w:w="100"/>
              <w:bottom w:type="dxa" w:w="60"/>
              <w:right w:type="dxa" w:w="100"/>
            </w:tcMar>
          </w:tcPr>
          <w:p>
            <w:pPr>
              <w:jc w:val="center"/>
            </w:pPr>
            <w:r>
              <w:rPr>
                <w:b w:val="false"/>
                <w:bCs w:val="false"/>
                <w:color w:val="000000"/>
                <w:sz w:val="20"/>
                <w:szCs w:val="20"/>
              </w:rPr>
              <w:t xml:space="preserve">Ausente (gradiente térmico confirmado)</w:t>
            </w:r>
          </w:p>
        </w:tc>
        <w:tc>
          <w:tcPr>
            <w:tcW w:type="dxa" w:w="3600"/>
            <w:tcMar>
              <w:top w:type="dxa" w:w="60"/>
              <w:left w:type="dxa" w:w="100"/>
              <w:bottom w:type="dxa" w:w="60"/>
              <w:right w:type="dxa" w:w="100"/>
            </w:tcMar>
          </w:tcPr>
          <w:p>
            <w:pPr>
              <w:jc w:val="center"/>
            </w:pPr>
            <w:r>
              <w:rPr>
                <w:b w:val="false"/>
                <w:bCs w:val="false"/>
                <w:color w:val="000000"/>
                <w:sz w:val="20"/>
                <w:szCs w:val="20"/>
              </w:rPr>
              <w:t xml:space="preserve">Presente al amanecer/atardecer, viento calmo</w:t>
            </w:r>
          </w:p>
        </w:tc>
      </w:tr>
    </w:tbl>
    <w:p>
      <w:pPr>
        <w:pBdr>
          <w:left w:val="single" w:color="2E7D32" w:sz="18" w:space="8"/>
        </w:pBdr>
        <w:shd w:fill="EAF2ED" w:val="clear"/>
        <w:spacing w:after="200" w:before="80"/>
      </w:pPr>
      <w:r>
        <w:rPr>
          <w:i/>
          <w:iCs/>
          <w:color w:val="595959"/>
          <w:sz w:val="20"/>
          <w:szCs w:val="20"/>
        </w:rPr>
        <w:t xml:space="preserve">Estos umbrales provienen de guías de extensión agrícola (Ohio State University, guías australianas de estimación de deriva). PENDIENTE: validarlos con un ingeniero agrónomo de referencia en Santa Cruz, porque el clima subtropical/tropical local puede correr estos rangos.</w:t>
      </w:r>
    </w:p>
    <w:p>
      <w:pPr>
        <w:pStyle w:val="Heading2"/>
        <w:spacing w:after="120" w:before="240"/>
      </w:pPr>
      <w:r>
        <w:t xml:space="preserve">3.2 El fenómeno del surazo — factor regional específico [VALIDADO]</w:t>
      </w:r>
    </w:p>
    <w:p>
      <w:pPr>
        <w:spacing w:after="160" w:line="300"/>
      </w:pPr>
      <w:r>
        <w:t xml:space="preserve">El surazo es un frente frío del sur, recurrente en Santa Cruz, que trae vientos que pueden superar los 70 km/h y un descenso brusco de temperatura acompañado de lluvias. Es un evento predecible con 2-3 días de anticipación por reportes agrometeorológicos locales. Ningún umbral climático genérico (como los de la tabla anterior) contempla este evento — es el diferenciador regional más importante de Zafra frente a cualquier app internacional.</w:t>
      </w:r>
    </w:p>
    <w:p>
      <w:pPr>
        <w:pStyle w:val="Heading2"/>
        <w:spacing w:after="120" w:before="240"/>
      </w:pPr>
      <w:r>
        <w:t xml:space="preserve">3.3 Calendario de campañas [VALIDADO]</w:t>
      </w:r>
    </w:p>
    <w:p>
      <w:pPr>
        <w:pStyle w:val="ListParagraph"/>
        <w:numPr>
          <w:ilvl w:val="0"/>
          <w:numId w:val="2"/>
        </w:numPr>
        <w:spacing w:after="80"/>
      </w:pPr>
      <w:r>
        <w:t xml:space="preserve">Campaña de verano: siembra principal en diciembre (siembras tardías en enero); ventana noviembre-marzo. Es la campaña más importante tanto para soya como para maíz.</w:t>
      </w:r>
    </w:p>
    <w:p>
      <w:pPr>
        <w:pStyle w:val="ListParagraph"/>
        <w:numPr>
          <w:ilvl w:val="0"/>
          <w:numId w:val="2"/>
        </w:numPr>
        <w:spacing w:after="80"/>
      </w:pPr>
      <w:r>
        <w:t xml:space="preserve">Campaña de invierno: en descenso sostenido para maíz (de ~90.000 ha en 2019 a ~40.000 ha en 2024-2025 según datos de ANAPO); prioridad secundaria para el diseño inicial de la app.</w:t>
      </w:r>
    </w:p>
    <w:p>
      <w:pPr>
        <w:pStyle w:val="Heading2"/>
        <w:spacing w:after="120" w:before="240"/>
      </w:pPr>
      <w:r>
        <w:t xml:space="preserve">3.4 Plagas y enfermedades dominantes</w:t>
      </w:r>
    </w:p>
    <w:p>
      <w:pPr>
        <w:pStyle w:val="ListParagraph"/>
        <w:numPr>
          <w:ilvl w:val="0"/>
          <w:numId w:val="2"/>
        </w:numPr>
        <w:spacing w:after="80"/>
      </w:pPr>
      <w:r>
        <w:t xml:space="preserve">Soya: roya asiática (Phakopsora pachyrhizi) — requiere fungicidas sistémicos aplicados en ventanas de ~21 días.</w:t>
      </w:r>
    </w:p>
    <w:p>
      <w:pPr>
        <w:pStyle w:val="ListParagraph"/>
        <w:numPr>
          <w:ilvl w:val="0"/>
          <w:numId w:val="2"/>
        </w:numPr>
        <w:spacing w:after="80"/>
      </w:pPr>
      <w:r>
        <w:t xml:space="preserve">Maíz: gusano cogollero (Spodoptera frugiperda) — la plaga dominante regional. [PENDIENTE: confirmar paquete exacto de insecticidas usados hoy en la zona].</w:t>
      </w:r>
    </w:p>
    <w:p>
      <w:pPr>
        <w:pStyle w:val="Heading2"/>
        <w:spacing w:after="120" w:before="240"/>
      </w:pPr>
      <w:r>
        <w:t xml:space="preserve">3.5 Productos de uso restringido [VALIDADO]</w:t>
      </w:r>
    </w:p>
    <w:p>
      <w:pPr>
        <w:spacing w:after="160" w:line="300"/>
      </w:pPr>
      <w:r>
        <w:t xml:space="preserve">El metomil está declarado de uso restringido en Bolivia, limitado a los cultivos de soya, maíz y trigo, bajo receta de un profesional acreditado por SENASAG. Zafra debe marcar cualquier producto de esta lista para exigir validación adicional antes de dar un veredicto.</w:t>
      </w:r>
    </w:p>
    <w:p>
      <w:pPr>
        <w:pStyle w:val="Heading1"/>
        <w:spacing w:after="160" w:before="360"/>
      </w:pPr>
      <w:r>
        <w:t xml:space="preserve">4. Marco regulatorio y legal</w:t>
      </w:r>
    </w:p>
    <w:p>
      <w:pPr>
        <w:pStyle w:val="Heading2"/>
        <w:spacing w:after="120" w:before="240"/>
      </w:pPr>
      <w:r>
        <w:t xml:space="preserve">4.1 Autoridad competente [VALIDADO]</w:t>
      </w:r>
    </w:p>
    <w:p>
      <w:pPr>
        <w:spacing w:after="160" w:line="300"/>
      </w:pPr>
      <w:r>
        <w:t xml:space="preserve">El SENASAG (Servicio Nacional de Sanidad Agropecuaria e Inocuidad Alimentaria) es la autoridad nacional para el registro y control de plaguicidas de uso agrícola en Bolivia. Desde 2018, el registro de un plaguicida pasa por tres evaluaciones: agronómica (SENASAG), toxicológica (Ministerio de Salud) y eco-toxicológica (Ministerio de Medio Ambiente y Agua).</w:t>
      </w:r>
    </w:p>
    <w:p>
      <w:pPr>
        <w:pStyle w:val="Heading2"/>
        <w:spacing w:after="120" w:before="240"/>
      </w:pPr>
      <w:r>
        <w:t xml:space="preserve">4.2 Marco normativo vigente [VALIDADO]</w:t>
      </w:r>
    </w:p>
    <w:p>
      <w:pPr>
        <w:pStyle w:val="ListParagraph"/>
        <w:numPr>
          <w:ilvl w:val="0"/>
          <w:numId w:val="2"/>
        </w:numPr>
        <w:spacing w:after="80"/>
      </w:pPr>
      <w:r>
        <w:t xml:space="preserve">Reglamento para el Registro y Control de Plaguicidas Químicos de Uso Agrícola (PQUA), basado en la Decisión 804 de la Comunidad Andina de Naciones (CAN) y su Manual Técnico Andino.</w:t>
      </w:r>
    </w:p>
    <w:p>
      <w:pPr>
        <w:pStyle w:val="ListParagraph"/>
        <w:numPr>
          <w:ilvl w:val="0"/>
          <w:numId w:val="2"/>
        </w:numPr>
        <w:spacing w:after="80"/>
      </w:pPr>
      <w:r>
        <w:t xml:space="preserve">Los productos de uso restringido requieren un estudio de riesgo/beneficio evaluado por el Consejo Nacional de Plaguicidas (CONAPLA), que deriva su informe al SENASAG.</w:t>
      </w:r>
    </w:p>
    <w:p>
      <w:pPr>
        <w:pStyle w:val="ListParagraph"/>
        <w:numPr>
          <w:ilvl w:val="0"/>
          <w:numId w:val="2"/>
        </w:numPr>
        <w:spacing w:after="80"/>
      </w:pPr>
      <w:r>
        <w:t xml:space="preserve">Cualquier ingeniero agrónomo titulado puede registrarse ante SENASAG como "operador agrícola" cumpliendo ciertos requisitos — esto es relevante si Zafra plantea validar o certificar a los ingenieros que usan la app.</w:t>
      </w:r>
    </w:p>
    <w:p>
      <w:pPr>
        <w:pStyle w:val="Heading2"/>
        <w:spacing w:after="120" w:before="240"/>
      </w:pPr>
      <w:r>
        <w:t xml:space="preserve">4.3 Implicación para Zafra [PENDIENTE de resolución de producto]</w:t>
      </w:r>
    </w:p>
    <w:p>
      <w:pPr>
        <w:spacing w:after="160" w:line="300"/>
      </w:pPr>
      <w:r>
        <w:t xml:space="preserve">Falta decidir si Zafra va a recomendar productos/dosis específicos (lo cual entra en la esfera regulatoria de SENASAG y exige tratamiento especial para productos restringidos) o si va a limitarse a dar el veredicto de "ventana climática apta/no apta" sin tocar el producto en sí. Esta decisión cambia el alcance legal completo de la aplicación y se recomienda resolverla con asesoría legal antes del lanzamiento.</w:t>
      </w:r>
    </w:p>
    <w:p>
      <w:r>
        <w:br w:type="page"/>
      </w:r>
    </w:p>
    <w:p>
      <w:pPr>
        <w:pStyle w:val="Heading1"/>
        <w:spacing w:after="160" w:before="360"/>
      </w:pPr>
      <w:r>
        <w:t xml:space="preserve">5. Arquitectura tecnológica</w:t>
      </w:r>
    </w:p>
    <w:p>
      <w:pPr>
        <w:pStyle w:val="Heading2"/>
        <w:spacing w:after="120" w:before="240"/>
      </w:pPr>
      <w:r>
        <w:t xml:space="preserve">5.1 Principio de diseño</w:t>
      </w:r>
    </w:p>
    <w:p>
      <w:pPr>
        <w:spacing w:after="160" w:line="300"/>
      </w:pPr>
      <w:r>
        <w:t xml:space="preserve">El LLM (vía n8n) interpreta la intención del usuario (voz o texto) y estructura los datos; el veredicto final de "aprobado/rechazado" lo calcula un motor de reglas determinístico en Python, no el modelo de lenguaje. Esto evita que una alucinación del LLM se traduzca en una recomendación agronómica incorrecta.</w:t>
      </w:r>
    </w:p>
    <w:p>
      <w:pPr>
        <w:pStyle w:val="Heading2"/>
        <w:spacing w:after="120" w:before="240"/>
      </w:pPr>
      <w:r>
        <w:t xml:space="preserve">5.2 Flujo general</w:t>
      </w:r>
    </w:p>
    <w:p>
      <w:pPr>
        <w:pStyle w:val="ListParagraph"/>
        <w:numPr>
          <w:ilvl w:val="0"/>
          <w:numId w:val="2"/>
        </w:numPr>
        <w:spacing w:after="80"/>
      </w:pPr>
      <w:r>
        <w:t xml:space="preserve">Entrada: audio o texto + coordenadas GPS, vía Webhook en n8n.</w:t>
      </w:r>
    </w:p>
    <w:p>
      <w:pPr>
        <w:pStyle w:val="ListParagraph"/>
        <w:numPr>
          <w:ilvl w:val="0"/>
          <w:numId w:val="2"/>
        </w:numPr>
        <w:spacing w:after="80"/>
      </w:pPr>
      <w:r>
        <w:t xml:space="preserve">Nodo AI Agent: interpreta cultivo, producto y etapa; llama a herramientas (tools) para consultar clima, lote, alertas de surazo y reglas del producto.</w:t>
      </w:r>
    </w:p>
    <w:p>
      <w:pPr>
        <w:pStyle w:val="ListParagraph"/>
        <w:numPr>
          <w:ilvl w:val="0"/>
          <w:numId w:val="2"/>
        </w:numPr>
        <w:spacing w:after="80"/>
      </w:pPr>
      <w:r>
        <w:t xml:space="preserve">Motor de reglas (API Python): recibe el JSON estructurado y calcula el veredicto final con comparaciones numéricas simples.</w:t>
      </w:r>
    </w:p>
    <w:p>
      <w:pPr>
        <w:pStyle w:val="ListParagraph"/>
        <w:numPr>
          <w:ilvl w:val="0"/>
          <w:numId w:val="2"/>
        </w:numPr>
        <w:spacing w:after="80"/>
      </w:pPr>
      <w:r>
        <w:t xml:space="preserve">Respuesta a la app: tarjeta verde (ventana óptima) o roja (riesgo), con razones y mejor horario sugerido.</w:t>
      </w:r>
    </w:p>
    <w:p>
      <w:pPr>
        <w:pStyle w:val="Heading2"/>
        <w:spacing w:after="120" w:before="240"/>
      </w:pPr>
      <w:r>
        <w:t xml:space="preserve">5.3 Datos que la app necesita disponibles en todo momento</w:t>
      </w:r>
    </w:p>
    <w:p>
      <w:pPr>
        <w:pStyle w:val="ListParagraph"/>
        <w:numPr>
          <w:ilvl w:val="0"/>
          <w:numId w:val="2"/>
        </w:numPr>
        <w:spacing w:after="80"/>
      </w:pPr>
      <w:r>
        <w:t xml:space="preserve">Clima en tiempo real: viento, temperatura, humedad, probabilidad de lluvia, gradiente térmico / alerta de surazo.</w:t>
      </w:r>
    </w:p>
    <w:p>
      <w:pPr>
        <w:pStyle w:val="ListParagraph"/>
        <w:numPr>
          <w:ilvl w:val="0"/>
          <w:numId w:val="2"/>
        </w:numPr>
        <w:spacing w:after="80"/>
      </w:pPr>
      <w:r>
        <w:t xml:space="preserve">Datos geoespaciales del lote: polígono, cultivo, fecha de siembra, etapa fenológica.</w:t>
      </w:r>
    </w:p>
    <w:p>
      <w:pPr>
        <w:pStyle w:val="ListParagraph"/>
        <w:numPr>
          <w:ilvl w:val="0"/>
          <w:numId w:val="2"/>
        </w:numPr>
        <w:spacing w:after="80"/>
      </w:pPr>
      <w:r>
        <w:t xml:space="preserve">Base de conocimiento agronómico: fichas técnicas por producto, calendario fenológico, lista de productos restringidos.</w:t>
      </w:r>
    </w:p>
    <w:p>
      <w:pPr>
        <w:pStyle w:val="ListParagraph"/>
        <w:numPr>
          <w:ilvl w:val="0"/>
          <w:numId w:val="2"/>
        </w:numPr>
        <w:spacing w:after="80"/>
      </w:pPr>
      <w:r>
        <w:t xml:space="preserve">Registro de auditoría: cada consulta con fecha, hora, coordenadas, producto y veredicto, para trazabilidad legal.</w:t>
      </w:r>
    </w:p>
    <w:p>
      <w:pPr>
        <w:pBdr>
          <w:left w:val="single" w:color="2E7D32" w:sz="18" w:space="8"/>
        </w:pBdr>
        <w:shd w:fill="EAF2ED" w:val="clear"/>
        <w:spacing w:after="200" w:before="80"/>
      </w:pPr>
      <w:r>
        <w:rPr>
          <w:i/>
          <w:iCs/>
          <w:color w:val="595959"/>
          <w:sz w:val="20"/>
          <w:szCs w:val="20"/>
        </w:rPr>
        <w:t xml:space="preserve">PENDIENTE: confirmar un proveedor meteorológico con cobertura confiable en Bolivia que exponga gradiente térmico por altura (no solo temperatura de superficie), necesario para detectar inversión térmica con precisión.</w:t>
      </w:r>
    </w:p>
    <w:p>
      <w:pPr>
        <w:pStyle w:val="Heading1"/>
        <w:spacing w:after="160" w:before="360"/>
      </w:pPr>
      <w:r>
        <w:t xml:space="preserve">6. Modelo de negocio (Business Model Canvas)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shd w:fill="1F3B4D" w:val="clear"/>
            <w:tcMar>
              <w:top w:type="dxa" w:w="60"/>
              <w:left w:type="dxa" w:w="100"/>
              <w:bottom w:type="dxa" w:w="60"/>
              <w:right w:type="dxa" w:w="100"/>
            </w:tcMar>
          </w:tcPr>
          <w:p>
            <w:pPr>
              <w:jc w:val="center"/>
            </w:pPr>
            <w:r>
              <w:rPr>
                <w:b/>
                <w:bCs/>
                <w:color w:val="FFFFFF"/>
                <w:sz w:val="20"/>
                <w:szCs w:val="20"/>
              </w:rPr>
              <w:t xml:space="preserve">Bloque</w:t>
            </w:r>
          </w:p>
        </w:tc>
        <w:tc>
          <w:tcPr>
            <w:tcW w:type="dxa" w:w="7200"/>
            <w:shd w:fill="1F3B4D" w:val="clear"/>
            <w:tcMar>
              <w:top w:type="dxa" w:w="60"/>
              <w:left w:type="dxa" w:w="100"/>
              <w:bottom w:type="dxa" w:w="60"/>
              <w:right w:type="dxa" w:w="100"/>
            </w:tcMar>
          </w:tcPr>
          <w:p>
            <w:pPr>
              <w:jc w:val="center"/>
            </w:pPr>
            <w:r>
              <w:rPr>
                <w:b/>
                <w:bCs/>
                <w:color w:val="FFFFFF"/>
                <w:sz w:val="20"/>
                <w:szCs w:val="20"/>
              </w:rPr>
              <w:t xml:space="preserve">Contenido</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Aliados clave</w:t>
            </w:r>
          </w:p>
        </w:tc>
        <w:tc>
          <w:tcPr>
            <w:tcW w:type="dxa" w:w="7200"/>
            <w:tcMar>
              <w:top w:type="dxa" w:w="60"/>
              <w:left w:type="dxa" w:w="100"/>
              <w:bottom w:type="dxa" w:w="60"/>
              <w:right w:type="dxa" w:w="100"/>
            </w:tcMar>
          </w:tcPr>
          <w:p>
            <w:pPr>
              <w:jc w:val="center"/>
            </w:pPr>
            <w:r>
              <w:rPr>
                <w:b w:val="false"/>
                <w:bCs w:val="false"/>
                <w:color w:val="000000"/>
                <w:sz w:val="20"/>
                <w:szCs w:val="20"/>
              </w:rPr>
              <w:t xml:space="preserve">SENAMHI / datos climáticos, casas de agroquímicos, ANAPO y cooperativas, agrónomos validadores</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Actividades clave</w:t>
            </w:r>
          </w:p>
        </w:tc>
        <w:tc>
          <w:tcPr>
            <w:tcW w:type="dxa" w:w="7200"/>
            <w:tcMar>
              <w:top w:type="dxa" w:w="60"/>
              <w:left w:type="dxa" w:w="100"/>
              <w:bottom w:type="dxa" w:w="60"/>
              <w:right w:type="dxa" w:w="100"/>
            </w:tcMar>
          </w:tcPr>
          <w:p>
            <w:pPr>
              <w:jc w:val="center"/>
            </w:pPr>
            <w:r>
              <w:rPr>
                <w:b w:val="false"/>
                <w:bCs w:val="false"/>
                <w:color w:val="000000"/>
                <w:sz w:val="20"/>
                <w:szCs w:val="20"/>
              </w:rPr>
              <w:t xml:space="preserve">Desarrollo de la app, curación de reglas agronómicas, integración de APIs, soporte técnico</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Recursos clave</w:t>
            </w:r>
          </w:p>
        </w:tc>
        <w:tc>
          <w:tcPr>
            <w:tcW w:type="dxa" w:w="7200"/>
            <w:tcMar>
              <w:top w:type="dxa" w:w="60"/>
              <w:left w:type="dxa" w:w="100"/>
              <w:bottom w:type="dxa" w:w="60"/>
              <w:right w:type="dxa" w:w="100"/>
            </w:tcMar>
          </w:tcPr>
          <w:p>
            <w:pPr>
              <w:jc w:val="center"/>
            </w:pPr>
            <w:r>
              <w:rPr>
                <w:b w:val="false"/>
                <w:bCs w:val="false"/>
                <w:color w:val="000000"/>
                <w:sz w:val="20"/>
                <w:szCs w:val="20"/>
              </w:rPr>
              <w:t xml:space="preserve">Base de datos agronómica, motor de reglas en Python, infraestructura n8n + IA, equipo técnico y agronómico</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Propuesta de valor</w:t>
            </w:r>
          </w:p>
        </w:tc>
        <w:tc>
          <w:tcPr>
            <w:tcW w:type="dxa" w:w="7200"/>
            <w:tcMar>
              <w:top w:type="dxa" w:w="60"/>
              <w:left w:type="dxa" w:w="100"/>
              <w:bottom w:type="dxa" w:w="60"/>
              <w:right w:type="dxa" w:w="100"/>
            </w:tcMar>
          </w:tcPr>
          <w:p>
            <w:pPr>
              <w:jc w:val="center"/>
            </w:pPr>
            <w:r>
              <w:rPr>
                <w:b w:val="false"/>
                <w:bCs w:val="false"/>
                <w:color w:val="000000"/>
                <w:sz w:val="20"/>
                <w:szCs w:val="20"/>
              </w:rPr>
              <w:t xml:space="preserve">Copiloto agronómico en tiempo real; reduce error humano y pérdidas; interfaz manos libres (voz + GPS); alertas locales de surazo</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Relación con clientes</w:t>
            </w:r>
          </w:p>
        </w:tc>
        <w:tc>
          <w:tcPr>
            <w:tcW w:type="dxa" w:w="7200"/>
            <w:tcMar>
              <w:top w:type="dxa" w:w="60"/>
              <w:left w:type="dxa" w:w="100"/>
              <w:bottom w:type="dxa" w:w="60"/>
              <w:right w:type="dxa" w:w="100"/>
            </w:tcMar>
          </w:tcPr>
          <w:p>
            <w:pPr>
              <w:jc w:val="center"/>
            </w:pPr>
            <w:r>
              <w:rPr>
                <w:b w:val="false"/>
                <w:bCs w:val="false"/>
                <w:color w:val="000000"/>
                <w:sz w:val="20"/>
                <w:szCs w:val="20"/>
              </w:rPr>
              <w:t xml:space="preserve">Onboarding con agrónomo, reglas actualizadas constantemente, soporte técnico directo</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Canales</w:t>
            </w:r>
          </w:p>
        </w:tc>
        <w:tc>
          <w:tcPr>
            <w:tcW w:type="dxa" w:w="7200"/>
            <w:tcMar>
              <w:top w:type="dxa" w:w="60"/>
              <w:left w:type="dxa" w:w="100"/>
              <w:bottom w:type="dxa" w:w="60"/>
              <w:right w:type="dxa" w:w="100"/>
            </w:tcMar>
          </w:tcPr>
          <w:p>
            <w:pPr>
              <w:jc w:val="center"/>
            </w:pPr>
            <w:r>
              <w:rPr>
                <w:b w:val="false"/>
                <w:bCs w:val="false"/>
                <w:color w:val="000000"/>
                <w:sz w:val="20"/>
                <w:szCs w:val="20"/>
              </w:rPr>
              <w:t xml:space="preserve">App móvil Android/iOS, alianzas con cooperativas, ferias agropecuarias</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Segmento de clientes</w:t>
            </w:r>
          </w:p>
        </w:tc>
        <w:tc>
          <w:tcPr>
            <w:tcW w:type="dxa" w:w="7200"/>
            <w:tcMar>
              <w:top w:type="dxa" w:w="60"/>
              <w:left w:type="dxa" w:w="100"/>
              <w:bottom w:type="dxa" w:w="60"/>
              <w:right w:type="dxa" w:w="100"/>
            </w:tcMar>
          </w:tcPr>
          <w:p>
            <w:pPr>
              <w:jc w:val="center"/>
            </w:pPr>
            <w:r>
              <w:rPr>
                <w:b w:val="false"/>
                <w:bCs w:val="false"/>
                <w:color w:val="000000"/>
                <w:sz w:val="20"/>
                <w:szCs w:val="20"/>
              </w:rPr>
              <w:t xml:space="preserve">Ingenieros agrónomos, asesores técnicos y peritos, encargados de campo</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Estructura de costes</w:t>
            </w:r>
          </w:p>
        </w:tc>
        <w:tc>
          <w:tcPr>
            <w:tcW w:type="dxa" w:w="7200"/>
            <w:tcMar>
              <w:top w:type="dxa" w:w="60"/>
              <w:left w:type="dxa" w:w="100"/>
              <w:bottom w:type="dxa" w:w="60"/>
              <w:right w:type="dxa" w:w="100"/>
            </w:tcMar>
          </w:tcPr>
          <w:p>
            <w:pPr>
              <w:jc w:val="center"/>
            </w:pPr>
            <w:r>
              <w:rPr>
                <w:b w:val="false"/>
                <w:bCs w:val="false"/>
                <w:color w:val="000000"/>
                <w:sz w:val="20"/>
                <w:szCs w:val="20"/>
              </w:rPr>
              <w:t xml:space="preserve">Desarrollo y mantenimiento de software, APIs de clima/voz/LLM, infraestructura cloud, equipo técnico y agronómico</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Flujos de ingresos</w:t>
            </w:r>
          </w:p>
        </w:tc>
        <w:tc>
          <w:tcPr>
            <w:tcW w:type="dxa" w:w="7200"/>
            <w:tcMar>
              <w:top w:type="dxa" w:w="60"/>
              <w:left w:type="dxa" w:w="100"/>
              <w:bottom w:type="dxa" w:w="60"/>
              <w:right w:type="dxa" w:w="100"/>
            </w:tcMar>
          </w:tcPr>
          <w:p>
            <w:pPr>
              <w:jc w:val="center"/>
            </w:pPr>
            <w:r>
              <w:rPr>
                <w:b w:val="false"/>
                <w:bCs w:val="false"/>
                <w:color w:val="000000"/>
                <w:sz w:val="20"/>
                <w:szCs w:val="20"/>
              </w:rPr>
              <w:t xml:space="preserve">Suscripción mensual/anual por usuario; plan premium con soporte agronómico; alternativa por hectárea gestionada</w:t>
            </w:r>
          </w:p>
        </w:tc>
      </w:tr>
    </w:tbl>
    <w:p>
      <w:pPr>
        <w:pBdr>
          <w:left w:val="single" w:color="2E7D32" w:sz="18" w:space="8"/>
        </w:pBdr>
        <w:shd w:fill="EAF2ED" w:val="clear"/>
        <w:spacing w:after="200" w:before="80"/>
      </w:pPr>
      <w:r>
        <w:rPr>
          <w:i/>
          <w:iCs/>
          <w:color w:val="595959"/>
          <w:sz w:val="20"/>
          <w:szCs w:val="20"/>
        </w:rPr>
        <w:t xml:space="preserve">PENDIENTE: validar con una encuesta real (mínimo 15-20 respuestas) cuánto pagaría un ingeniero agrónomo por mes por esta herramienta, y cotizar el costo real de las APIs de clima, voz y LLM para calcular el margen del modelo de suscripción.</w:t>
      </w:r>
    </w:p>
    <w:p>
      <w:pPr>
        <w:pStyle w:val="Heading1"/>
        <w:spacing w:after="160" w:before="360"/>
      </w:pPr>
      <w:r>
        <w:t xml:space="preserve">7. Validación con usuarios reales</w:t>
      </w:r>
    </w:p>
    <w:p>
      <w:pPr>
        <w:pStyle w:val="ListParagraph"/>
        <w:numPr>
          <w:ilvl w:val="0"/>
          <w:numId w:val="2"/>
        </w:numPr>
        <w:spacing w:after="80"/>
      </w:pPr>
      <w:r>
        <w:t xml:space="preserve">PENDIENTE: entrevistas a 5-10 ingenieros agrónomos mostrando el flujo propuesto, para feedback honesto.</w:t>
      </w:r>
    </w:p>
    <w:p>
      <w:pPr>
        <w:pStyle w:val="ListParagraph"/>
        <w:numPr>
          <w:ilvl w:val="0"/>
          <w:numId w:val="2"/>
        </w:numPr>
        <w:spacing w:after="80"/>
      </w:pPr>
      <w:r>
        <w:t xml:space="preserve">PENDIENTE: prueba piloto, aunque sea manual (simulación por WhatsApp o planilla) en un lote real durante una campaña.</w:t>
      </w:r>
    </w:p>
    <w:p>
      <w:pPr>
        <w:pStyle w:val="Heading1"/>
        <w:spacing w:after="160" w:before="360"/>
      </w:pPr>
      <w:r>
        <w:t xml:space="preserve">8. Riesgos y limitaciones</w:t>
      </w:r>
    </w:p>
    <w:p>
      <w:pPr>
        <w:pStyle w:val="ListParagraph"/>
        <w:numPr>
          <w:ilvl w:val="0"/>
          <w:numId w:val="2"/>
        </w:numPr>
        <w:spacing w:after="80"/>
      </w:pPr>
      <w:r>
        <w:t xml:space="preserve">Dato climático incorrecto o desactualizado — impacto legal y económico directo si el veredicto se basa en un dato erróneo.</w:t>
      </w:r>
    </w:p>
    <w:p>
      <w:pPr>
        <w:pStyle w:val="ListParagraph"/>
        <w:numPr>
          <w:ilvl w:val="0"/>
          <w:numId w:val="2"/>
        </w:numPr>
        <w:spacing w:after="80"/>
      </w:pPr>
      <w:r>
        <w:t xml:space="preserve">Conectividad intermitente en el campo — la app necesita una estrategia offline o de sincronización diferida.</w:t>
      </w:r>
    </w:p>
    <w:p>
      <w:pPr>
        <w:pStyle w:val="ListParagraph"/>
        <w:numPr>
          <w:ilvl w:val="0"/>
          <w:numId w:val="2"/>
        </w:numPr>
        <w:spacing w:after="80"/>
      </w:pPr>
      <w:r>
        <w:t xml:space="preserve">Dependencia de terceros (API de clima, LLM) — qué pasa si el proveedor cae, cambia precios o discontinúa el servicio.</w:t>
      </w:r>
    </w:p>
    <w:p>
      <w:pPr>
        <w:pStyle w:val="ListParagraph"/>
        <w:numPr>
          <w:ilvl w:val="0"/>
          <w:numId w:val="2"/>
        </w:numPr>
        <w:spacing w:after="80"/>
      </w:pPr>
      <w:r>
        <w:t xml:space="preserve">Responsabilidad legal del veredicto — sin resolver aún (ver sección 4.3).</w:t>
      </w:r>
    </w:p>
    <w:p>
      <w:pPr>
        <w:pStyle w:val="Heading1"/>
        <w:spacing w:after="160" w:before="360"/>
      </w:pPr>
      <w:r>
        <w:t xml:space="preserve">9. Conclusiones y próximos pasos</w:t>
      </w:r>
    </w:p>
    <w:p>
      <w:pPr>
        <w:spacing w:after="160" w:line="300"/>
      </w:pPr>
      <w:r>
        <w:t xml:space="preserve">La investigación reunida hasta ahora confirma que el problema que Zafra busca resolver es real y medible (caída de rendimiento del 34% en la campaña 23/24, 6-13 aplicaciones críticas por hectárea por campaña), y que existe un factor regional distintivo — el surazo — que ningún competidor genérico contempla. Los puntos pendientes más urgentes antes de la defensa o el desarrollo del MVP son: validar los umbrales climáticos con un agrónomo local, definir el alcance legal del veredicto (sección 4.3), y conseguir las primeras entrevistas de validación con usuarios reales (sección 7).</w:t>
      </w:r>
    </w:p>
    <w:p>
      <w:r>
        <w:br w:type="page"/>
      </w:r>
    </w:p>
    <w:p>
      <w:pPr>
        <w:pStyle w:val="Heading1"/>
        <w:spacing w:after="160" w:before="360"/>
      </w:pPr>
      <w:r>
        <w:t xml:space="preserve">Anexo — Fuentes consultadas</w:t>
      </w:r>
    </w:p>
    <w:p>
      <w:pPr>
        <w:pStyle w:val="ListParagraph"/>
        <w:numPr>
          <w:ilvl w:val="0"/>
          <w:numId w:val="2"/>
        </w:numPr>
        <w:spacing w:after="80"/>
      </w:pPr>
      <w:r>
        <w:t xml:space="preserve">ANAPO (Asociación de Productores de Oleaginosas y Trigo). Memoria Anual 2025 — Estadísticas. Santa Cruz, Bolivia.</w:t>
      </w:r>
    </w:p>
    <w:p>
      <w:pPr>
        <w:pStyle w:val="ListParagraph"/>
        <w:numPr>
          <w:ilvl w:val="0"/>
          <w:numId w:val="2"/>
        </w:numPr>
        <w:spacing w:after="80"/>
      </w:pPr>
      <w:r>
        <w:t xml:space="preserve">SENASAG. Reglamento para el Registro y Control de Plaguicidas Químicos de Uso Agrícola (PQUA), Resolución Administrativa Nº 03/2022.</w:t>
      </w:r>
    </w:p>
    <w:p>
      <w:pPr>
        <w:pStyle w:val="ListParagraph"/>
        <w:numPr>
          <w:ilvl w:val="0"/>
          <w:numId w:val="2"/>
        </w:numPr>
        <w:spacing w:after="80"/>
      </w:pPr>
      <w:r>
        <w:t xml:space="preserve">Ferrere Abogados. "Bolivia implementa nuevo reglamento para el registro y control de plaguicidas de uso agrícola", 2018.</w:t>
      </w:r>
    </w:p>
    <w:p>
      <w:pPr>
        <w:pStyle w:val="ListParagraph"/>
        <w:numPr>
          <w:ilvl w:val="0"/>
          <w:numId w:val="2"/>
        </w:numPr>
        <w:spacing w:after="80"/>
      </w:pPr>
      <w:r>
        <w:t xml:space="preserve">Ohio State University — Agronomic Crops Network. "Top 10 Tips for Better Spraying".</w:t>
      </w:r>
    </w:p>
    <w:p>
      <w:pPr>
        <w:pStyle w:val="ListParagraph"/>
        <w:numPr>
          <w:ilvl w:val="0"/>
          <w:numId w:val="2"/>
        </w:numPr>
        <w:spacing w:after="80"/>
      </w:pPr>
      <w:r>
        <w:t xml:space="preserve">Estudio de campo, San Pedro, Santa Cruz — frecuencia y volumen de aplicación de agroquímicos en soya.</w:t>
      </w:r>
    </w:p>
    <w:p>
      <w:pPr>
        <w:pStyle w:val="ListParagraph"/>
        <w:numPr>
          <w:ilvl w:val="0"/>
          <w:numId w:val="2"/>
        </w:numPr>
        <w:spacing w:after="80"/>
      </w:pPr>
      <w:r>
        <w:t xml:space="preserve">Guías de estimación de deriva y viento (estándares australianos e internacionales de extensión agrícola).</w:t>
      </w:r>
    </w:p>
    <w:p>
      <w:pPr>
        <w:pBdr>
          <w:left w:val="single" w:color="2E7D32" w:sz="18" w:space="8"/>
        </w:pBdr>
        <w:shd w:fill="EAF2ED" w:val="clear"/>
        <w:spacing w:after="200" w:before="80"/>
      </w:pPr>
      <w:r>
        <w:rPr>
          <w:i/>
          <w:iCs/>
          <w:color w:val="595959"/>
          <w:sz w:val="20"/>
          <w:szCs w:val="20"/>
        </w:rPr>
        <w:t xml:space="preserve">Este listado se debe completar con formato bibliográfico consistente (APA u otro exigido por la institución) antes de la entrega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2026-07-25T21:45:47.011Z</dcterms:created>
  <dcterms:modified xsi:type="dcterms:W3CDTF">2026-07-25T21:45:47.028Z</dcterms:modified>
</cp:coreProperties>
</file>

<file path=docProps/custom.xml><?xml version="1.0" encoding="utf-8"?>
<Properties xmlns="http://schemas.openxmlformats.org/officeDocument/2006/custom-properties" xmlns:vt="http://schemas.openxmlformats.org/officeDocument/2006/docPropsVTypes"/>
</file>