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Documento de Inception</w:t>
      </w:r>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r>
        <w:t>Value Stream Mapping</w:t>
      </w:r>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Product Owner (PO): Enlace directo con el negocio y regulaciones de la Alcaldía. Define los requerimientos en forma de Historias de Usuario, mantiene ordenado el Product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(Sprints)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Planning: Planificación conjunta al inicio de cada sprint para definir qué historias de usuario se implementarán y definir el Sprint Goal.</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Daily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Central </w:t>
      </w:r>
      <w:r w:rsidR="00E028FA" w:rsidRPr="00E028FA">
        <w:rPr>
          <w:rFonts w:ascii="Arial" w:hAnsi="Arial" w:cs="Arial"/>
          <w:color w:val="000000" w:themeColor="text1"/>
          <w:sz w:val="24"/>
          <w:szCs w:val="24"/>
        </w:rPr>
        <w:t xml:space="preserve"> y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Integración: Debe operar bajo protocolos web estándar y ser responsivo para que los cobradores del mercado puedan usarlo en tablets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(tablets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RNF-2: Rendimiento y Latencia: Las búsquedas de comerciantes y registros de cobros deben procesarse en menos de 2.0 segundos bajo conexiones de datos móviles móviles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RNF-3: Seguridad y Control de Acceso: El sistema utilizará control de acceso basado en roles (RBAC). Los roles son Administrador General, Cobrador Municipal, Inspector Sanitario y Director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(Elevator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(Stakeholders)</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Arquitectura de Aplicación Web: Modelo Cliente-Servidor. Frontend desarrollado en tecnologías web estándar (HTML5, CSS3, JavaScript responsivo) y backend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MoSCoW.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Criterios de la Metodología MoSCoW</w:t>
      </w:r>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Must Have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Should Have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Could Have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Won't Have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Must Have</w:t>
            </w:r>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Should Have</w:t>
            </w:r>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Could Have</w:t>
            </w:r>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Uso de Leaflet.js y OpenStreetMap: Se descarta el uso de Google Maps API para evitar costos recurrentes de licenciamiento. Leaflet.js es una biblioteca de JavaScript extremadamente ligera y gratuita que se integrará en el frontend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Esta estrategia permite clasificar RF-GEO como Should Have, programando su desarrollo técnico para el Sprint 5 y garantizando su entrega en el MVP.</w:t>
      </w:r>
    </w:p>
    <w:p w14:paraId="71A53B7F" w14:textId="77777777" w:rsidR="005371A6" w:rsidRDefault="005371A6" w:rsidP="00135D1F">
      <w:pPr>
        <w:spacing w:line="360" w:lineRule="auto"/>
        <w:jc w:val="both"/>
        <w:rPr>
          <w:rFonts w:ascii="Arial" w:hAnsi="Arial" w:cs="Arial"/>
          <w:color w:val="000000" w:themeColor="text1"/>
          <w:sz w:val="24"/>
          <w:szCs w:val="24"/>
        </w:rPr>
      </w:pPr>
    </w:p>
    <w:p w14:paraId="403DB197" w14:textId="77777777" w:rsidR="00E06099" w:rsidRDefault="00E06099" w:rsidP="00135D1F">
      <w:pPr>
        <w:spacing w:line="360" w:lineRule="auto"/>
        <w:jc w:val="both"/>
        <w:rPr>
          <w:rFonts w:ascii="Arial" w:hAnsi="Arial" w:cs="Arial"/>
          <w:color w:val="000000" w:themeColor="text1"/>
          <w:sz w:val="24"/>
          <w:szCs w:val="24"/>
        </w:rPr>
      </w:pPr>
    </w:p>
    <w:p w14:paraId="7C05A7FB" w14:textId="77777777" w:rsidR="00E06099" w:rsidRPr="00E06099" w:rsidRDefault="00E06099" w:rsidP="00E06099">
      <w:pPr>
        <w:pStyle w:val="Ttulo1"/>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Cronograma Detallado del Proyecto</w:t>
      </w:r>
    </w:p>
    <w:p w14:paraId="000A3A3B" w14:textId="77777777" w:rsidR="00E06099" w:rsidRPr="00E06099" w:rsidRDefault="00E06099" w:rsidP="00E06099">
      <w:pPr>
        <w:spacing w:after="240" w:line="360" w:lineRule="auto"/>
        <w:jc w:val="both"/>
        <w:rPr>
          <w:rFonts w:ascii="Arial" w:hAnsi="Arial" w:cs="Arial"/>
          <w:color w:val="000000" w:themeColor="text1"/>
          <w:sz w:val="24"/>
          <w:szCs w:val="24"/>
        </w:rPr>
      </w:pPr>
    </w:p>
    <w:p w14:paraId="2368883B" w14:textId="5F7FBAC2"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Introducción y Planificación Temporal</w:t>
      </w:r>
    </w:p>
    <w:p w14:paraId="7C3F0C02"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Este documento establece la línea base del cronograma del proyecto para un ciclo total de 6 meses (24 semanas), estructurado en 12 Sprints de 2 semanas de duración cada uno. El cronograma integra el desarrollo técnico incremental de Scrum con los hitos de control tradicionales, e incorpora de manera coherente los eventos críticos del proyecto (solicitud de geolocalización, renuncia de desarrolladores y cambios regulatorios).</w:t>
      </w:r>
    </w:p>
    <w:p w14:paraId="2773143A" w14:textId="77777777" w:rsidR="0097431F" w:rsidRPr="00E06099" w:rsidRDefault="0097431F" w:rsidP="00E06099">
      <w:pPr>
        <w:spacing w:line="360" w:lineRule="auto"/>
        <w:jc w:val="both"/>
        <w:rPr>
          <w:rFonts w:ascii="Arial" w:hAnsi="Arial" w:cs="Arial"/>
          <w:color w:val="000000" w:themeColor="text1"/>
          <w:sz w:val="24"/>
          <w:szCs w:val="24"/>
        </w:rPr>
      </w:pPr>
    </w:p>
    <w:p w14:paraId="19BCA8A2" w14:textId="224509BC"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Calendario de Sprints y Entregas</w:t>
      </w:r>
    </w:p>
    <w:p w14:paraId="759E04B9"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Estructura detallada del desarrollo por iteración:</w:t>
      </w:r>
    </w:p>
    <w:p w14:paraId="7DCBE744" w14:textId="77777777" w:rsidR="0097431F" w:rsidRPr="00E06099" w:rsidRDefault="0097431F" w:rsidP="00E06099">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1998"/>
        <w:gridCol w:w="2208"/>
        <w:gridCol w:w="2208"/>
        <w:gridCol w:w="2216"/>
      </w:tblGrid>
      <w:tr w:rsidR="00E06099" w:rsidRPr="00E06099" w14:paraId="46D2D7D2" w14:textId="77777777" w:rsidTr="00963EED">
        <w:tc>
          <w:tcPr>
            <w:tcW w:w="2340" w:type="dxa"/>
          </w:tcPr>
          <w:p w14:paraId="4A281E0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 Semanas</w:t>
            </w:r>
          </w:p>
        </w:tc>
        <w:tc>
          <w:tcPr>
            <w:tcW w:w="2340" w:type="dxa"/>
          </w:tcPr>
          <w:p w14:paraId="0015A17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Alcance / Módulo Técnico</w:t>
            </w:r>
          </w:p>
        </w:tc>
        <w:tc>
          <w:tcPr>
            <w:tcW w:w="2340" w:type="dxa"/>
          </w:tcPr>
          <w:p w14:paraId="58E0AD7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Entregables Clave</w:t>
            </w:r>
          </w:p>
        </w:tc>
        <w:tc>
          <w:tcPr>
            <w:tcW w:w="2340" w:type="dxa"/>
          </w:tcPr>
          <w:p w14:paraId="3E6BC0D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Eventos / Hitos Críticos</w:t>
            </w:r>
          </w:p>
        </w:tc>
      </w:tr>
      <w:tr w:rsidR="00E06099" w:rsidRPr="00E06099" w14:paraId="1460780F" w14:textId="77777777" w:rsidTr="00963EED">
        <w:tc>
          <w:tcPr>
            <w:tcW w:w="2340" w:type="dxa"/>
          </w:tcPr>
          <w:p w14:paraId="21AE5E9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1 (Sem. 1-2)</w:t>
            </w:r>
          </w:p>
        </w:tc>
        <w:tc>
          <w:tcPr>
            <w:tcW w:w="2340" w:type="dxa"/>
          </w:tcPr>
          <w:p w14:paraId="396FB5C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Iniciación y Planificación</w:t>
            </w:r>
          </w:p>
        </w:tc>
        <w:tc>
          <w:tcPr>
            <w:tcW w:w="2340" w:type="dxa"/>
          </w:tcPr>
          <w:p w14:paraId="0D9C5A0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Metodología, Solicitud, Inception y Matriz de Priorización.</w:t>
            </w:r>
          </w:p>
        </w:tc>
        <w:tc>
          <w:tcPr>
            <w:tcW w:w="2340" w:type="dxa"/>
          </w:tcPr>
          <w:p w14:paraId="42355DE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Reunión de kickoff con la Alcaldía.</w:t>
            </w:r>
          </w:p>
        </w:tc>
      </w:tr>
      <w:tr w:rsidR="00E06099" w:rsidRPr="00E06099" w14:paraId="66AF418F" w14:textId="77777777" w:rsidTr="00963EED">
        <w:tc>
          <w:tcPr>
            <w:tcW w:w="2340" w:type="dxa"/>
          </w:tcPr>
          <w:p w14:paraId="53EA84B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2 (Sem. 3-4)</w:t>
            </w:r>
          </w:p>
        </w:tc>
        <w:tc>
          <w:tcPr>
            <w:tcW w:w="2340" w:type="dxa"/>
          </w:tcPr>
          <w:p w14:paraId="66F1E2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Especificación de Requisitos y UI</w:t>
            </w:r>
          </w:p>
        </w:tc>
        <w:tc>
          <w:tcPr>
            <w:tcW w:w="2340" w:type="dxa"/>
          </w:tcPr>
          <w:p w14:paraId="688B45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Documento SRS, Diseño de Prototipos de Interfaz responsivos.</w:t>
            </w:r>
          </w:p>
        </w:tc>
        <w:tc>
          <w:tcPr>
            <w:tcW w:w="2340" w:type="dxa"/>
          </w:tcPr>
          <w:p w14:paraId="41E4196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Aprobación de la línea base de requerimientos.</w:t>
            </w:r>
          </w:p>
        </w:tc>
      </w:tr>
      <w:tr w:rsidR="00E06099" w:rsidRPr="00E06099" w14:paraId="15596AB9" w14:textId="77777777" w:rsidTr="00963EED">
        <w:tc>
          <w:tcPr>
            <w:tcW w:w="2340" w:type="dxa"/>
          </w:tcPr>
          <w:p w14:paraId="6C72ED2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3 (Sem. 5-6)</w:t>
            </w:r>
          </w:p>
        </w:tc>
        <w:tc>
          <w:tcPr>
            <w:tcW w:w="2340" w:type="dxa"/>
          </w:tcPr>
          <w:p w14:paraId="1001DC93"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Puestos y Comerciantes</w:t>
            </w:r>
          </w:p>
        </w:tc>
        <w:tc>
          <w:tcPr>
            <w:tcW w:w="2340" w:type="dxa"/>
          </w:tcPr>
          <w:p w14:paraId="3277A56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RF-1.1, RF-1.2 (Registro Puestos) y RF-2.1, RF-2.2 (Registro Comerciantes).</w:t>
            </w:r>
          </w:p>
        </w:tc>
        <w:tc>
          <w:tcPr>
            <w:tcW w:w="2340" w:type="dxa"/>
          </w:tcPr>
          <w:p w14:paraId="331059FF"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Validación inicial de la base de datos de puestos.</w:t>
            </w:r>
          </w:p>
        </w:tc>
      </w:tr>
      <w:tr w:rsidR="00E06099" w:rsidRPr="00E06099" w14:paraId="0686CA68" w14:textId="77777777" w:rsidTr="00963EED">
        <w:tc>
          <w:tcPr>
            <w:tcW w:w="2340" w:type="dxa"/>
          </w:tcPr>
          <w:p w14:paraId="226001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4 (Sem. 7-8)</w:t>
            </w:r>
          </w:p>
        </w:tc>
        <w:tc>
          <w:tcPr>
            <w:tcW w:w="2340" w:type="dxa"/>
          </w:tcPr>
          <w:p w14:paraId="5837400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Ocupación e Historial de Deudas</w:t>
            </w:r>
          </w:p>
        </w:tc>
        <w:tc>
          <w:tcPr>
            <w:tcW w:w="2340" w:type="dxa"/>
          </w:tcPr>
          <w:p w14:paraId="5A9F752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RF-2.3 (Historial de Deudas) y RF-1.3 (Visualización de ocupación).</w:t>
            </w:r>
          </w:p>
        </w:tc>
        <w:tc>
          <w:tcPr>
            <w:tcW w:w="2340" w:type="dxa"/>
          </w:tcPr>
          <w:p w14:paraId="325F212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de puestos-comerciantes.</w:t>
            </w:r>
          </w:p>
        </w:tc>
      </w:tr>
      <w:tr w:rsidR="00E06099" w:rsidRPr="00E06099" w14:paraId="04AAC209" w14:textId="77777777" w:rsidTr="00963EED">
        <w:tc>
          <w:tcPr>
            <w:tcW w:w="2340" w:type="dxa"/>
          </w:tcPr>
          <w:p w14:paraId="7C0F9BF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5 (Sem. 9-10)</w:t>
            </w:r>
          </w:p>
        </w:tc>
        <w:tc>
          <w:tcPr>
            <w:tcW w:w="2340" w:type="dxa"/>
          </w:tcPr>
          <w:p w14:paraId="7DDF6F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w:t>
            </w:r>
          </w:p>
        </w:tc>
        <w:tc>
          <w:tcPr>
            <w:tcW w:w="2340" w:type="dxa"/>
          </w:tcPr>
          <w:p w14:paraId="7FB35C2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RF-3.1 (Registro digital de cobro de tarifas en campo).</w:t>
            </w:r>
          </w:p>
        </w:tc>
        <w:tc>
          <w:tcPr>
            <w:tcW w:w="2340" w:type="dxa"/>
          </w:tcPr>
          <w:p w14:paraId="1EE2FA5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10: Solicitud formal de geolocalización. Activación de control de cambios.</w:t>
            </w:r>
          </w:p>
        </w:tc>
      </w:tr>
      <w:tr w:rsidR="00E06099" w:rsidRPr="00E06099" w14:paraId="553D9D76" w14:textId="77777777" w:rsidTr="00963EED">
        <w:tc>
          <w:tcPr>
            <w:tcW w:w="2340" w:type="dxa"/>
          </w:tcPr>
          <w:p w14:paraId="25E2925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6 (Sem. 11-12)</w:t>
            </w:r>
          </w:p>
        </w:tc>
        <w:tc>
          <w:tcPr>
            <w:tcW w:w="2340" w:type="dxa"/>
          </w:tcPr>
          <w:p w14:paraId="0015AB0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(II)</w:t>
            </w:r>
          </w:p>
        </w:tc>
        <w:tc>
          <w:tcPr>
            <w:tcW w:w="2340" w:type="dxa"/>
          </w:tcPr>
          <w:p w14:paraId="5A4E78E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RF-3.2 (Emisión de recibo digital) y RF-3.3 (Alertas de morosidad).</w:t>
            </w:r>
          </w:p>
        </w:tc>
        <w:tc>
          <w:tcPr>
            <w:tcW w:w="2340" w:type="dxa"/>
          </w:tcPr>
          <w:p w14:paraId="0F80A4C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12: Renuncia de 2 desarrolladores. Activación de contingencias de personal.</w:t>
            </w:r>
          </w:p>
        </w:tc>
      </w:tr>
      <w:tr w:rsidR="00E06099" w:rsidRPr="00E06099" w14:paraId="3CF8E699" w14:textId="77777777" w:rsidTr="00963EED">
        <w:tc>
          <w:tcPr>
            <w:tcW w:w="2340" w:type="dxa"/>
          </w:tcPr>
          <w:p w14:paraId="37CEA2C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7 (Sem. 13-14)</w:t>
            </w:r>
          </w:p>
        </w:tc>
        <w:tc>
          <w:tcPr>
            <w:tcW w:w="2340" w:type="dxa"/>
          </w:tcPr>
          <w:p w14:paraId="0D4800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w:t>
            </w:r>
          </w:p>
        </w:tc>
        <w:tc>
          <w:tcPr>
            <w:tcW w:w="2340" w:type="dxa"/>
          </w:tcPr>
          <w:p w14:paraId="1E58E41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RF-4.1 (Registro de licencias sanitarias por puesto).</w:t>
            </w:r>
          </w:p>
        </w:tc>
        <w:tc>
          <w:tcPr>
            <w:tcW w:w="2340" w:type="dxa"/>
          </w:tcPr>
          <w:p w14:paraId="5331EA5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13: Cambio de normativa municipal. Ajuste de reglas de validación sanitaria.</w:t>
            </w:r>
          </w:p>
        </w:tc>
      </w:tr>
      <w:tr w:rsidR="00E06099" w:rsidRPr="00E06099" w14:paraId="5BC82573" w14:textId="77777777" w:rsidTr="00963EED">
        <w:tc>
          <w:tcPr>
            <w:tcW w:w="2340" w:type="dxa"/>
          </w:tcPr>
          <w:p w14:paraId="33B35C3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8 (Sem. 15-16)</w:t>
            </w:r>
          </w:p>
        </w:tc>
        <w:tc>
          <w:tcPr>
            <w:tcW w:w="2340" w:type="dxa"/>
          </w:tcPr>
          <w:p w14:paraId="02E6762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(II)</w:t>
            </w:r>
          </w:p>
        </w:tc>
        <w:tc>
          <w:tcPr>
            <w:tcW w:w="2340" w:type="dxa"/>
          </w:tcPr>
          <w:p w14:paraId="5E4EFE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RF-4.2 (Alertas de vencimiento) y RF-4.3 (Registro de inspecciones).</w:t>
            </w:r>
          </w:p>
        </w:tc>
        <w:tc>
          <w:tcPr>
            <w:tcW w:w="2340" w:type="dxa"/>
          </w:tcPr>
          <w:p w14:paraId="178EC92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Pruebas de campo de inspecciones de salubridad.</w:t>
            </w:r>
          </w:p>
        </w:tc>
      </w:tr>
      <w:tr w:rsidR="00E06099" w:rsidRPr="00E06099" w14:paraId="41CF15F3" w14:textId="77777777" w:rsidTr="00963EED">
        <w:tc>
          <w:tcPr>
            <w:tcW w:w="2340" w:type="dxa"/>
          </w:tcPr>
          <w:p w14:paraId="28519AC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9 (Sem. 17-18)</w:t>
            </w:r>
          </w:p>
        </w:tc>
        <w:tc>
          <w:tcPr>
            <w:tcW w:w="2340" w:type="dxa"/>
          </w:tcPr>
          <w:p w14:paraId="5DAB6A4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w:t>
            </w:r>
          </w:p>
        </w:tc>
        <w:tc>
          <w:tcPr>
            <w:tcW w:w="2340" w:type="dxa"/>
          </w:tcPr>
          <w:p w14:paraId="1419298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técnica de Leaflet.js y OpenStreetMap en la plataforma.</w:t>
            </w:r>
          </w:p>
        </w:tc>
        <w:tc>
          <w:tcPr>
            <w:tcW w:w="2340" w:type="dxa"/>
          </w:tcPr>
          <w:p w14:paraId="245A933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Inicio del desarrollo de geolocalización (RF-GEO).</w:t>
            </w:r>
          </w:p>
        </w:tc>
      </w:tr>
      <w:tr w:rsidR="00E06099" w:rsidRPr="00E06099" w14:paraId="611ABBB5" w14:textId="77777777" w:rsidTr="00963EED">
        <w:tc>
          <w:tcPr>
            <w:tcW w:w="2340" w:type="dxa"/>
          </w:tcPr>
          <w:p w14:paraId="4089EB1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10 (Sem. 19-20)</w:t>
            </w:r>
          </w:p>
        </w:tc>
        <w:tc>
          <w:tcPr>
            <w:tcW w:w="2340" w:type="dxa"/>
          </w:tcPr>
          <w:p w14:paraId="060D773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(II)</w:t>
            </w:r>
          </w:p>
        </w:tc>
        <w:tc>
          <w:tcPr>
            <w:tcW w:w="2340" w:type="dxa"/>
          </w:tcPr>
          <w:p w14:paraId="4DA3AEA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RF-GEO (Captura GPS nativa HTML5 y mapas vectoriales SVG).</w:t>
            </w:r>
          </w:p>
        </w:tc>
        <w:tc>
          <w:tcPr>
            <w:tcW w:w="2340" w:type="dxa"/>
          </w:tcPr>
          <w:p w14:paraId="1B713569"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completa de planos interactivos de mercados.</w:t>
            </w:r>
          </w:p>
        </w:tc>
      </w:tr>
      <w:tr w:rsidR="00E06099" w:rsidRPr="00E06099" w14:paraId="22F6EA5C" w14:textId="77777777" w:rsidTr="00963EED">
        <w:tc>
          <w:tcPr>
            <w:tcW w:w="2340" w:type="dxa"/>
          </w:tcPr>
          <w:p w14:paraId="59A0024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11 (Sem. 21-22)</w:t>
            </w:r>
          </w:p>
        </w:tc>
        <w:tc>
          <w:tcPr>
            <w:tcW w:w="2340" w:type="dxa"/>
          </w:tcPr>
          <w:p w14:paraId="6A84D48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Informes y Reportes</w:t>
            </w:r>
          </w:p>
        </w:tc>
        <w:tc>
          <w:tcPr>
            <w:tcW w:w="2340" w:type="dxa"/>
          </w:tcPr>
          <w:p w14:paraId="04DA44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RF-5.1 (Reporte recaudación), RF-5.2 (Morosos) y RF-5.3 (Reporte sanitario).</w:t>
            </w:r>
          </w:p>
        </w:tc>
        <w:tc>
          <w:tcPr>
            <w:tcW w:w="2340" w:type="dxa"/>
          </w:tcPr>
          <w:p w14:paraId="448AFC1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Consolidación de reportes para Dirección de Ingresos.</w:t>
            </w:r>
          </w:p>
        </w:tc>
      </w:tr>
      <w:tr w:rsidR="00E06099" w:rsidRPr="00E06099" w14:paraId="37541DF6" w14:textId="77777777" w:rsidTr="00963EED">
        <w:tc>
          <w:tcPr>
            <w:tcW w:w="2340" w:type="dxa"/>
          </w:tcPr>
          <w:p w14:paraId="75898EA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12 (Sem. 23-24)</w:t>
            </w:r>
          </w:p>
        </w:tc>
        <w:tc>
          <w:tcPr>
            <w:tcW w:w="2340" w:type="dxa"/>
          </w:tcPr>
          <w:p w14:paraId="3931B41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Cierre y Despliegue de MVP</w:t>
            </w:r>
          </w:p>
        </w:tc>
        <w:tc>
          <w:tcPr>
            <w:tcW w:w="2340" w:type="dxa"/>
          </w:tcPr>
          <w:p w14:paraId="42D5DA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MVP desplegado en producción, capacitación y Acta de Cierre.</w:t>
            </w:r>
          </w:p>
        </w:tc>
        <w:tc>
          <w:tcPr>
            <w:tcW w:w="2340" w:type="dxa"/>
          </w:tcPr>
          <w:p w14:paraId="212C30A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Aceptación final del MVP por Dirección de Ingresos.</w:t>
            </w:r>
          </w:p>
        </w:tc>
      </w:tr>
    </w:tbl>
    <w:p w14:paraId="4400FCE2" w14:textId="77777777" w:rsidR="000D45D4" w:rsidRDefault="000D45D4" w:rsidP="009F0295">
      <w:pPr>
        <w:pStyle w:val="Ttulo2"/>
        <w:numPr>
          <w:ilvl w:val="0"/>
          <w:numId w:val="0"/>
        </w:numPr>
        <w:spacing w:line="360" w:lineRule="auto"/>
        <w:jc w:val="both"/>
        <w:rPr>
          <w:rFonts w:ascii="Arial" w:hAnsi="Arial" w:cs="Arial"/>
          <w:color w:val="000000" w:themeColor="text1"/>
          <w:sz w:val="24"/>
          <w:szCs w:val="24"/>
        </w:rPr>
      </w:pPr>
    </w:p>
    <w:p w14:paraId="310E3A4A" w14:textId="589E17B9" w:rsid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Detalle de Hitos Críticos y Gestión del Impacto</w:t>
      </w:r>
    </w:p>
    <w:p w14:paraId="235A41E1" w14:textId="77777777" w:rsidR="000D45D4" w:rsidRPr="000D45D4" w:rsidRDefault="000D45D4" w:rsidP="000D45D4"/>
    <w:p w14:paraId="09DEED25" w14:textId="1641C786"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 continuación, se detalla el impacto y la respuesta metodológica planificada ante los eventos críticos del cronograma:</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1: Solicitud de Geolocalización (Semana 10):</w:t>
      </w:r>
      <w:r w:rsidRPr="00E06099">
        <w:rPr>
          <w:rFonts w:ascii="Arial" w:hAnsi="Arial" w:cs="Arial"/>
          <w:color w:val="000000" w:themeColor="text1"/>
          <w:sz w:val="24"/>
          <w:szCs w:val="24"/>
        </w:rPr>
        <w:br/>
        <w:t>La Alcaldía de Sucre solicita formalmente agregar la geolocalización de puestos. El equipo inicia el proceso formal de gestión del cambio (solicitud, análisis de impacto y costo-beneficio). Para evitar desvíos en el plazo de 6 meses y presupuesto de 70,000 Bs., se aprueba una solución optimizada (Leaflet.js + OpenStreetMap sin costo de licenciamiento, geolocalización nativa HTML5 y planos SVG) que reduce el esfuerzo y programa su desarrollo formal en los Sprints 9 y 10.</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2: Renuncia de dos Desarrolladores Clave (Semana 12):</w:t>
      </w:r>
      <w:r w:rsidRPr="00E06099">
        <w:rPr>
          <w:rFonts w:ascii="Arial" w:hAnsi="Arial" w:cs="Arial"/>
          <w:color w:val="000000" w:themeColor="text1"/>
          <w:sz w:val="24"/>
          <w:szCs w:val="24"/>
        </w:rPr>
        <w:br/>
        <w:t>La renuncia de dos desarrolladores se materializa al final del Sprint 6. Se activa el plan de contingencia de riesgos: reestimación de la velocidad del equipo (se reduce la capacidad en un 30%), redistribución de tareas críticas de base de datos a los desarrolladores restantes, y priorización de requerimientos. El uso de la solución de geolocalización de bajo esfuerzo (Leaflet.js) en los Sprints 9 y 10 mitiga la pérdida de capacidad, manteniendo viable la fecha de entrega del MVP en la semana 24.</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3: Cambio de Normativa de Licencias Sanitarias (Semana 13):</w:t>
      </w:r>
      <w:r w:rsidRPr="00E06099">
        <w:rPr>
          <w:rFonts w:ascii="Arial" w:hAnsi="Arial" w:cs="Arial"/>
          <w:color w:val="000000" w:themeColor="text1"/>
          <w:sz w:val="24"/>
          <w:szCs w:val="24"/>
        </w:rPr>
        <w:br/>
        <w:t>Al inicio del Sprint 7, entra en vigencia una nueva normativa municipal sobre licencias de salubridad. Se realiza una sesión de Backlog Refinement con el Product Owner para ajustar las reglas de negocio en la base de datos (RF-4.1) sin alterar el cronograma, ya que el módulo de licencias sanitarias inicia su desarrollo precisamente en este sprint (Sprints 7 y 8).</w:t>
      </w:r>
    </w:p>
    <w:p w14:paraId="7DCCC567" w14:textId="6FE5396B" w:rsidR="00E6516D" w:rsidRDefault="00E6516D" w:rsidP="00E6516D">
      <w:pPr>
        <w:pStyle w:val="Ttulo1"/>
        <w:spacing w:line="360" w:lineRule="auto"/>
        <w:jc w:val="both"/>
        <w:rPr>
          <w:color w:val="000000" w:themeColor="text1"/>
        </w:rPr>
      </w:pPr>
      <w:r w:rsidRPr="00E6516D">
        <w:rPr>
          <w:color w:val="000000" w:themeColor="text1"/>
        </w:rPr>
        <w:lastRenderedPageBreak/>
        <w:t>PRESUPUESTO DE PROYECTO Y FLUJO DE CAJA</w:t>
      </w:r>
    </w:p>
    <w:p w14:paraId="175392C7" w14:textId="77777777" w:rsidR="00E6516D" w:rsidRPr="00E6516D" w:rsidRDefault="00E6516D" w:rsidP="00E6516D"/>
    <w:p w14:paraId="33BE0C9C" w14:textId="45E4BA2E" w:rsidR="00E6516D" w:rsidRP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Estructura de Desglose de Costos</w:t>
      </w:r>
    </w:p>
    <w:p w14:paraId="1CF690D2"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Distribución analítica del presupuesto total de 70,000 Bs. clasificado por categorías de gasto:</w:t>
      </w:r>
    </w:p>
    <w:p w14:paraId="75008D4F"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264"/>
        <w:gridCol w:w="2267"/>
        <w:gridCol w:w="1999"/>
        <w:gridCol w:w="2100"/>
      </w:tblGrid>
      <w:tr w:rsidR="00E6516D" w:rsidRPr="00E6516D" w14:paraId="55DBA364" w14:textId="77777777" w:rsidTr="00963EED">
        <w:tc>
          <w:tcPr>
            <w:tcW w:w="2340" w:type="dxa"/>
          </w:tcPr>
          <w:p w14:paraId="3A1E7B1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Categoría de Gasto</w:t>
            </w:r>
          </w:p>
        </w:tc>
        <w:tc>
          <w:tcPr>
            <w:tcW w:w="2340" w:type="dxa"/>
          </w:tcPr>
          <w:p w14:paraId="3E65010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Descripción Detallada</w:t>
            </w:r>
          </w:p>
        </w:tc>
        <w:tc>
          <w:tcPr>
            <w:tcW w:w="2340" w:type="dxa"/>
          </w:tcPr>
          <w:p w14:paraId="43E5B4C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Monto (Bs.)</w:t>
            </w:r>
          </w:p>
        </w:tc>
        <w:tc>
          <w:tcPr>
            <w:tcW w:w="2340" w:type="dxa"/>
          </w:tcPr>
          <w:p w14:paraId="5E53F49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Porcentaje (%)</w:t>
            </w:r>
          </w:p>
        </w:tc>
      </w:tr>
      <w:tr w:rsidR="00E6516D" w:rsidRPr="00E6516D" w14:paraId="2E2EF31A" w14:textId="77777777" w:rsidTr="00963EED">
        <w:tc>
          <w:tcPr>
            <w:tcW w:w="2340" w:type="dxa"/>
          </w:tcPr>
          <w:p w14:paraId="66181F4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Personal Técnico</w:t>
            </w:r>
          </w:p>
        </w:tc>
        <w:tc>
          <w:tcPr>
            <w:tcW w:w="2340" w:type="dxa"/>
          </w:tcPr>
          <w:p w14:paraId="46759CFF"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Jefe de Proyecto, Scrum Master/Frontend, Desarrollador Backend, Analista QA.</w:t>
            </w:r>
          </w:p>
        </w:tc>
        <w:tc>
          <w:tcPr>
            <w:tcW w:w="2340" w:type="dxa"/>
          </w:tcPr>
          <w:p w14:paraId="2914BC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52,500 Bs.</w:t>
            </w:r>
          </w:p>
        </w:tc>
        <w:tc>
          <w:tcPr>
            <w:tcW w:w="2340" w:type="dxa"/>
          </w:tcPr>
          <w:p w14:paraId="1B83E68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75.0%</w:t>
            </w:r>
          </w:p>
        </w:tc>
      </w:tr>
      <w:tr w:rsidR="00E6516D" w:rsidRPr="00E6516D" w14:paraId="398E95B9" w14:textId="77777777" w:rsidTr="00963EED">
        <w:tc>
          <w:tcPr>
            <w:tcW w:w="2340" w:type="dxa"/>
          </w:tcPr>
          <w:p w14:paraId="5A30F92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Infraestructura Nube</w:t>
            </w:r>
          </w:p>
        </w:tc>
        <w:tc>
          <w:tcPr>
            <w:tcW w:w="2340" w:type="dxa"/>
          </w:tcPr>
          <w:p w14:paraId="23D3E6D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Servidores VPS, Base de datos en la nube y almacenamiento (6 meses).</w:t>
            </w:r>
          </w:p>
        </w:tc>
        <w:tc>
          <w:tcPr>
            <w:tcW w:w="2340" w:type="dxa"/>
          </w:tcPr>
          <w:p w14:paraId="134AFE5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5,600 Bs.</w:t>
            </w:r>
          </w:p>
        </w:tc>
        <w:tc>
          <w:tcPr>
            <w:tcW w:w="2340" w:type="dxa"/>
          </w:tcPr>
          <w:p w14:paraId="3F0B8F8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8.0%</w:t>
            </w:r>
          </w:p>
        </w:tc>
      </w:tr>
      <w:tr w:rsidR="00E6516D" w:rsidRPr="00E6516D" w14:paraId="0D6BF720" w14:textId="77777777" w:rsidTr="00963EED">
        <w:tc>
          <w:tcPr>
            <w:tcW w:w="2340" w:type="dxa"/>
          </w:tcPr>
          <w:p w14:paraId="2E12A5F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Seguridad y Dominio</w:t>
            </w:r>
          </w:p>
        </w:tc>
        <w:tc>
          <w:tcPr>
            <w:tcW w:w="2340" w:type="dxa"/>
          </w:tcPr>
          <w:p w14:paraId="1C759A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Compra de dominio municipal, Certificados SSL e integración básica.</w:t>
            </w:r>
          </w:p>
        </w:tc>
        <w:tc>
          <w:tcPr>
            <w:tcW w:w="2340" w:type="dxa"/>
          </w:tcPr>
          <w:p w14:paraId="66AF02D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1,400 Bs.</w:t>
            </w:r>
          </w:p>
        </w:tc>
        <w:tc>
          <w:tcPr>
            <w:tcW w:w="2340" w:type="dxa"/>
          </w:tcPr>
          <w:p w14:paraId="630D39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2.0%</w:t>
            </w:r>
          </w:p>
        </w:tc>
      </w:tr>
      <w:tr w:rsidR="00E6516D" w:rsidRPr="00E6516D" w14:paraId="67B3AD74" w14:textId="77777777" w:rsidTr="00963EED">
        <w:tc>
          <w:tcPr>
            <w:tcW w:w="2340" w:type="dxa"/>
          </w:tcPr>
          <w:p w14:paraId="01F451B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Logística y Capacitación</w:t>
            </w:r>
          </w:p>
        </w:tc>
        <w:tc>
          <w:tcPr>
            <w:tcW w:w="2340" w:type="dxa"/>
          </w:tcPr>
          <w:p w14:paraId="14EF406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Material de capacitación y talleres presenciales en los mercados.</w:t>
            </w:r>
          </w:p>
        </w:tc>
        <w:tc>
          <w:tcPr>
            <w:tcW w:w="2340" w:type="dxa"/>
          </w:tcPr>
          <w:p w14:paraId="3985A8D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3,500 Bs.</w:t>
            </w:r>
          </w:p>
        </w:tc>
        <w:tc>
          <w:tcPr>
            <w:tcW w:w="2340" w:type="dxa"/>
          </w:tcPr>
          <w:p w14:paraId="57AB74F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5.0%</w:t>
            </w:r>
          </w:p>
        </w:tc>
      </w:tr>
      <w:tr w:rsidR="00E6516D" w:rsidRPr="00E6516D" w14:paraId="29199670" w14:textId="77777777" w:rsidTr="00963EED">
        <w:tc>
          <w:tcPr>
            <w:tcW w:w="2340" w:type="dxa"/>
          </w:tcPr>
          <w:p w14:paraId="7312270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Reserva de Contingencia</w:t>
            </w:r>
          </w:p>
        </w:tc>
        <w:tc>
          <w:tcPr>
            <w:tcW w:w="2340" w:type="dxa"/>
          </w:tcPr>
          <w:p w14:paraId="1A7073B1"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Fondo reservado exclusivamente para mitigar riesgos identificados en matriz.</w:t>
            </w:r>
          </w:p>
        </w:tc>
        <w:tc>
          <w:tcPr>
            <w:tcW w:w="2340" w:type="dxa"/>
          </w:tcPr>
          <w:p w14:paraId="671304A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 Bs.</w:t>
            </w:r>
          </w:p>
        </w:tc>
        <w:tc>
          <w:tcPr>
            <w:tcW w:w="2340" w:type="dxa"/>
          </w:tcPr>
          <w:p w14:paraId="5FA71D3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w:t>
            </w:r>
          </w:p>
        </w:tc>
      </w:tr>
      <w:tr w:rsidR="00E6516D" w:rsidRPr="00E6516D" w14:paraId="2D6BC6BC" w14:textId="77777777" w:rsidTr="00963EED">
        <w:tc>
          <w:tcPr>
            <w:tcW w:w="2340" w:type="dxa"/>
          </w:tcPr>
          <w:p w14:paraId="55AD0208"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TOTAL PRESUPUESTO</w:t>
            </w:r>
          </w:p>
        </w:tc>
        <w:tc>
          <w:tcPr>
            <w:tcW w:w="2340" w:type="dxa"/>
          </w:tcPr>
          <w:p w14:paraId="6933C1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Presupuesto total inamovible asignado por la Alcaldía de Sucre.</w:t>
            </w:r>
          </w:p>
        </w:tc>
        <w:tc>
          <w:tcPr>
            <w:tcW w:w="2340" w:type="dxa"/>
          </w:tcPr>
          <w:p w14:paraId="018D686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c>
          <w:tcPr>
            <w:tcW w:w="2340" w:type="dxa"/>
          </w:tcPr>
          <w:p w14:paraId="28E9D3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w:t>
            </w:r>
          </w:p>
        </w:tc>
      </w:tr>
    </w:tbl>
    <w:p w14:paraId="1F17E467" w14:textId="77777777" w:rsidR="00E6516D" w:rsidRDefault="00E6516D" w:rsidP="00E6516D">
      <w:pPr>
        <w:pStyle w:val="Ttulo2"/>
        <w:numPr>
          <w:ilvl w:val="0"/>
          <w:numId w:val="0"/>
        </w:numPr>
        <w:spacing w:line="360" w:lineRule="auto"/>
        <w:ind w:left="576" w:hanging="576"/>
        <w:jc w:val="both"/>
        <w:rPr>
          <w:rFonts w:ascii="Arial" w:hAnsi="Arial" w:cs="Arial"/>
          <w:color w:val="000000" w:themeColor="text1"/>
          <w:sz w:val="24"/>
          <w:szCs w:val="24"/>
        </w:rPr>
      </w:pPr>
    </w:p>
    <w:p w14:paraId="1AB3E291" w14:textId="59EAC86D"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Plan de Flujo de Caja Mensual (Cash Flow)</w:t>
      </w:r>
    </w:p>
    <w:p w14:paraId="3B308BB7" w14:textId="77777777" w:rsidR="00E6516D" w:rsidRPr="00E6516D" w:rsidRDefault="00E6516D" w:rsidP="00E6516D"/>
    <w:p w14:paraId="0207A2B8"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Cronograma mensual estimado para el desembolso de los recursos financieros a lo largo de los 6 meses de proyecto:</w:t>
      </w:r>
    </w:p>
    <w:p w14:paraId="4BBFF2E5"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870"/>
        <w:gridCol w:w="2926"/>
        <w:gridCol w:w="2834"/>
      </w:tblGrid>
      <w:tr w:rsidR="00E6516D" w:rsidRPr="00E6516D" w14:paraId="41D32BF3" w14:textId="77777777" w:rsidTr="00963EED">
        <w:tc>
          <w:tcPr>
            <w:tcW w:w="3120" w:type="dxa"/>
          </w:tcPr>
          <w:p w14:paraId="79FA13F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de Desarrollo</w:t>
            </w:r>
          </w:p>
        </w:tc>
        <w:tc>
          <w:tcPr>
            <w:tcW w:w="3120" w:type="dxa"/>
          </w:tcPr>
          <w:p w14:paraId="09DDE0B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Actividades Principales asociadas</w:t>
            </w:r>
          </w:p>
        </w:tc>
        <w:tc>
          <w:tcPr>
            <w:tcW w:w="3120" w:type="dxa"/>
          </w:tcPr>
          <w:p w14:paraId="2003835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Desembolso Mensual (Bs.)</w:t>
            </w:r>
          </w:p>
        </w:tc>
      </w:tr>
      <w:tr w:rsidR="00E6516D" w:rsidRPr="00E6516D" w14:paraId="1A1724FF" w14:textId="77777777" w:rsidTr="00963EED">
        <w:tc>
          <w:tcPr>
            <w:tcW w:w="3120" w:type="dxa"/>
          </w:tcPr>
          <w:p w14:paraId="5D49E6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1</w:t>
            </w:r>
          </w:p>
        </w:tc>
        <w:tc>
          <w:tcPr>
            <w:tcW w:w="3120" w:type="dxa"/>
          </w:tcPr>
          <w:p w14:paraId="7724C15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Kickoff, Inception, SRS, Prototipos responsivos y Plan de Proyecto.</w:t>
            </w:r>
          </w:p>
        </w:tc>
        <w:tc>
          <w:tcPr>
            <w:tcW w:w="3120" w:type="dxa"/>
          </w:tcPr>
          <w:p w14:paraId="581AE0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10,000 Bs.</w:t>
            </w:r>
          </w:p>
        </w:tc>
      </w:tr>
      <w:tr w:rsidR="00E6516D" w:rsidRPr="00E6516D" w14:paraId="44A754B2" w14:textId="77777777" w:rsidTr="00963EED">
        <w:tc>
          <w:tcPr>
            <w:tcW w:w="3120" w:type="dxa"/>
          </w:tcPr>
          <w:p w14:paraId="04F30DC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2</w:t>
            </w:r>
          </w:p>
        </w:tc>
        <w:tc>
          <w:tcPr>
            <w:tcW w:w="3120" w:type="dxa"/>
          </w:tcPr>
          <w:p w14:paraId="7B64352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base de datos e interfaces de Puestos y Comerciantes.</w:t>
            </w:r>
          </w:p>
        </w:tc>
        <w:tc>
          <w:tcPr>
            <w:tcW w:w="3120" w:type="dxa"/>
          </w:tcPr>
          <w:p w14:paraId="4E58EDC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46D7D474" w14:textId="77777777" w:rsidTr="00963EED">
        <w:tc>
          <w:tcPr>
            <w:tcW w:w="3120" w:type="dxa"/>
          </w:tcPr>
          <w:p w14:paraId="6269033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3</w:t>
            </w:r>
          </w:p>
        </w:tc>
        <w:tc>
          <w:tcPr>
            <w:tcW w:w="3120" w:type="dxa"/>
          </w:tcPr>
          <w:p w14:paraId="71ADF51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del módulo de cobro de tarifas (Hito: Solicitud de Geolocalización).</w:t>
            </w:r>
          </w:p>
        </w:tc>
        <w:tc>
          <w:tcPr>
            <w:tcW w:w="3120" w:type="dxa"/>
          </w:tcPr>
          <w:p w14:paraId="399FE9C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13,000 Bs.</w:t>
            </w:r>
          </w:p>
        </w:tc>
      </w:tr>
      <w:tr w:rsidR="00E6516D" w:rsidRPr="00E6516D" w14:paraId="4F5B5372" w14:textId="77777777" w:rsidTr="00963EED">
        <w:tc>
          <w:tcPr>
            <w:tcW w:w="3120" w:type="dxa"/>
          </w:tcPr>
          <w:p w14:paraId="60FE2E38"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Mes 4</w:t>
            </w:r>
          </w:p>
        </w:tc>
        <w:tc>
          <w:tcPr>
            <w:tcW w:w="3120" w:type="dxa"/>
          </w:tcPr>
          <w:p w14:paraId="1240108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módulo de licencias sanitarias (Hito: Renuncia de personal).</w:t>
            </w:r>
          </w:p>
        </w:tc>
        <w:tc>
          <w:tcPr>
            <w:tcW w:w="3120" w:type="dxa"/>
          </w:tcPr>
          <w:p w14:paraId="3EC60FD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789AB16" w14:textId="77777777" w:rsidTr="00963EED">
        <w:tc>
          <w:tcPr>
            <w:tcW w:w="3120" w:type="dxa"/>
          </w:tcPr>
          <w:p w14:paraId="7D9D252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5</w:t>
            </w:r>
          </w:p>
        </w:tc>
        <w:tc>
          <w:tcPr>
            <w:tcW w:w="3120" w:type="dxa"/>
          </w:tcPr>
          <w:p w14:paraId="10A7938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Integración técnica de geolocalización Leaflet.js y planos SVG.</w:t>
            </w:r>
          </w:p>
        </w:tc>
        <w:tc>
          <w:tcPr>
            <w:tcW w:w="3120" w:type="dxa"/>
          </w:tcPr>
          <w:p w14:paraId="07D4533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11,000 Bs.</w:t>
            </w:r>
          </w:p>
        </w:tc>
      </w:tr>
      <w:tr w:rsidR="00E6516D" w:rsidRPr="00E6516D" w14:paraId="3B10082E" w14:textId="77777777" w:rsidTr="00963EED">
        <w:tc>
          <w:tcPr>
            <w:tcW w:w="3120" w:type="dxa"/>
          </w:tcPr>
          <w:p w14:paraId="7775751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6</w:t>
            </w:r>
          </w:p>
        </w:tc>
        <w:tc>
          <w:tcPr>
            <w:tcW w:w="3120" w:type="dxa"/>
          </w:tcPr>
          <w:p w14:paraId="70199DD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Reportes mensuales consolidados, capacitación, QA final y despliegue MVP.</w:t>
            </w:r>
          </w:p>
        </w:tc>
        <w:tc>
          <w:tcPr>
            <w:tcW w:w="3120" w:type="dxa"/>
          </w:tcPr>
          <w:p w14:paraId="21C91AA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BDA4AA7" w14:textId="77777777" w:rsidTr="00963EED">
        <w:tc>
          <w:tcPr>
            <w:tcW w:w="3120" w:type="dxa"/>
          </w:tcPr>
          <w:p w14:paraId="7116973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TOTAL ACUMULADO</w:t>
            </w:r>
          </w:p>
        </w:tc>
        <w:tc>
          <w:tcPr>
            <w:tcW w:w="3120" w:type="dxa"/>
          </w:tcPr>
          <w:p w14:paraId="0AB2FB6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Inversión acumulada de todo el ciclo de vida del proyecto.</w:t>
            </w:r>
          </w:p>
        </w:tc>
        <w:tc>
          <w:tcPr>
            <w:tcW w:w="3120" w:type="dxa"/>
          </w:tcPr>
          <w:p w14:paraId="0F639F1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r>
    </w:tbl>
    <w:p w14:paraId="006EF610" w14:textId="1A1727A9"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Gestión del Impacto de Cambios e Incidencias en el Presupuesto</w:t>
      </w:r>
    </w:p>
    <w:p w14:paraId="4C4DAD7D" w14:textId="77777777" w:rsidR="00E6516D" w:rsidRPr="00E6516D" w:rsidRDefault="00E6516D" w:rsidP="00E6516D"/>
    <w:p w14:paraId="2BEFBA5A"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del Requerimiento de Geolocalización (Semana 10):</w:t>
      </w:r>
    </w:p>
    <w:p w14:paraId="26CCE0BF"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La incorporación de geolocalización se financió utilizando la Reserva de Contingencia (7,000 Bs.) para cubrir las horas extra de desarrollo del equipo restante. Gracias al uso de tecnologías gratuitas (Leaflet.js y OpenStreetMap), no se incurrió en costos extras por licenciamiento de software, manteniendo la línea base financiera en 70,000 Bs.</w:t>
      </w:r>
    </w:p>
    <w:p w14:paraId="1CD6BA65" w14:textId="77777777" w:rsidR="00933FB9" w:rsidRPr="00933FB9" w:rsidRDefault="00933FB9" w:rsidP="00933FB9">
      <w:pPr>
        <w:spacing w:line="360" w:lineRule="auto"/>
        <w:jc w:val="both"/>
        <w:rPr>
          <w:rFonts w:ascii="Arial" w:hAnsi="Arial" w:cs="Arial"/>
          <w:color w:val="000000" w:themeColor="text1"/>
          <w:sz w:val="24"/>
          <w:szCs w:val="24"/>
        </w:rPr>
      </w:pPr>
    </w:p>
    <w:p w14:paraId="74B97CF5"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 la Renuncia de Personal (Semana 12):</w:t>
      </w:r>
    </w:p>
    <w:p w14:paraId="487CEFBB" w14:textId="0AFBB769" w:rsidR="00E06099" w:rsidRPr="00135D1F"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Tras la renuncia del desarrollador backend y el analista de pruebas (QA), los saldos de presupuesto mensual correspondientes a sus honorarios no devengados para los meses 4, 5 y 6 fueron reasignados. Se destinó una parte para cubrir incentivos por sobreesfuerzo al SM y PM (quienes absorbieron parte de la carga técnica) y el resto se utilizó para contratar soporte temporal de QA </w:t>
      </w:r>
      <w:r w:rsidRPr="00933FB9">
        <w:rPr>
          <w:rFonts w:ascii="Arial" w:hAnsi="Arial" w:cs="Arial"/>
          <w:color w:val="000000" w:themeColor="text1"/>
          <w:sz w:val="24"/>
          <w:szCs w:val="24"/>
        </w:rPr>
        <w:lastRenderedPageBreak/>
        <w:t>externo por horas durante la fase final de pruebas del Sprint 11, garantizando que el costo de recursos humanos no excediera los 52,500 Bs. presupuestados.</w:t>
      </w:r>
    </w:p>
    <w:sectPr w:rsidR="00E06099" w:rsidRPr="00135D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7E454A"/>
    <w:multiLevelType w:val="hybridMultilevel"/>
    <w:tmpl w:val="DF14C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2"/>
  </w:num>
  <w:num w:numId="11" w16cid:durableId="320233561">
    <w:abstractNumId w:val="20"/>
  </w:num>
  <w:num w:numId="12" w16cid:durableId="1184708675">
    <w:abstractNumId w:val="14"/>
  </w:num>
  <w:num w:numId="13" w16cid:durableId="934552213">
    <w:abstractNumId w:val="19"/>
  </w:num>
  <w:num w:numId="14" w16cid:durableId="327440046">
    <w:abstractNumId w:val="11"/>
  </w:num>
  <w:num w:numId="15" w16cid:durableId="32508412">
    <w:abstractNumId w:val="17"/>
  </w:num>
  <w:num w:numId="16" w16cid:durableId="1460369956">
    <w:abstractNumId w:val="13"/>
  </w:num>
  <w:num w:numId="17" w16cid:durableId="931816476">
    <w:abstractNumId w:val="18"/>
  </w:num>
  <w:num w:numId="18" w16cid:durableId="2090930233">
    <w:abstractNumId w:val="10"/>
  </w:num>
  <w:num w:numId="19" w16cid:durableId="1496069220">
    <w:abstractNumId w:val="15"/>
  </w:num>
  <w:num w:numId="20" w16cid:durableId="1001157057">
    <w:abstractNumId w:val="12"/>
  </w:num>
  <w:num w:numId="21" w16cid:durableId="845096283">
    <w:abstractNumId w:val="16"/>
  </w:num>
  <w:num w:numId="22" w16cid:durableId="1840536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5D4"/>
    <w:rsid w:val="001229BC"/>
    <w:rsid w:val="00135D1F"/>
    <w:rsid w:val="0015074B"/>
    <w:rsid w:val="001B39BA"/>
    <w:rsid w:val="0029639D"/>
    <w:rsid w:val="00326F90"/>
    <w:rsid w:val="005371A6"/>
    <w:rsid w:val="00550963"/>
    <w:rsid w:val="00773210"/>
    <w:rsid w:val="007A19E0"/>
    <w:rsid w:val="008A77DD"/>
    <w:rsid w:val="00933FB9"/>
    <w:rsid w:val="00972E54"/>
    <w:rsid w:val="0097431F"/>
    <w:rsid w:val="009F0295"/>
    <w:rsid w:val="009F7EC1"/>
    <w:rsid w:val="00A72ACB"/>
    <w:rsid w:val="00AA09D1"/>
    <w:rsid w:val="00AA1D8D"/>
    <w:rsid w:val="00AB2BFF"/>
    <w:rsid w:val="00B47730"/>
    <w:rsid w:val="00BC3A57"/>
    <w:rsid w:val="00BD4D41"/>
    <w:rsid w:val="00CB0664"/>
    <w:rsid w:val="00D411AF"/>
    <w:rsid w:val="00D528B2"/>
    <w:rsid w:val="00DC596F"/>
    <w:rsid w:val="00E028FA"/>
    <w:rsid w:val="00E06099"/>
    <w:rsid w:val="00E6516D"/>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24</Pages>
  <Words>4221</Words>
  <Characters>23220</Characters>
  <Application>Microsoft Office Word</Application>
  <DocSecurity>0</DocSecurity>
  <Lines>193</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21</cp:revision>
  <dcterms:created xsi:type="dcterms:W3CDTF">2026-06-13T16:32:00Z</dcterms:created>
  <dcterms:modified xsi:type="dcterms:W3CDTF">2026-06-15T13:38:00Z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