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McLellan Law Group LLP</w:t>
      </w:r>
    </w:p>
    <w:p>
      <w:pPr>
        <w:spacing w:after="200"/>
      </w:pPr>
      <w:r>
        <w:rPr>
          <w:b/>
          <w:bCs/>
          <w:sz w:val="30"/>
          <w:szCs w:val="30"/>
        </w:rPr>
        <w:t xml:space="preserve">Legal Assertions to Verify Before Publication</w:t>
      </w:r>
    </w:p>
    <w:p>
      <w:r>
        <w:rPr>
          <w:sz w:val="22"/>
          <w:szCs w:val="22"/>
        </w:rPr>
        <w:t xml:space="preserve">Prepared for: Claire Melehani and Steven McLellan</w:t>
      </w:r>
    </w:p>
    <w:p>
      <w:pPr>
        <w:spacing w:after="300"/>
      </w:pPr>
      <w:r>
        <w:rPr>
          <w:sz w:val="22"/>
          <w:szCs w:val="22"/>
        </w:rPr>
        <w:t xml:space="preserve">Scope: the Employment Law hub page and its 14 sub pages</w:t>
      </w:r>
    </w:p>
    <w:p>
      <w:pPr>
        <w:pStyle w:val="Heading1"/>
      </w:pPr>
      <w:r>
        <w:t xml:space="preserve">What this is</w:t>
      </w:r>
    </w:p>
    <w:p>
      <w:pPr>
        <w:spacing w:after="160"/>
      </w:pPr>
      <w:r>
        <w:rPr>
          <w:sz w:val="22"/>
          <w:szCs w:val="22"/>
        </w:rPr>
        <w:t xml:space="preserve">Every sentence across these pages that states a deadline, a threshold, a dollar figure, a percentage, a code section, or a case. These are the statements a reader can act on, so they are the ones that need confirming against the primary source before anything goes live.</w:t>
      </w:r>
    </w:p>
    <w:p>
      <w:pPr>
        <w:spacing w:after="160"/>
      </w:pPr>
      <w:r>
        <w:rPr>
          <w:b/>
          <w:bCs/>
          <w:sz w:val="22"/>
          <w:szCs w:val="22"/>
        </w:rPr>
        <w:t xml:space="preserve">None of these has been verified.</w:t>
      </w:r>
      <w:r>
        <w:rPr>
          <w:sz w:val="22"/>
          <w:szCs w:val="22"/>
        </w:rPr>
        <w:t xml:space="preserve"> The corrections applied to the site come from the firm’s own review, and that review’s Appendix A marks several of its authorities as unconfirmed. The remainder are statements that were already on the pages and were never checked by anyone.</w:t>
      </w:r>
    </w:p>
    <w:p>
      <w:pPr>
        <w:spacing w:after="160"/>
      </w:pPr>
      <w:r>
        <w:rPr>
          <w:b/>
          <w:bCs/>
          <w:sz w:val="22"/>
          <w:szCs w:val="22"/>
        </w:rPr>
        <w:t xml:space="preserve">Total: 50 assertions across 14 pages.</w:t>
      </w:r>
    </w:p>
    <w:p>
      <w:pPr>
        <w:spacing w:after="300"/>
      </w:pPr>
      <w:r>
        <w:rPr>
          <w:i/>
          <w:iCs/>
          <w:sz w:val="22"/>
          <w:szCs w:val="22"/>
        </w:rPr>
        <w:t xml:space="preserve">Tick each box once the statement has been confirmed against the statute, the regulation, or the opinion itself. Strike through and note the correction where a statement is wrong.</w:t>
      </w:r>
    </w:p>
    <w:p>
      <w:pPr>
        <w:pStyle w:val="Heading1"/>
        <w:spacing w:after="120" w:before="280"/>
      </w:pPr>
      <w:r>
        <w:t xml:space="preserve">/employment-law  (1)</w:t>
      </w:r>
    </w:p>
    <w:p>
      <w:pPr>
        <w:spacing w:after="140"/>
        <w:ind w:left="200" w:hanging="200"/>
      </w:pPr>
      <w:r>
        <w:rPr>
          <w:sz w:val="24"/>
          <w:szCs w:val="24"/>
        </w:rPr>
        <w:t xml:space="preserve">❑  </w:t>
      </w:r>
      <w:r>
        <w:rPr>
          <w:sz w:val="22"/>
          <w:szCs w:val="22"/>
        </w:rPr>
        <w:t xml:space="preserve">Under the 2024 reforms, 65 percent of civil penalties go to the Labor and Workforce Development Agency and 35 percent is distributed to the aggrieved employees, up from 25 percent before the reforms.</w:t>
      </w:r>
    </w:p>
    <w:p>
      <w:pPr>
        <w:pStyle w:val="Heading1"/>
        <w:spacing w:after="120" w:before="280"/>
      </w:pPr>
      <w:r>
        <w:t xml:space="preserve">/constructive-termination  (2)</w:t>
      </w:r>
    </w:p>
    <w:p>
      <w:pPr>
        <w:spacing w:after="140"/>
        <w:ind w:left="200" w:hanging="200"/>
      </w:pPr>
      <w:r>
        <w:rPr>
          <w:sz w:val="24"/>
          <w:szCs w:val="24"/>
        </w:rPr>
        <w:t xml:space="preserve">❑  </w:t>
      </w:r>
      <w:r>
        <w:rPr>
          <w:sz w:val="22"/>
          <w:szCs w:val="22"/>
        </w:rPr>
        <w:t xml:space="preserve">California courts, following the landmark case Turner v. Anheuser-Busch, require conditions that are unusually severe.</w:t>
      </w:r>
    </w:p>
    <w:p>
      <w:pPr>
        <w:spacing w:after="140"/>
        <w:ind w:left="200" w:hanging="200"/>
      </w:pPr>
      <w:r>
        <w:rPr>
          <w:sz w:val="24"/>
          <w:szCs w:val="24"/>
        </w:rPr>
        <w:t xml:space="preserve">❑  </w:t>
      </w:r>
      <w:r>
        <w:rPr>
          <w:sz w:val="22"/>
          <w:szCs w:val="22"/>
        </w:rPr>
        <w:t xml:space="preserve">Constructive Termination FAQs What is the legal standard for constructive termination in California? + California courts, following Turner v. Anheuser-Busch, Inc.</w:t>
      </w:r>
    </w:p>
    <w:p>
      <w:pPr>
        <w:pStyle w:val="Heading1"/>
        <w:spacing w:after="120" w:before="280"/>
      </w:pPr>
      <w:r>
        <w:t xml:space="preserve">/employment-contracts-severance  (4)</w:t>
      </w:r>
    </w:p>
    <w:p>
      <w:pPr>
        <w:spacing w:after="140"/>
        <w:ind w:left="200" w:hanging="200"/>
      </w:pPr>
      <w:r>
        <w:rPr>
          <w:sz w:val="24"/>
          <w:szCs w:val="24"/>
        </w:rPr>
        <w:t xml:space="preserve">❑  </w:t>
      </w:r>
      <w:r>
        <w:rPr>
          <w:sz w:val="22"/>
          <w:szCs w:val="22"/>
        </w:rPr>
        <w:t xml:space="preserve">These requirements include: A valid release of unknown claims requires an express Civil Code Section 1542 waiver.</w:t>
      </w:r>
    </w:p>
    <w:p>
      <w:pPr>
        <w:spacing w:after="140"/>
        <w:ind w:left="200" w:hanging="200"/>
      </w:pPr>
      <w:r>
        <w:rPr>
          <w:sz w:val="24"/>
          <w:szCs w:val="24"/>
        </w:rPr>
        <w:t xml:space="preserve">❑  </w:t>
      </w:r>
      <w:r>
        <w:rPr>
          <w:sz w:val="22"/>
          <w:szCs w:val="22"/>
        </w:rPr>
        <w:t xml:space="preserve">California Business and Professions Code Section 16600 voids nearly all non-compete agreements restricting a former employee from working for a competitor, with only a narrow exception tied to the sale of a business.</w:t>
      </w:r>
    </w:p>
    <w:p>
      <w:pPr>
        <w:spacing w:after="140"/>
        <w:ind w:left="200" w:hanging="200"/>
      </w:pPr>
      <w:r>
        <w:rPr>
          <w:sz w:val="24"/>
          <w:szCs w:val="24"/>
        </w:rPr>
        <w:t xml:space="preserve">❑  </w:t>
      </w:r>
      <w:r>
        <w:rPr>
          <w:sz w:val="22"/>
          <w:szCs w:val="22"/>
        </w:rPr>
        <w:t xml:space="preserve">What should a severance agreement include to be enforceable? + A severance agreement releasing legal claims generally needs a clear, express waiver of California Civil Code Section 1542 to cover unknown claims, must comply with the federal OWBPA's consideration and revocation period requirements for employees 40 or older, and should avoid non-disparagement or confidentiality language that violates California's Silenced No More Act by attempting to silence disclosure of unlawful conduct.</w:t>
      </w:r>
    </w:p>
    <w:p>
      <w:pPr>
        <w:spacing w:after="140"/>
        <w:ind w:left="200" w:hanging="200"/>
      </w:pPr>
      <w:r>
        <w:rPr>
          <w:sz w:val="24"/>
          <w:szCs w:val="24"/>
        </w:rPr>
        <w:t xml:space="preserve">❑  </w:t>
      </w:r>
      <w:r>
        <w:rPr>
          <w:sz w:val="22"/>
          <w:szCs w:val="22"/>
        </w:rPr>
        <w:t xml:space="preserve">Can we require a departing employee to sign a non-disparagement clause? + You can include a mutual non-disparagement clause, but California's Silenced No More Act (SB 331) prohibits using it to prevent an employee from disclosing information about unlawful acts in the workplace, including discrimination, harassment, or retaliation.</w:t>
      </w:r>
    </w:p>
    <w:p>
      <w:pPr>
        <w:pStyle w:val="Heading1"/>
        <w:spacing w:after="120" w:before="280"/>
      </w:pPr>
      <w:r>
        <w:t xml:space="preserve">/non-payment-disputes  (1)</w:t>
      </w:r>
    </w:p>
    <w:p>
      <w:pPr>
        <w:spacing w:after="140"/>
        <w:ind w:left="200" w:hanging="200"/>
      </w:pPr>
      <w:r>
        <w:rPr>
          <w:sz w:val="24"/>
          <w:szCs w:val="24"/>
        </w:rPr>
        <w:t xml:space="preserve">❑  </w:t>
      </w:r>
      <w:r>
        <w:rPr>
          <w:sz w:val="22"/>
          <w:szCs w:val="22"/>
        </w:rPr>
        <w:t xml:space="preserve">Even without a contractual interest provision, California law allows prejudgment interest, generally at 10% per year, on damages that are certain or capable of being made certain by calculation, such as a fixed unpaid invoice amount.</w:t>
      </w:r>
    </w:p>
    <w:p>
      <w:pPr>
        <w:pStyle w:val="Heading1"/>
        <w:spacing w:after="120" w:before="280"/>
      </w:pPr>
      <w:r>
        <w:t xml:space="preserve">/paga-claims  (12)</w:t>
      </w:r>
    </w:p>
    <w:p>
      <w:pPr>
        <w:spacing w:after="140"/>
        <w:ind w:left="200" w:hanging="200"/>
      </w:pPr>
      <w:r>
        <w:rPr>
          <w:sz w:val="24"/>
          <w:szCs w:val="24"/>
        </w:rPr>
        <w:t xml:space="preserve">❑  </w:t>
      </w:r>
      <w:r>
        <w:rPr>
          <w:sz w:val="22"/>
          <w:szCs w:val="22"/>
        </w:rPr>
        <w:t xml:space="preserve">Of the civil penalties collected, 65% go to the Labor and Workforce Development Agency (LWDA) and 35% are distributed to aggrieved employees.</w:t>
      </w:r>
    </w:p>
    <w:p>
      <w:pPr>
        <w:spacing w:after="140"/>
        <w:ind w:left="200" w:hanging="200"/>
      </w:pPr>
      <w:r>
        <w:rPr>
          <w:sz w:val="24"/>
          <w:szCs w:val="24"/>
        </w:rPr>
        <w:t xml:space="preserve">❑  </w:t>
      </w:r>
      <w:r>
        <w:rPr>
          <w:sz w:val="22"/>
          <w:szCs w:val="22"/>
        </w:rPr>
        <w:t xml:space="preserve">In 2024, California enacted significant PAGA reforms that changed penalty calculations, created new cure provisions, and increased the employee share of recovered penalties from 25% to 35%.</w:t>
      </w:r>
    </w:p>
    <w:p>
      <w:pPr>
        <w:spacing w:after="140"/>
        <w:ind w:left="200" w:hanging="200"/>
      </w:pPr>
      <w:r>
        <w:rPr>
          <w:sz w:val="24"/>
          <w:szCs w:val="24"/>
        </w:rPr>
        <w:t xml:space="preserve">❑  </w:t>
      </w:r>
      <w:r>
        <w:rPr>
          <w:sz w:val="22"/>
          <w:szCs w:val="22"/>
        </w:rPr>
        <w:t xml:space="preserve">The employee acts as a private attorney general, and 35% of recovered penalties go to the affected employees while 65% go to the Labor and Workforce Development Agency (LWDA).</w:t>
      </w:r>
    </w:p>
    <w:p>
      <w:pPr>
        <w:spacing w:after="140"/>
        <w:ind w:left="200" w:hanging="200"/>
      </w:pPr>
      <w:r>
        <w:rPr>
          <w:sz w:val="24"/>
          <w:szCs w:val="24"/>
        </w:rPr>
        <w:t xml:space="preserve">❑  </w:t>
      </w:r>
      <w:r>
        <w:rPr>
          <w:sz w:val="22"/>
          <w:szCs w:val="22"/>
        </w:rPr>
        <w:t xml:space="preserve">After the 2024 reforms made by AB 2288 and SB 92, the higher $200 tier applies only where a court or the agency determined within the preceding five years that the employer had an unlawful policy or practice that caused the violation, or where the conduct was malicious, fraudulent, or oppressive.</w:t>
      </w:r>
    </w:p>
    <w:p>
      <w:pPr>
        <w:spacing w:after="140"/>
        <w:ind w:left="200" w:hanging="200"/>
      </w:pPr>
      <w:r>
        <w:rPr>
          <w:sz w:val="24"/>
          <w:szCs w:val="24"/>
        </w:rPr>
        <w:t xml:space="preserve">❑  </w:t>
      </w:r>
      <w:r>
        <w:rPr>
          <w:sz w:val="22"/>
          <w:szCs w:val="22"/>
        </w:rPr>
        <w:t xml:space="preserve">Of the penalties collected, 65 percent go to the LWDA and 35 percent are distributed to aggrieved employees.</w:t>
      </w:r>
    </w:p>
    <w:p>
      <w:pPr>
        <w:spacing w:after="140"/>
        <w:ind w:left="200" w:hanging="200"/>
      </w:pPr>
      <w:r>
        <w:rPr>
          <w:sz w:val="24"/>
          <w:szCs w:val="24"/>
        </w:rPr>
        <w:t xml:space="preserve">❑  </w:t>
      </w:r>
      <w:r>
        <w:rPr>
          <w:sz w:val="22"/>
          <w:szCs w:val="22"/>
        </w:rPr>
        <w:t xml:space="preserve">For violations that already carry a civil penalty under the Labor Code, the PAGA penalty is 25 percent of that amount.</w:t>
      </w:r>
    </w:p>
    <w:p>
      <w:pPr>
        <w:spacing w:after="140"/>
        <w:ind w:left="200" w:hanging="200"/>
      </w:pPr>
      <w:r>
        <w:rPr>
          <w:sz w:val="24"/>
          <w:szCs w:val="24"/>
        </w:rPr>
        <w:t xml:space="preserve">❑  </w:t>
      </w:r>
      <w:r>
        <w:rPr>
          <w:sz w:val="22"/>
          <w:szCs w:val="22"/>
        </w:rPr>
        <w:t xml:space="preserve">Under the 2024 PAGA reforms (AB 2288 and SB 92), courts have more discretion to reduce penalties based on the employer's size, the nature of the violation, and whether the employer took good-faith steps to comply.</w:t>
      </w:r>
    </w:p>
    <w:p>
      <w:pPr>
        <w:spacing w:after="140"/>
        <w:ind w:left="200" w:hanging="200"/>
      </w:pPr>
      <w:r>
        <w:rPr>
          <w:sz w:val="24"/>
          <w:szCs w:val="24"/>
        </w:rPr>
        <w:t xml:space="preserve">❑  </w:t>
      </w:r>
      <w:r>
        <w:rPr>
          <w:sz w:val="22"/>
          <w:szCs w:val="22"/>
        </w:rPr>
        <w:t xml:space="preserve">What changed about PAGA in 2024 in California? + California's 2024 PAGA reforms (AB 2288 and SB 92, effective June 19, 2024) made significant changes.</w:t>
      </w:r>
    </w:p>
    <w:p>
      <w:pPr>
        <w:spacing w:after="140"/>
        <w:ind w:left="200" w:hanging="200"/>
      </w:pPr>
      <w:r>
        <w:rPr>
          <w:sz w:val="24"/>
          <w:szCs w:val="24"/>
        </w:rPr>
        <w:t xml:space="preserve">❑  </w:t>
      </w:r>
      <w:r>
        <w:rPr>
          <w:sz w:val="22"/>
          <w:szCs w:val="22"/>
        </w:rPr>
        <w:t xml:space="preserve">The employee share of PAGA penalties increased from 25% to 35%.</w:t>
      </w:r>
    </w:p>
    <w:p>
      <w:pPr>
        <w:spacing w:after="140"/>
        <w:ind w:left="200" w:hanging="200"/>
      </w:pPr>
      <w:r>
        <w:rPr>
          <w:sz w:val="24"/>
          <w:szCs w:val="24"/>
        </w:rPr>
        <w:t xml:space="preserve">❑  </w:t>
      </w:r>
      <w:r>
        <w:rPr>
          <w:sz w:val="22"/>
          <w:szCs w:val="22"/>
        </w:rPr>
        <w:t xml:space="preserve">The California Supreme Court rejected that reading in Adolph v. Uber Technologies, Inc.</w:t>
      </w:r>
    </w:p>
    <w:p>
      <w:pPr>
        <w:spacing w:after="140"/>
        <w:ind w:left="200" w:hanging="200"/>
      </w:pPr>
      <w:r>
        <w:rPr>
          <w:sz w:val="24"/>
          <w:szCs w:val="24"/>
        </w:rPr>
        <w:t xml:space="preserve">❑  </w:t>
      </w:r>
      <w:r>
        <w:rPr>
          <w:sz w:val="22"/>
          <w:szCs w:val="22"/>
        </w:rPr>
        <w:t xml:space="preserve">The LWDA then has 65 days to notify you whether it intends to investigate.</w:t>
      </w:r>
    </w:p>
    <w:p>
      <w:pPr>
        <w:spacing w:after="140"/>
        <w:ind w:left="200" w:hanging="200"/>
      </w:pPr>
      <w:r>
        <w:rPr>
          <w:sz w:val="24"/>
          <w:szCs w:val="24"/>
        </w:rPr>
        <w:t xml:space="preserve">❑  </w:t>
      </w:r>
      <w:r>
        <w:rPr>
          <w:sz w:val="22"/>
          <w:szCs w:val="22"/>
        </w:rPr>
        <w:t xml:space="preserve">If the LWDA declines to investigate or does not respond within 65 days, you may proceed with filing the PAGA lawsuit.</w:t>
      </w:r>
    </w:p>
    <w:p>
      <w:pPr>
        <w:pStyle w:val="Heading1"/>
        <w:spacing w:after="120" w:before="280"/>
      </w:pPr>
      <w:r>
        <w:t xml:space="preserve">/paga-notice-response  (6)</w:t>
      </w:r>
    </w:p>
    <w:p>
      <w:pPr>
        <w:spacing w:after="140"/>
        <w:ind w:left="200" w:hanging="200"/>
      </w:pPr>
      <w:r>
        <w:rPr>
          <w:sz w:val="24"/>
          <w:szCs w:val="24"/>
        </w:rPr>
        <w:t xml:space="preserve">❑  </w:t>
      </w:r>
      <w:r>
        <w:rPr>
          <w:sz w:val="22"/>
          <w:szCs w:val="22"/>
        </w:rPr>
        <w:t xml:space="preserve">The LWDA has 65 days to decide whether it will investigate the alleged violations.</w:t>
      </w:r>
    </w:p>
    <w:p>
      <w:pPr>
        <w:spacing w:after="140"/>
        <w:ind w:left="200" w:hanging="200"/>
      </w:pPr>
      <w:r>
        <w:rPr>
          <w:sz w:val="24"/>
          <w:szCs w:val="24"/>
        </w:rPr>
        <w:t xml:space="preserve">❑  </w:t>
      </w:r>
      <w:r>
        <w:rPr>
          <w:sz w:val="22"/>
          <w:szCs w:val="22"/>
        </w:rPr>
        <w:t xml:space="preserve">How much time do I have to respond? + The LWDA has 65 days from the date the notice is filed to decide whether it will investigate.</w:t>
      </w:r>
    </w:p>
    <w:p>
      <w:pPr>
        <w:spacing w:after="140"/>
        <w:ind w:left="200" w:hanging="200"/>
      </w:pPr>
      <w:r>
        <w:rPr>
          <w:sz w:val="24"/>
          <w:szCs w:val="24"/>
        </w:rPr>
        <w:t xml:space="preserve">❑  </w:t>
      </w:r>
      <w:r>
        <w:rPr>
          <w:sz w:val="22"/>
          <w:szCs w:val="22"/>
        </w:rPr>
        <w:t xml:space="preserve">What happens if I ignore a PAGA notice? + If your business does not respond and the LWDA does not act within 65 days, the employee is free to file a PAGA lawsuit seeking civil penalties for every affected pay period going back one year, calculated across all aggrieved employees.</w:t>
      </w:r>
    </w:p>
    <w:p>
      <w:pPr>
        <w:spacing w:after="140"/>
        <w:ind w:left="200" w:hanging="200"/>
      </w:pPr>
      <w:r>
        <w:rPr>
          <w:sz w:val="24"/>
          <w:szCs w:val="24"/>
        </w:rPr>
        <w:t xml:space="preserve">❑  </w:t>
      </w:r>
      <w:r>
        <w:rPr>
          <w:sz w:val="22"/>
          <w:szCs w:val="22"/>
        </w:rPr>
        <w:t xml:space="preserve">The reforms also created penalty caps: 15 percent where you had already taken all reasonable steps toward compliance before the notice, and 30 percent where you take them within 60 days of receiving it.</w:t>
      </w:r>
    </w:p>
    <w:p>
      <w:pPr>
        <w:spacing w:after="140"/>
        <w:ind w:left="200" w:hanging="200"/>
      </w:pPr>
      <w:r>
        <w:rPr>
          <w:sz w:val="24"/>
          <w:szCs w:val="24"/>
        </w:rPr>
        <w:t xml:space="preserve">❑  </w:t>
      </w:r>
      <w:r>
        <w:rPr>
          <w:sz w:val="22"/>
          <w:szCs w:val="22"/>
        </w:rPr>
        <w:t xml:space="preserve">There are further sub-caps of $25 for wage statement violations that caused no harm and $50 for violations lasting under 30 days or four consecutive pay periods.</w:t>
      </w:r>
    </w:p>
    <w:p>
      <w:pPr>
        <w:spacing w:after="140"/>
        <w:ind w:left="200" w:hanging="200"/>
      </w:pPr>
      <w:r>
        <w:rPr>
          <w:sz w:val="24"/>
          <w:szCs w:val="24"/>
        </w:rPr>
        <w:t xml:space="preserve">❑  </w:t>
      </w:r>
      <w:r>
        <w:rPr>
          <w:sz w:val="22"/>
          <w:szCs w:val="22"/>
        </w:rPr>
        <w:t xml:space="preserve">The California Supreme Court rejected that reading in Adolph v. Uber Technologies, Inc.</w:t>
      </w:r>
    </w:p>
    <w:p>
      <w:pPr>
        <w:pStyle w:val="Heading1"/>
        <w:spacing w:after="120" w:before="280"/>
      </w:pPr>
      <w:r>
        <w:t xml:space="preserve">/retaliation  (4)</w:t>
      </w:r>
    </w:p>
    <w:p>
      <w:pPr>
        <w:spacing w:after="140"/>
        <w:ind w:left="200" w:hanging="200"/>
      </w:pPr>
      <w:r>
        <w:rPr>
          <w:sz w:val="24"/>
          <w:szCs w:val="24"/>
        </w:rPr>
        <w:t xml:space="preserve">❑  </w:t>
      </w:r>
      <w:r>
        <w:rPr>
          <w:sz w:val="22"/>
          <w:szCs w:val="22"/>
        </w:rPr>
        <w:t xml:space="preserve">Blowing the whistle on illegal employer conduct under Labor Code Section 1102.</w:t>
      </w:r>
    </w:p>
    <w:p>
      <w:pPr>
        <w:spacing w:after="140"/>
        <w:ind w:left="200" w:hanging="200"/>
      </w:pPr>
      <w:r>
        <w:rPr>
          <w:sz w:val="24"/>
          <w:szCs w:val="24"/>
        </w:rPr>
        <w:t xml:space="preserve">❑  </w:t>
      </w:r>
      <w:r>
        <w:rPr>
          <w:sz w:val="22"/>
          <w:szCs w:val="22"/>
        </w:rPr>
        <w:t xml:space="preserve">California Labor Code Section 6310 and federal OSHA regulations both prohibit employers from retaliating against employees who report workplace safety violations or participate in safety investigations.</w:t>
      </w:r>
    </w:p>
    <w:p>
      <w:pPr>
        <w:spacing w:after="140"/>
        <w:ind w:left="200" w:hanging="200"/>
      </w:pPr>
      <w:r>
        <w:rPr>
          <w:sz w:val="24"/>
          <w:szCs w:val="24"/>
        </w:rPr>
        <w:t xml:space="preserve">❑  </w:t>
      </w:r>
      <w:r>
        <w:rPr>
          <w:sz w:val="22"/>
          <w:szCs w:val="22"/>
        </w:rPr>
        <w:t xml:space="preserve">For whistleblower retaliation under Labor Code section 1102.</w:t>
      </w:r>
    </w:p>
    <w:p>
      <w:pPr>
        <w:spacing w:after="140"/>
        <w:ind w:left="200" w:hanging="200"/>
      </w:pPr>
      <w:r>
        <w:rPr>
          <w:sz w:val="24"/>
          <w:szCs w:val="24"/>
        </w:rPr>
        <w:t xml:space="preserve">❑  </w:t>
      </w:r>
      <w:r>
        <w:rPr>
          <w:sz w:val="22"/>
          <w:szCs w:val="22"/>
        </w:rPr>
        <w:t xml:space="preserve">For retaliation tied to a workers' compensation claim under Labor Code section 132a, the deadline is much shorter, generally one year from the discriminatory act or the date of termination, and the petition is filed with the Workers' Compensation Appeals Board rather than in court.</w:t>
      </w:r>
    </w:p>
    <w:p>
      <w:pPr>
        <w:pStyle w:val="Heading1"/>
        <w:spacing w:after="120" w:before="280"/>
      </w:pPr>
      <w:r>
        <w:t xml:space="preserve">/retaliation-defense  (1)</w:t>
      </w:r>
    </w:p>
    <w:p>
      <w:pPr>
        <w:spacing w:after="140"/>
        <w:ind w:left="200" w:hanging="200"/>
      </w:pPr>
      <w:r>
        <w:rPr>
          <w:sz w:val="24"/>
          <w:szCs w:val="24"/>
        </w:rPr>
        <w:t xml:space="preserve">❑  </w:t>
      </w:r>
      <w:r>
        <w:rPr>
          <w:sz w:val="22"/>
          <w:szCs w:val="22"/>
        </w:rPr>
        <w:t xml:space="preserve">California law protects an unusually broad range of employee activity from retaliation, including internal HR complaints, reports to government agencies, workers' compensation claims, and reports of suspected legal violations under Labor Code Section 1102.</w:t>
      </w:r>
    </w:p>
    <w:p>
      <w:pPr>
        <w:pStyle w:val="Heading1"/>
        <w:spacing w:after="120" w:before="280"/>
      </w:pPr>
      <w:r>
        <w:t xml:space="preserve">/severance-negotiation  (7)</w:t>
      </w:r>
    </w:p>
    <w:p>
      <w:pPr>
        <w:spacing w:after="140"/>
        <w:ind w:left="200" w:hanging="200"/>
      </w:pPr>
      <w:r>
        <w:rPr>
          <w:sz w:val="24"/>
          <w:szCs w:val="24"/>
        </w:rPr>
        <w:t xml:space="preserve">❑  </w:t>
      </w:r>
      <w:r>
        <w:rPr>
          <w:sz w:val="22"/>
          <w:szCs w:val="22"/>
        </w:rPr>
        <w:t xml:space="preserve">These requirements include: A valid release of unknown claims must satisfy Civil Code Section 1542.</w:t>
      </w:r>
    </w:p>
    <w:p>
      <w:pPr>
        <w:spacing w:after="140"/>
        <w:ind w:left="200" w:hanging="200"/>
      </w:pPr>
      <w:r>
        <w:rPr>
          <w:sz w:val="24"/>
          <w:szCs w:val="24"/>
        </w:rPr>
        <w:t xml:space="preserve">❑  </w:t>
      </w:r>
      <w:r>
        <w:rPr>
          <w:sz w:val="22"/>
          <w:szCs w:val="22"/>
        </w:rPr>
        <w:t xml:space="preserve">Employees 40 or older are entitled to additional protections under the federal Older Workers Benefit Protection Act (OWBPA), including 21 days to consider the agreement and 7 days to revoke after signing.</w:t>
      </w:r>
    </w:p>
    <w:p>
      <w:pPr>
        <w:spacing w:after="140"/>
        <w:ind w:left="200" w:hanging="200"/>
      </w:pPr>
      <w:r>
        <w:rPr>
          <w:sz w:val="24"/>
          <w:szCs w:val="24"/>
        </w:rPr>
        <w:t xml:space="preserve">❑  </w:t>
      </w:r>
      <w:r>
        <w:rPr>
          <w:sz w:val="22"/>
          <w:szCs w:val="22"/>
        </w:rPr>
        <w:t xml:space="preserve">California's Silenced No More Act (SB 331) restricts employers from using non-disparagement or confidentiality clauses to silence employees about unlawful acts in the workplace.</w:t>
      </w:r>
    </w:p>
    <w:p>
      <w:pPr>
        <w:spacing w:after="140"/>
        <w:ind w:left="200" w:hanging="200"/>
      </w:pPr>
      <w:r>
        <w:rPr>
          <w:sz w:val="24"/>
          <w:szCs w:val="24"/>
        </w:rPr>
        <w:t xml:space="preserve">❑  </w:t>
      </w:r>
      <w:r>
        <w:rPr>
          <w:sz w:val="22"/>
          <w:szCs w:val="22"/>
        </w:rPr>
        <w:t xml:space="preserve">How long do I have to review a severance agreement in California? + If you are 40 or older, federal law (the Older Workers Benefit Protection Act) requires your employer to give you at least 21 days to consider an individual severance agreement, plus 7 days to revoke your signature after signing.</w:t>
      </w:r>
    </w:p>
    <w:p>
      <w:pPr>
        <w:spacing w:after="140"/>
        <w:ind w:left="200" w:hanging="200"/>
      </w:pPr>
      <w:r>
        <w:rPr>
          <w:sz w:val="24"/>
          <w:szCs w:val="24"/>
        </w:rPr>
        <w:t xml:space="preserve">❑  </w:t>
      </w:r>
      <w:r>
        <w:rPr>
          <w:sz w:val="22"/>
          <w:szCs w:val="22"/>
        </w:rPr>
        <w:t xml:space="preserve">What is a Civil Code Section 1542 waiver? + California Civil Code Section 1542 protects individuals from unknowingly releasing claims they don't know about at the time they sign a release.</w:t>
      </w:r>
    </w:p>
    <w:p>
      <w:pPr>
        <w:spacing w:after="140"/>
        <w:ind w:left="200" w:hanging="200"/>
      </w:pPr>
      <w:r>
        <w:rPr>
          <w:sz w:val="24"/>
          <w:szCs w:val="24"/>
        </w:rPr>
        <w:t xml:space="preserve">❑  </w:t>
      </w:r>
      <w:r>
        <w:rPr>
          <w:sz w:val="22"/>
          <w:szCs w:val="22"/>
        </w:rPr>
        <w:t xml:space="preserve">For a severance agreement to waive claims you are not yet aware of, it must include specific language expressly waiving your Section 1542 protections.</w:t>
      </w:r>
    </w:p>
    <w:p>
      <w:pPr>
        <w:spacing w:after="140"/>
        <w:ind w:left="200" w:hanging="200"/>
      </w:pPr>
      <w:r>
        <w:rPr>
          <w:sz w:val="24"/>
          <w:szCs w:val="24"/>
        </w:rPr>
        <w:t xml:space="preserve">❑  </w:t>
      </w:r>
      <w:r>
        <w:rPr>
          <w:sz w:val="22"/>
          <w:szCs w:val="22"/>
        </w:rPr>
        <w:t xml:space="preserve">California's Silenced No More Act (SB 331), effective 2022, prohibits employers from using non-disparagement or confidentiality provisions in severance agreements to prevent employees from disclosing information about unlawful workplace acts, including discrimination, harassment, and retaliation.</w:t>
      </w:r>
    </w:p>
    <w:p>
      <w:pPr>
        <w:pStyle w:val="Heading1"/>
        <w:spacing w:after="120" w:before="280"/>
      </w:pPr>
      <w:r>
        <w:t xml:space="preserve">/sexual-harassment  (1)</w:t>
      </w:r>
    </w:p>
    <w:p>
      <w:pPr>
        <w:spacing w:after="140"/>
        <w:ind w:left="200" w:hanging="200"/>
      </w:pPr>
      <w:r>
        <w:rPr>
          <w:sz w:val="24"/>
          <w:szCs w:val="24"/>
        </w:rPr>
        <w:t xml:space="preserve">❑  </w:t>
      </w:r>
      <w:r>
        <w:rPr>
          <w:sz w:val="22"/>
          <w:szCs w:val="22"/>
        </w:rPr>
        <w:t xml:space="preserve">That window was extended from one year by AB 9, effective January 1, 2020.</w:t>
      </w:r>
    </w:p>
    <w:p>
      <w:pPr>
        <w:pStyle w:val="Heading1"/>
        <w:spacing w:after="120" w:before="280"/>
      </w:pPr>
      <w:r>
        <w:t xml:space="preserve">/unpaid-wages  (5)</w:t>
      </w:r>
    </w:p>
    <w:p>
      <w:pPr>
        <w:spacing w:after="140"/>
        <w:ind w:left="200" w:hanging="200"/>
      </w:pPr>
      <w:r>
        <w:rPr>
          <w:sz w:val="24"/>
          <w:szCs w:val="24"/>
        </w:rPr>
        <w:t xml:space="preserve">❑  </w:t>
      </w:r>
      <w:r>
        <w:rPr>
          <w:sz w:val="22"/>
          <w:szCs w:val="22"/>
        </w:rPr>
        <w:t xml:space="preserve">Employees can earn daily overtime even without working 40 hours in a week.</w:t>
      </w:r>
    </w:p>
    <w:p>
      <w:pPr>
        <w:spacing w:after="140"/>
        <w:ind w:left="200" w:hanging="200"/>
      </w:pPr>
      <w:r>
        <w:rPr>
          <w:sz w:val="24"/>
          <w:szCs w:val="24"/>
        </w:rPr>
        <w:t xml:space="preserve">❑  </w:t>
      </w:r>
      <w:r>
        <w:rPr>
          <w:sz w:val="22"/>
          <w:szCs w:val="22"/>
        </w:rPr>
        <w:t xml:space="preserve">This means California employees can earn overtime on a daily basis even if they work fewer than 40 hours in the week.</w:t>
      </w:r>
    </w:p>
    <w:p>
      <w:pPr>
        <w:spacing w:after="140"/>
        <w:ind w:left="200" w:hanging="200"/>
      </w:pPr>
      <w:r>
        <w:rPr>
          <w:sz w:val="24"/>
          <w:szCs w:val="24"/>
        </w:rPr>
        <w:t xml:space="preserve">❑  </w:t>
      </w:r>
      <w:r>
        <w:rPr>
          <w:sz w:val="22"/>
          <w:szCs w:val="22"/>
        </w:rPr>
        <w:t xml:space="preserve">5x their regular rate for all hours worked over 8 in a single workday and for the first 8 hours on the 7th consecutive day of a workweek.</w:t>
      </w:r>
    </w:p>
    <w:p>
      <w:pPr>
        <w:spacing w:after="140"/>
        <w:ind w:left="200" w:hanging="200"/>
      </w:pPr>
      <w:r>
        <w:rPr>
          <w:sz w:val="24"/>
          <w:szCs w:val="24"/>
        </w:rPr>
        <w:t xml:space="preserve">❑  </w:t>
      </w:r>
      <w:r>
        <w:rPr>
          <w:sz w:val="22"/>
          <w:szCs w:val="22"/>
        </w:rPr>
        <w:t xml:space="preserve">California's white-collar exemptions (executive, administrative, professional) require that you: (1) earn a monthly salary of at least twice the state minimum wage for full-time employment, and (2) primarily perform exempt duties (management, independent judgment, or professional work) more than 50% of your working time.</w:t>
      </w:r>
    </w:p>
    <w:p>
      <w:pPr>
        <w:spacing w:after="140"/>
        <w:ind w:left="200" w:hanging="200"/>
      </w:pPr>
      <w:r>
        <w:rPr>
          <w:sz w:val="24"/>
          <w:szCs w:val="24"/>
        </w:rPr>
        <w:t xml:space="preserve">❑  </w:t>
      </w:r>
      <w:r>
        <w:rPr>
          <w:sz w:val="22"/>
          <w:szCs w:val="22"/>
        </w:rPr>
        <w:t xml:space="preserve">Non-exempt employees are entitled to a 30-minute unpaid meal break for shifts over 5 hours, a second meal break for shifts over 10 hours, and a 10-minute paid rest break for every 4 hours worked.</w:t>
      </w:r>
    </w:p>
    <w:p>
      <w:pPr>
        <w:pStyle w:val="Heading1"/>
        <w:spacing w:after="120" w:before="280"/>
      </w:pPr>
      <w:r>
        <w:t xml:space="preserve">/will-contests  (1)</w:t>
      </w:r>
    </w:p>
    <w:p>
      <w:pPr>
        <w:spacing w:after="140"/>
        <w:ind w:left="200" w:hanging="200"/>
      </w:pPr>
      <w:r>
        <w:rPr>
          <w:sz w:val="24"/>
          <w:szCs w:val="24"/>
        </w:rPr>
        <w:t xml:space="preserve">❑  </w:t>
      </w:r>
      <w:r>
        <w:rPr>
          <w:sz w:val="22"/>
          <w:szCs w:val="22"/>
        </w:rPr>
        <w:t xml:space="preserve">Once the court admits the will, California law gives interested parties only 120 days to file a contest, making prompt action essential once you learn of a will you believe is invalid.</w:t>
      </w:r>
    </w:p>
    <w:p>
      <w:pPr>
        <w:pStyle w:val="Heading1"/>
        <w:spacing w:after="120" w:before="280"/>
      </w:pPr>
      <w:r>
        <w:t xml:space="preserve">/workplace-discrimination  (2)</w:t>
      </w:r>
    </w:p>
    <w:p>
      <w:pPr>
        <w:spacing w:after="140"/>
        <w:ind w:left="200" w:hanging="200"/>
      </w:pPr>
      <w:r>
        <w:rPr>
          <w:sz w:val="24"/>
          <w:szCs w:val="24"/>
        </w:rPr>
        <w:t xml:space="preserve">❑  </w:t>
      </w:r>
      <w:r>
        <w:rPr>
          <w:sz w:val="22"/>
          <w:szCs w:val="22"/>
        </w:rPr>
        <w:t xml:space="preserve">California's FEHA protections are broader than federal law and apply to employers with 5 or more employees.</w:t>
      </w:r>
    </w:p>
    <w:p>
      <w:pPr>
        <w:spacing w:after="140"/>
        <w:ind w:left="200" w:hanging="200"/>
      </w:pPr>
      <w:r>
        <w:rPr>
          <w:sz w:val="24"/>
          <w:szCs w:val="24"/>
        </w:rPr>
        <w:t xml:space="preserve">❑  </w:t>
      </w:r>
      <w:r>
        <w:rPr>
          <w:sz w:val="22"/>
          <w:szCs w:val="22"/>
        </w:rPr>
        <w:t xml:space="preserve">If you intend to file a federal claim with the EEOC instead, the deadline is 300 days.</w:t>
      </w:r>
    </w:p>
    <w:p>
      <w:pPr>
        <w:pStyle w:val="Heading1"/>
        <w:spacing w:after="120" w:before="280"/>
      </w:pPr>
      <w:r>
        <w:t xml:space="preserve">/wrongful-termination  (3)</w:t>
      </w:r>
    </w:p>
    <w:p>
      <w:pPr>
        <w:spacing w:after="140"/>
        <w:ind w:left="200" w:hanging="200"/>
      </w:pPr>
      <w:r>
        <w:rPr>
          <w:sz w:val="24"/>
          <w:szCs w:val="24"/>
        </w:rPr>
        <w:t xml:space="preserve">❑  </w:t>
      </w:r>
      <w:r>
        <w:rPr>
          <w:sz w:val="22"/>
          <w:szCs w:val="22"/>
        </w:rPr>
        <w:t xml:space="preserve">Under the federal Older Workers Benefit Protection Act, an employee 40 or older must be given at least 21 days to consider an individual severance agreement and 7 days to revoke after signing.</w:t>
      </w:r>
    </w:p>
    <w:p>
      <w:pPr>
        <w:spacing w:after="140"/>
        <w:ind w:left="200" w:hanging="200"/>
      </w:pPr>
      <w:r>
        <w:rPr>
          <w:sz w:val="24"/>
          <w:szCs w:val="24"/>
        </w:rPr>
        <w:t xml:space="preserve">❑  </w:t>
      </w:r>
      <w:r>
        <w:rPr>
          <w:sz w:val="22"/>
          <w:szCs w:val="22"/>
        </w:rPr>
        <w:t xml:space="preserve">For a group layoff or exit incentive program, the consideration period is 45 days and the employer must disclose information about the group of employees selected.</w:t>
      </w:r>
    </w:p>
    <w:p>
      <w:pPr>
        <w:spacing w:after="140"/>
        <w:ind w:left="200" w:hanging="200"/>
      </w:pPr>
      <w:r>
        <w:rPr>
          <w:sz w:val="24"/>
          <w:szCs w:val="24"/>
        </w:rPr>
        <w:t xml:space="preserve">❑  </w:t>
      </w:r>
      <w:r>
        <w:rPr>
          <w:sz w:val="22"/>
          <w:szCs w:val="22"/>
        </w:rPr>
        <w:t xml:space="preserve">Separately, a release of FEHA claims must be knowing and voluntary, and a release of unknown claims requires an express Civil Code section 1542 waiver.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2026-08-11T22:26:03.928Z</dcterms:created>
  <dcterms:modified xsi:type="dcterms:W3CDTF">2026-08-11T22:26:03.929Z</dcterms:modified>
</cp:coreProperties>
</file>

<file path=docProps/custom.xml><?xml version="1.0" encoding="utf-8"?>
<Properties xmlns="http://schemas.openxmlformats.org/officeDocument/2006/custom-properties" xmlns:vt="http://schemas.openxmlformats.org/officeDocument/2006/docPropsVTypes"/>
</file>