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 de pruebas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Cachai: </w:t>
      </w:r>
      <w:r w:rsidDel="00000000" w:rsidR="00000000" w:rsidRPr="00000000">
        <w:rPr>
          <w:sz w:val="24"/>
          <w:szCs w:val="24"/>
          <w:rtl w:val="0"/>
        </w:rPr>
        <w:t xml:space="preserve">Plataforma de microconsultas en vivo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 </w:t>
      </w:r>
      <w:r w:rsidDel="00000000" w:rsidR="00000000" w:rsidRPr="00000000">
        <w:rPr>
          <w:sz w:val="24"/>
          <w:szCs w:val="24"/>
          <w:rtl w:val="0"/>
        </w:rPr>
        <w:t xml:space="preserve">Duoc UC — Escuela de Informática y Telecomunicaciones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carrera: </w:t>
      </w:r>
      <w:r w:rsidDel="00000000" w:rsidR="00000000" w:rsidRPr="00000000">
        <w:rPr>
          <w:sz w:val="24"/>
          <w:szCs w:val="24"/>
          <w:rtl w:val="0"/>
        </w:rPr>
        <w:t xml:space="preserve">Ingeniería en Informática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sz w:val="24"/>
          <w:szCs w:val="24"/>
          <w:rtl w:val="0"/>
        </w:rPr>
        <w:t xml:space="preserve">Capstone (APT122)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</w:t>
      </w:r>
      <w:r w:rsidDel="00000000" w:rsidR="00000000" w:rsidRPr="00000000">
        <w:rPr>
          <w:sz w:val="24"/>
          <w:szCs w:val="24"/>
          <w:rtl w:val="0"/>
        </w:rPr>
        <w:t xml:space="preserve">Carlos Meza y Francisco Bascour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sz w:val="24"/>
          <w:szCs w:val="24"/>
          <w:rtl w:val="0"/>
        </w:rPr>
        <w:t xml:space="preserve">Karla Marilyn Roco Ramirez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Octubre 2026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 </w:t>
      </w:r>
      <w:r w:rsidDel="00000000" w:rsidR="00000000" w:rsidRPr="00000000">
        <w:rPr>
          <w:sz w:val="24"/>
          <w:szCs w:val="24"/>
          <w:rtl w:val="0"/>
        </w:rPr>
        <w:t xml:space="preserve">Versión 1 incluye hasta el cierre del sprint 4. Se actualiza en cada entrega sumativa con nuevas métricas de ejecución.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de forma automatizada que cada regla de negocio, restricción de integridad y flujo transaccional se cumpla cabalmente, evitando regresiones de código. Al gestionar una economía interna basada en tokens sea duplicado, retenido indebidamente o eliminado fuera de las políticas del sistema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Tipos de pruebas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685"/>
        <w:gridCol w:w="1785"/>
        <w:gridCol w:w="2235"/>
        <w:tblGridChange w:id="0">
          <w:tblGrid>
            <w:gridCol w:w="2235"/>
            <w:gridCol w:w="2685"/>
            <w:gridCol w:w="178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 comprueba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Herramientas utilizada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 actual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Funciones de dominio, reglas en servicios y constraints de modelos sobre la BD de 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 pruebas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12 adicionales en la rama del motor de tokens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HTTP completo: esquemas Pydantic, dependencias de autenticación, capas de servicio y persistencia en base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Pytest con TestClient de FastAPI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pruebas en Main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Tiempos de respuesta y capacidad de atención bajo concurrencia (meta RNF-07).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Locust / K6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 para ejecución en Sprints 6 y 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seguro de credenciales, protección contra inyección y análisis estático de vulnerabilidades.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Pytest, Bandit, pip-audit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funcionales cubiertos; escaneos estáticos programados para Sprints 6 y 7. </w:t>
            </w:r>
          </w:p>
        </w:tc>
      </w:tr>
    </w:tbl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Entorno y estrategia de ejecución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aislada:</w:t>
      </w:r>
      <w:r w:rsidDel="00000000" w:rsidR="00000000" w:rsidRPr="00000000">
        <w:rPr>
          <w:sz w:val="24"/>
          <w:szCs w:val="24"/>
          <w:rtl w:val="0"/>
        </w:rPr>
        <w:t xml:space="preserve"> Las pruebas se ejecutan contra la base de datos </w:t>
      </w:r>
      <w:r w:rsidDel="00000000" w:rsidR="00000000" w:rsidRPr="00000000">
        <w:rPr>
          <w:sz w:val="24"/>
          <w:szCs w:val="24"/>
          <w:rtl w:val="0"/>
        </w:rPr>
        <w:t xml:space="preserve">cachai_test</w:t>
      </w:r>
      <w:r w:rsidDel="00000000" w:rsidR="00000000" w:rsidRPr="00000000">
        <w:rPr>
          <w:sz w:val="24"/>
          <w:szCs w:val="24"/>
          <w:rtl w:val="0"/>
        </w:rPr>
        <w:t xml:space="preserve">, desacoplada del entorno de desarrollo local. El esquema de tablas se genera al iniciar la sesión de pruebas.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Aislamiento transaccional:</w:t>
      </w:r>
      <w:r w:rsidDel="00000000" w:rsidR="00000000" w:rsidRPr="00000000">
        <w:rPr>
          <w:sz w:val="24"/>
          <w:szCs w:val="24"/>
          <w:rtl w:val="0"/>
        </w:rPr>
        <w:t xml:space="preserve"> Cada prueba corre dentro de una transacción que realiza un rollback automático al finalizar (</w:t>
      </w:r>
      <w:r w:rsidDel="00000000" w:rsidR="00000000" w:rsidRPr="00000000">
        <w:rPr>
          <w:sz w:val="24"/>
          <w:szCs w:val="24"/>
          <w:rtl w:val="0"/>
        </w:rPr>
        <w:t xml:space="preserve">db.rollback()</w:t>
      </w:r>
      <w:r w:rsidDel="00000000" w:rsidR="00000000" w:rsidRPr="00000000">
        <w:rPr>
          <w:sz w:val="24"/>
          <w:szCs w:val="24"/>
          <w:rtl w:val="0"/>
        </w:rPr>
        <w:t xml:space="preserve">), garantizando independencia y consistencia de datos.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Simulación de servicios externos:</w:t>
      </w:r>
      <w:r w:rsidDel="00000000" w:rsidR="00000000" w:rsidRPr="00000000">
        <w:rPr>
          <w:sz w:val="24"/>
          <w:szCs w:val="24"/>
          <w:rtl w:val="0"/>
        </w:rPr>
        <w:t xml:space="preserve"> El proceso de verificación biométrica de identidad utiliza un adaptador simulado en memoria, permitiendo evaluar el flujo sin dependencias de red ni costos asociados a proveedores cloud (AWS Rekognition).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de migraciones:</w:t>
      </w:r>
      <w:r w:rsidDel="00000000" w:rsidR="00000000" w:rsidRPr="00000000">
        <w:rPr>
          <w:sz w:val="24"/>
          <w:szCs w:val="24"/>
          <w:rtl w:val="0"/>
        </w:rPr>
        <w:t xml:space="preserve"> Debido a que Pytest crea las tablas a partir de los modelos de SQLAlchemy, el ciclo de vida de las migraciones se prueba de forma independiente: se aplica </w:t>
      </w:r>
      <w:r w:rsidDel="00000000" w:rsidR="00000000" w:rsidRPr="00000000">
        <w:rPr>
          <w:sz w:val="24"/>
          <w:szCs w:val="24"/>
          <w:rtl w:val="0"/>
        </w:rPr>
        <w:t xml:space="preserve">alembic upgrade head</w:t>
      </w:r>
      <w:r w:rsidDel="00000000" w:rsidR="00000000" w:rsidRPr="00000000">
        <w:rPr>
          <w:sz w:val="24"/>
          <w:szCs w:val="24"/>
          <w:rtl w:val="0"/>
        </w:rPr>
        <w:t xml:space="preserve">, se revierte con </w:t>
      </w:r>
      <w:r w:rsidDel="00000000" w:rsidR="00000000" w:rsidRPr="00000000">
        <w:rPr>
          <w:sz w:val="24"/>
          <w:szCs w:val="24"/>
          <w:rtl w:val="0"/>
        </w:rPr>
        <w:t xml:space="preserve">alembic downgrade -1</w:t>
      </w:r>
      <w:r w:rsidDel="00000000" w:rsidR="00000000" w:rsidRPr="00000000">
        <w:rPr>
          <w:sz w:val="24"/>
          <w:szCs w:val="24"/>
          <w:rtl w:val="0"/>
        </w:rPr>
        <w:t xml:space="preserve"> y se re-aplica para comprobar reversibilidad total sin colisiones de heads.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 de ejecución (Sin bloqueos de windows):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backend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-m pytest</w:t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 y definición de terminado (DoD)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un incremento sea integrado a la rama principal debe cumplir estos 4 puntos: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100% de las pruebas automatizadas debe concluir en verde (Todo pasado).</w:t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funcionalidad o endpoint nuevo debe incluir su correspondiente archivo o función de prueba</w:t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 migración de datos en alembic debe ser lineal, reversible y dejar una sola cabeza activa (Eso se revisa con el comando Alembic heads).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Cero inclusión de archivos de entorno (.env) o credenciales en el repositorio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Inventario de pruebas automatizadas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695"/>
        <w:gridCol w:w="1305"/>
        <w:gridCol w:w="1410"/>
        <w:gridCol w:w="1590"/>
        <w:gridCol w:w="1500"/>
        <w:tblGridChange w:id="0">
          <w:tblGrid>
            <w:gridCol w:w="1500"/>
            <w:gridCol w:w="1695"/>
            <w:gridCol w:w="1305"/>
            <w:gridCol w:w="1410"/>
            <w:gridCol w:w="159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Archivo de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de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cubiertos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test_salud.py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Diagnóstico y estado del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test_auth.py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Autenticación, registro y sesiones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 a HU-03, RNF-01, RNF-02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test_parametros.py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Parámetros del sistema en base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HU-13, RNF-13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test_lote_tokens.py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y persistencia de lotes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test_verificacion.py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de identidad y biometría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HU-04, RNF-03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test_temas.py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jerárquico de 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test_habilidades.py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Publicación y tarifas de habilidades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HU-07, HU-08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test_perfiles.py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Perfil público y renderizado de QR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HU-09, HU-10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Backend en 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test_motor_tokens.py (En desarrollo)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 transaccional de saldo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HU-14, RNF-04, RNF-05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cliente.test.js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App.test.jsx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(rutas, sesión y API)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RNF-01, Interfaz base </w:t>
            </w:r>
          </w:p>
        </w:tc>
      </w:tr>
    </w:tbl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Desglose de casos cubiertos por modulo:</w:t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test_auth.py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Registro exitoso; denegación por correo ya existente (código HTTP 409); sanitización y normalización de correo a minúsculas; validación de longitud mínima de contraseña; obligatoriedad de dígitos en clave; bloqueo ante falta de aceptación de términos; exigencia de consentimiento de grabación; omisión de contraseñas en respuestas JSON; login con credenciales válidas; rechazo por contraseña errónea (401); rechazo por cuenta no encontrada (401); protección de ruta </w:t>
      </w:r>
      <w:r w:rsidDel="00000000" w:rsidR="00000000" w:rsidRPr="00000000">
        <w:rPr>
          <w:sz w:val="24"/>
          <w:szCs w:val="24"/>
          <w:rtl w:val="0"/>
        </w:rPr>
        <w:t xml:space="preserve">/auth/yo</w:t>
      </w:r>
      <w:r w:rsidDel="00000000" w:rsidR="00000000" w:rsidRPr="00000000">
        <w:rPr>
          <w:sz w:val="24"/>
          <w:szCs w:val="24"/>
          <w:rtl w:val="0"/>
        </w:rPr>
        <w:t xml:space="preserve"> con token válido, ausente o manipulado.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test_verificacion.py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Comprobación de que la base de datos no almacena imágenes ni RUN en texto plano; normalización de formato de documento para hash; aprobación de coincidencias biométricas válidas; bloqueo de doble verificación sobre una misma cuenta; unicidad de cédula (un RUN no puede pertenecer a dos cuentas distintas); rechazo de subida de archivos que no sean imágenes; validación de que el endpoint no expone el hash resultante; bloqueo de trámite si no hay consentimiento biométrico previo.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test_temas.py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Asignación automática de nivel jerárquico según el nodo padre; bloqueo de creación de cuartos niveles; validación de existencia del padre; restricción de nombres duplicados dentro de la misma rama; unicidad de categorías raíz; persistencia limpia del semillero sin duplicaciones; anidación estructurada del árbol excluyendo nodos inactivos; disponibilidad pública del catálogo.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test_habilidades.py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Restricción para ofrecer únicamente temas pertenecientes al tercer nivel del catálogo; rechazo al intentar publicar en nodos generales; validación de precio mínimo mayor a cero; validación contra el parámetro de precio máximo del sistema; control de no duplicidad de una temática por tutor; prohibición de modificación por usuarios no propietarios; requerimiento de identidad verificada para publicar; cambio de estado para pausar o reactivar servicios.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test_perfiles.py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Validación de formato de enlace personalizado mediante expresiones regulares; rechazo de enlaces en uso; consulta de perfil mediante identificador UUID o alias; exclusión de perfiles de cuentas suspendidas; generación de imagen binaria PNG para el código QR; actualización y lectura mediante API REST; respuesta con cabeceras </w:t>
      </w:r>
      <w:r w:rsidDel="00000000" w:rsidR="00000000" w:rsidRPr="00000000">
        <w:rPr>
          <w:sz w:val="24"/>
          <w:szCs w:val="24"/>
          <w:rtl w:val="0"/>
        </w:rPr>
        <w:t xml:space="preserve">image/png</w:t>
      </w:r>
      <w:r w:rsidDel="00000000" w:rsidR="00000000" w:rsidRPr="00000000">
        <w:rPr>
          <w:sz w:val="24"/>
          <w:szCs w:val="24"/>
          <w:rtl w:val="0"/>
        </w:rPr>
        <w:t xml:space="preserve"> correctas.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test_motor_tokens.py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Cómputo de saldo consolidado considerando únicamente lotes vigentes; consulta segregada de saldo gratuito vs. pagado; aplicación de política FIFO basada en fecha de caducidad; regla de desempate consumiendo saldo gratuito prioritariamente; soporte de consumos divididos entre múltiples lotes; protección ante saldo insuficiente cancelando toda la operación; abono de lote por consultoría impartida al tutor; devolución íntegra al lote de origen ante reembolsos; reasignación a lote nuevo en caso de caducidad del lote original; garantía de ejecución única por retención; verificación estricta de suma cero en sesiones.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Casos de seguridad y privacidad validados</w:t>
      </w:r>
    </w:p>
    <w:p w:rsidR="00000000" w:rsidDel="00000000" w:rsidP="00000000" w:rsidRDefault="00000000" w:rsidRPr="00000000" w14:paraId="000000C2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Vector de riesgo evaluado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de pruebas que asegura el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Exposición accidental de credenciales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test_la_respuesta_nunca_expone_la_contrasena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no autorizado o tokens forjados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test_yo_sin_token_devuelve_401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test_yo_con_token_invalido_devuelve_401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 no autorizado de biometría (Ley 21.719)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test_la_tabla_no_guarda_imagenes_ni_documento_en_claro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Inyeccion de archivos maliciosos vía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test_el_endpoint_rechaza_archivos_que_no_son_imagen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Fuga de identificadores personales en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test_el_endpoint_no_devuelve_el_hash_del_documento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Modificación no autorizada de recursos de terceros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test_nadie_edita_la_habilidad_de_otro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Condición de carrera/ Doble gasto de saldo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 de concurrencia pesimista con sesiones simultáneas en PostgreSQL </w:t>
            </w:r>
          </w:p>
        </w:tc>
      </w:tr>
    </w:tbl>
    <w:p w:rsidR="00000000" w:rsidDel="00000000" w:rsidP="00000000" w:rsidRDefault="00000000" w:rsidRPr="00000000" w14:paraId="000000D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 de incorporación por Sprints</w:t>
      </w:r>
    </w:p>
    <w:p w:rsidR="00000000" w:rsidDel="00000000" w:rsidP="00000000" w:rsidRDefault="00000000" w:rsidRPr="00000000" w14:paraId="000000D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5: </w:t>
      </w:r>
      <w:r w:rsidDel="00000000" w:rsidR="00000000" w:rsidRPr="00000000">
        <w:rPr>
          <w:sz w:val="24"/>
          <w:szCs w:val="24"/>
          <w:rtl w:val="0"/>
        </w:rPr>
        <w:t xml:space="preserve">Suite de pruebas para procesos batch (Entrega semanal y caducidad de lotes), retención de tokens en solicitudes de microconsulta y consolidación de las 15 pruebas de interfaz en el pipeline</w:t>
      </w:r>
    </w:p>
    <w:p w:rsidR="00000000" w:rsidDel="00000000" w:rsidP="00000000" w:rsidRDefault="00000000" w:rsidRPr="00000000" w14:paraId="000000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6: </w:t>
      </w:r>
      <w:r w:rsidDel="00000000" w:rsidR="00000000" w:rsidRPr="00000000">
        <w:rPr>
          <w:sz w:val="24"/>
          <w:szCs w:val="24"/>
          <w:rtl w:val="0"/>
        </w:rPr>
        <w:t xml:space="preserve">Pruebas de tarificación por bloques de 15 min, manejo de pausas por desconexión en llamadas y ciclo de vida de grabaciones. Integración de escaneo con bandit (Análisis estático de seguridad) y Pip-audit (Vulnerabilidad en dependencias) 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7: </w:t>
      </w:r>
      <w:r w:rsidDel="00000000" w:rsidR="00000000" w:rsidRPr="00000000">
        <w:rPr>
          <w:sz w:val="24"/>
          <w:szCs w:val="24"/>
          <w:rtl w:val="0"/>
        </w:rPr>
        <w:t xml:space="preserve">Batería de pruebas para el módulo de reportes, sanciones y bloqueos. Pruebas de integracion E2E completas y benchmark de estrés bajo carga concurrente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Evidencias de ejecución (Capturas de pantalla)</w:t>
      </w:r>
    </w:p>
    <w:p w:rsidR="00000000" w:rsidDel="00000000" w:rsidP="00000000" w:rsidRDefault="00000000" w:rsidRPr="00000000" w14:paraId="000000D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 1: Ejecución completa de pruebas de backend (Pytest)</w:t>
      </w:r>
    </w:p>
    <w:p w:rsidR="00000000" w:rsidDel="00000000" w:rsidP="00000000" w:rsidRDefault="00000000" w:rsidRPr="00000000" w14:paraId="000000D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Comando:</w:t>
      </w:r>
      <w:r w:rsidDel="00000000" w:rsidR="00000000" w:rsidRPr="00000000">
        <w:rPr>
          <w:sz w:val="24"/>
          <w:szCs w:val="24"/>
          <w:rtl w:val="0"/>
        </w:rPr>
        <w:t xml:space="preserve"> Python -m Pytest</w:t>
      </w:r>
    </w:p>
    <w:p w:rsidR="00000000" w:rsidDel="00000000" w:rsidP="00000000" w:rsidRDefault="00000000" w:rsidRPr="00000000" w14:paraId="000000E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69 pruebas aprobadas(O fallos)</w:t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4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 2: Ejecucion de pruebas unitarias de frontend (Vitest)</w:t>
      </w:r>
    </w:p>
    <w:p w:rsidR="00000000" w:rsidDel="00000000" w:rsidP="00000000" w:rsidRDefault="00000000" w:rsidRPr="00000000" w14:paraId="000000E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Comando: </w:t>
      </w:r>
      <w:r w:rsidDel="00000000" w:rsidR="00000000" w:rsidRPr="00000000">
        <w:rPr>
          <w:sz w:val="24"/>
          <w:szCs w:val="24"/>
          <w:rtl w:val="0"/>
        </w:rPr>
        <w:t xml:space="preserve">npm test</w:t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sz w:val="24"/>
          <w:szCs w:val="24"/>
          <w:rtl w:val="0"/>
        </w:rPr>
        <w:t xml:space="preserve">2 archivos de pruebas procesados, 15 pruebas aprobadas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 3: Verificacion de migraciones reversibles en base de datos (Alembic)</w:t>
      </w:r>
    </w:p>
    <w:p w:rsidR="00000000" w:rsidDel="00000000" w:rsidP="00000000" w:rsidRDefault="00000000" w:rsidRPr="00000000" w14:paraId="000000E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Comandos: </w:t>
      </w:r>
      <w:r w:rsidDel="00000000" w:rsidR="00000000" w:rsidRPr="00000000">
        <w:rPr>
          <w:sz w:val="24"/>
          <w:szCs w:val="24"/>
          <w:rtl w:val="0"/>
        </w:rPr>
        <w:t xml:space="preserve">Alembic upgrade head, Alembic downgrade dba5bf2b746e (Va cambiando dependiendo de cual sea el último mergepoint) , Alembic heads</w:t>
      </w:r>
    </w:p>
    <w:p w:rsidR="00000000" w:rsidDel="00000000" w:rsidP="00000000" w:rsidRDefault="00000000" w:rsidRPr="00000000" w14:paraId="000000F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sz w:val="24"/>
          <w:szCs w:val="24"/>
          <w:rtl w:val="0"/>
        </w:rPr>
        <w:t xml:space="preserve">Aplicación exitosa de la tabla Perfil_publico, reversibilidad confirmada y una única cabeza activa</w:t>
      </w:r>
    </w:p>
    <w:p w:rsidR="00000000" w:rsidDel="00000000" w:rsidP="00000000" w:rsidRDefault="00000000" w:rsidRPr="00000000" w14:paraId="000000F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3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 4: Generacion y consumo del codigo QR en API</w:t>
      </w:r>
    </w:p>
    <w:p w:rsidR="00000000" w:rsidDel="00000000" w:rsidP="00000000" w:rsidRDefault="00000000" w:rsidRPr="00000000" w14:paraId="000000F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Ruta evaluada: </w:t>
      </w:r>
      <w:r w:rsidDel="00000000" w:rsidR="00000000" w:rsidRPr="00000000">
        <w:rPr>
          <w:sz w:val="24"/>
          <w:szCs w:val="24"/>
          <w:rtl w:val="0"/>
        </w:rPr>
        <w:t xml:space="preserve">GET /perfiles/{identificador}/qr </w:t>
      </w:r>
    </w:p>
    <w:p w:rsidR="00000000" w:rsidDel="00000000" w:rsidP="00000000" w:rsidRDefault="00000000" w:rsidRPr="00000000" w14:paraId="000000F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 </w:t>
      </w:r>
      <w:r w:rsidDel="00000000" w:rsidR="00000000" w:rsidRPr="00000000">
        <w:rPr>
          <w:sz w:val="24"/>
          <w:szCs w:val="24"/>
          <w:rtl w:val="0"/>
        </w:rPr>
        <w:t xml:space="preserve">Respuesta HTTP 200 OK con </w:t>
      </w:r>
      <w:r w:rsidDel="00000000" w:rsidR="00000000" w:rsidRPr="00000000">
        <w:rPr>
          <w:sz w:val="24"/>
          <w:szCs w:val="24"/>
          <w:rtl w:val="0"/>
        </w:rPr>
        <w:t xml:space="preserve">content-type: image/png</w:t>
      </w:r>
      <w:r w:rsidDel="00000000" w:rsidR="00000000" w:rsidRPr="00000000">
        <w:rPr>
          <w:sz w:val="24"/>
          <w:szCs w:val="24"/>
          <w:rtl w:val="0"/>
        </w:rPr>
        <w:t xml:space="preserve"> y visualización del QR en el navegador.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