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298CE53" w14:textId="4D1CB367" w:rsidR="004F2A8B" w:rsidRPr="00CA72FE" w:rsidRDefault="00CA72FE" w:rsidP="3D28A338">
            <w:pPr>
              <w:jc w:val="both"/>
              <w:rPr>
                <w:rFonts w:eastAsiaTheme="majorEastAsia" w:cstheme="minorHAnsi"/>
                <w:color w:val="000000" w:themeColor="text1"/>
              </w:rPr>
            </w:pPr>
            <w:r w:rsidRPr="00CA72FE">
              <w:rPr>
                <w:rFonts w:eastAsiaTheme="majorEastAsia" w:cstheme="minorHAnsi"/>
                <w:color w:val="000000" w:themeColor="text1"/>
              </w:rPr>
              <w:t>Hemos cumplido con los hitos estructurales planificados en el cronograma de desarrollo. La arquitectura base desacoplada (</w:t>
            </w:r>
            <w:proofErr w:type="spellStart"/>
            <w:r w:rsidRPr="00CA72FE">
              <w:rPr>
                <w:rFonts w:eastAsiaTheme="majorEastAsia" w:cstheme="minorHAnsi"/>
                <w:color w:val="000000" w:themeColor="text1"/>
              </w:rPr>
              <w:t>FastAPI</w:t>
            </w:r>
            <w:proofErr w:type="spellEnd"/>
            <w:r w:rsidRPr="00CA72FE">
              <w:rPr>
                <w:rFonts w:eastAsiaTheme="majorEastAsia" w:cstheme="minorHAnsi"/>
                <w:color w:val="000000" w:themeColor="text1"/>
              </w:rPr>
              <w:t xml:space="preserve"> y PostgreSQL), la persistencia con </w:t>
            </w:r>
            <w:proofErr w:type="spellStart"/>
            <w:r w:rsidRPr="00CA72FE">
              <w:rPr>
                <w:rFonts w:eastAsiaTheme="majorEastAsia" w:cstheme="minorHAnsi"/>
                <w:color w:val="000000" w:themeColor="text1"/>
              </w:rPr>
              <w:t>Alembic</w:t>
            </w:r>
            <w:proofErr w:type="spellEnd"/>
            <w:r w:rsidRPr="00CA72FE">
              <w:rPr>
                <w:rFonts w:eastAsiaTheme="majorEastAsia" w:cstheme="minorHAnsi"/>
                <w:color w:val="000000" w:themeColor="text1"/>
              </w:rPr>
              <w:t xml:space="preserve"> y la base de la interfaz en </w:t>
            </w:r>
            <w:proofErr w:type="spellStart"/>
            <w:r w:rsidRPr="00CA72FE">
              <w:rPr>
                <w:rFonts w:eastAsiaTheme="majorEastAsia" w:cstheme="minorHAnsi"/>
                <w:color w:val="000000" w:themeColor="text1"/>
              </w:rPr>
              <w:t>React</w:t>
            </w:r>
            <w:proofErr w:type="spellEnd"/>
            <w:r w:rsidRPr="00CA72FE">
              <w:rPr>
                <w:rFonts w:eastAsiaTheme="majorEastAsia" w:cstheme="minorHAnsi"/>
                <w:color w:val="000000" w:themeColor="text1"/>
              </w:rPr>
              <w:t xml:space="preserve"> con Vite están operativas y validadas con pruebas automatizadas. En el </w:t>
            </w:r>
            <w:proofErr w:type="spellStart"/>
            <w:r w:rsidRPr="00CA72FE">
              <w:rPr>
                <w:rFonts w:eastAsiaTheme="majorEastAsia" w:cstheme="minorHAnsi"/>
                <w:color w:val="000000" w:themeColor="text1"/>
              </w:rPr>
              <w:t>backend</w:t>
            </w:r>
            <w:proofErr w:type="spellEnd"/>
            <w:r w:rsidRPr="00CA72FE">
              <w:rPr>
                <w:rFonts w:eastAsiaTheme="majorEastAsia" w:cstheme="minorHAnsi"/>
                <w:color w:val="000000" w:themeColor="text1"/>
              </w:rPr>
              <w:t xml:space="preserve"> logramos consolidar 69 pruebas aprobadas (57 del núcleo de identidad, catálogo y perfiles, más 12 del motor de tokens), y en el </w:t>
            </w:r>
            <w:proofErr w:type="spellStart"/>
            <w:r w:rsidRPr="00CA72FE">
              <w:rPr>
                <w:rFonts w:eastAsiaTheme="majorEastAsia" w:cstheme="minorHAnsi"/>
                <w:color w:val="000000" w:themeColor="text1"/>
              </w:rPr>
              <w:t>frontend</w:t>
            </w:r>
            <w:proofErr w:type="spellEnd"/>
            <w:r w:rsidRPr="00CA72FE">
              <w:rPr>
                <w:rFonts w:eastAsiaTheme="majorEastAsia" w:cstheme="minorHAnsi"/>
                <w:color w:val="000000" w:themeColor="text1"/>
              </w:rPr>
              <w:t xml:space="preserve"> dejamos 15 pruebas unitarias en verde con </w:t>
            </w:r>
            <w:proofErr w:type="spellStart"/>
            <w:r w:rsidRPr="00CA72FE">
              <w:rPr>
                <w:rFonts w:eastAsiaTheme="majorEastAsia" w:cstheme="minorHAnsi"/>
                <w:color w:val="000000" w:themeColor="text1"/>
              </w:rPr>
              <w:t>Vitest</w:t>
            </w:r>
            <w:proofErr w:type="spellEnd"/>
            <w:r w:rsidRPr="00CA72FE">
              <w:rPr>
                <w:rFonts w:eastAsiaTheme="majorEastAsia" w:cstheme="minorHAnsi"/>
                <w:color w:val="000000" w:themeColor="text1"/>
              </w:rPr>
              <w:t>.</w:t>
            </w:r>
          </w:p>
          <w:p w14:paraId="38F0EC43" w14:textId="77777777" w:rsidR="00CA72FE" w:rsidRPr="00CA72FE" w:rsidRDefault="00CA72FE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</w:p>
          <w:p w14:paraId="7D913AE7" w14:textId="77777777" w:rsidR="00CA72FE" w:rsidRPr="00CA72FE" w:rsidRDefault="00CA72FE" w:rsidP="3D28A338">
            <w:pPr>
              <w:jc w:val="both"/>
              <w:rPr>
                <w:rFonts w:cstheme="minorHAnsi"/>
                <w:color w:val="000000" w:themeColor="text1"/>
              </w:rPr>
            </w:pPr>
            <w:r w:rsidRPr="00CA72FE">
              <w:rPr>
                <w:rFonts w:cstheme="minorHAnsi"/>
                <w:b/>
                <w:bCs/>
                <w:color w:val="000000" w:themeColor="text1"/>
              </w:rPr>
              <w:t>Factores que facilitaron el avance:</w:t>
            </w:r>
            <w:r w:rsidRPr="00CA72FE">
              <w:rPr>
                <w:rFonts w:cstheme="minorHAnsi"/>
                <w:color w:val="000000" w:themeColor="text1"/>
              </w:rPr>
              <w:t xml:space="preserve"> Separar claramente las capas de </w:t>
            </w:r>
            <w:proofErr w:type="spellStart"/>
            <w:r w:rsidRPr="00CA72FE">
              <w:rPr>
                <w:rFonts w:cstheme="minorHAnsi"/>
                <w:color w:val="000000" w:themeColor="text1"/>
              </w:rPr>
              <w:t>backend</w:t>
            </w:r>
            <w:proofErr w:type="spellEnd"/>
            <w:r w:rsidRPr="00CA72FE">
              <w:rPr>
                <w:rFonts w:cstheme="minorHAnsi"/>
                <w:color w:val="000000" w:themeColor="text1"/>
              </w:rPr>
              <w:t xml:space="preserve"> y </w:t>
            </w:r>
            <w:proofErr w:type="spellStart"/>
            <w:r w:rsidRPr="00CA72FE">
              <w:rPr>
                <w:rFonts w:cstheme="minorHAnsi"/>
                <w:color w:val="000000" w:themeColor="text1"/>
              </w:rPr>
              <w:t>frontend</w:t>
            </w:r>
            <w:proofErr w:type="spellEnd"/>
            <w:r w:rsidRPr="00CA72FE">
              <w:rPr>
                <w:rFonts w:cstheme="minorHAnsi"/>
                <w:color w:val="000000" w:themeColor="text1"/>
              </w:rPr>
              <w:t xml:space="preserve"> permitió trabajar de manera paralela sin bloquearnos. Además, la retroalimentación inmediata que entrega la batería de pruebas en cada cambio nos ahorró tiempo de depuración.</w:t>
            </w:r>
          </w:p>
          <w:p w14:paraId="23D0DE48" w14:textId="77777777" w:rsidR="00CA72FE" w:rsidRPr="00CA72FE" w:rsidRDefault="00CA72FE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  <w:p w14:paraId="1F17CAF9" w14:textId="4207E1EC" w:rsidR="00CA72FE" w:rsidRPr="00874D16" w:rsidRDefault="00CA72F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A72FE">
              <w:rPr>
                <w:rFonts w:cstheme="minorHAnsi"/>
                <w:b/>
                <w:bCs/>
                <w:color w:val="000000" w:themeColor="text1"/>
              </w:rPr>
              <w:t>Factores que dificultaron el avance:</w:t>
            </w:r>
            <w:r w:rsidRPr="00CA72FE">
              <w:rPr>
                <w:rFonts w:cstheme="minorHAnsi"/>
                <w:color w:val="000000" w:themeColor="text1"/>
              </w:rPr>
              <w:t xml:space="preserve"> Tuvimos restricciones del sistema operativo en Windows que bloquearon la ejecución directa de binarios .exe como </w:t>
            </w:r>
            <w:proofErr w:type="spellStart"/>
            <w:r w:rsidRPr="00CA72FE">
              <w:rPr>
                <w:rFonts w:cstheme="minorHAnsi"/>
                <w:color w:val="000000" w:themeColor="text1"/>
              </w:rPr>
              <w:t>pytest</w:t>
            </w:r>
            <w:proofErr w:type="spellEnd"/>
            <w:r w:rsidRPr="00CA72FE">
              <w:rPr>
                <w:rFonts w:cstheme="minorHAnsi"/>
                <w:color w:val="000000" w:themeColor="text1"/>
              </w:rPr>
              <w:t xml:space="preserve"> o </w:t>
            </w:r>
            <w:proofErr w:type="spellStart"/>
            <w:r w:rsidRPr="00CA72FE">
              <w:rPr>
                <w:rFonts w:cstheme="minorHAnsi"/>
                <w:color w:val="000000" w:themeColor="text1"/>
              </w:rPr>
              <w:t>uvicorn</w:t>
            </w:r>
            <w:proofErr w:type="spellEnd"/>
            <w:r w:rsidRPr="00CA72FE">
              <w:rPr>
                <w:rFonts w:cstheme="minorHAnsi"/>
                <w:color w:val="000000" w:themeColor="text1"/>
              </w:rPr>
              <w:t>. También tuvimos discrepancias en las pruebas unitarias cuando se requerían registros globales en la base de datos</w:t>
            </w:r>
            <w:r>
              <w:rPr>
                <w:rFonts w:cstheme="minorHAnsi"/>
                <w:color w:val="000000" w:themeColor="text1"/>
              </w:rPr>
              <w:t xml:space="preserve"> </w:t>
            </w:r>
            <w:r w:rsidRPr="00CA72FE">
              <w:rPr>
                <w:rFonts w:cstheme="minorHAnsi"/>
                <w:color w:val="000000" w:themeColor="text1"/>
              </w:rPr>
              <w:t>en entornos limpios.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7430D85" w14:textId="4D27D53D" w:rsidR="00CA72FE" w:rsidRDefault="00CA72FE" w:rsidP="00CA72FE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CA72FE">
              <w:rPr>
                <w:rFonts w:ascii="Calibri" w:hAnsi="Calibri"/>
                <w:b/>
                <w:bCs/>
                <w:color w:val="000000" w:themeColor="text1"/>
              </w:rPr>
              <w:t xml:space="preserve">Aislamiento en pruebas de base de datos: </w:t>
            </w:r>
            <w:r w:rsidRPr="00CA72FE">
              <w:rPr>
                <w:rFonts w:ascii="Calibri" w:hAnsi="Calibri"/>
                <w:color w:val="000000" w:themeColor="text1"/>
              </w:rPr>
              <w:t xml:space="preserve">Ajustamos las pruebas que requerían parámetros de configuración para que inicialicen sus propios registros dentro de los fixtures. Así garantizamos que cada prueba sea autónoma, reproducible y no dependa de datos residuales. </w:t>
            </w:r>
          </w:p>
          <w:p w14:paraId="42160257" w14:textId="77777777" w:rsidR="00CA72FE" w:rsidRPr="00CA72FE" w:rsidRDefault="00CA72FE" w:rsidP="00CA72FE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626A9EE6" w14:textId="48C195E8" w:rsidR="00CA72FE" w:rsidRPr="00CA72FE" w:rsidRDefault="00CA72FE" w:rsidP="00CA72FE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CA72FE">
              <w:rPr>
                <w:rFonts w:ascii="Calibri" w:hAnsi="Calibri"/>
                <w:b/>
                <w:bCs/>
                <w:color w:val="000000" w:themeColor="text1"/>
              </w:rPr>
              <w:t>Control de versiones y migraciones:</w:t>
            </w:r>
            <w:r w:rsidRPr="00CA72FE">
              <w:rPr>
                <w:rFonts w:ascii="Calibri" w:hAnsi="Calibri"/>
                <w:color w:val="000000" w:themeColor="text1"/>
              </w:rPr>
              <w:t xml:space="preserve"> Simplificamos el flujo de Git trabajando e integrando directamente en la rama principal (</w:t>
            </w:r>
            <w:proofErr w:type="spellStart"/>
            <w:r w:rsidRPr="00CA72FE">
              <w:rPr>
                <w:rFonts w:ascii="Calibri" w:hAnsi="Calibri"/>
                <w:color w:val="000000" w:themeColor="text1"/>
              </w:rPr>
              <w:t>main</w:t>
            </w:r>
            <w:proofErr w:type="spellEnd"/>
            <w:r w:rsidRPr="00CA72FE">
              <w:rPr>
                <w:rFonts w:ascii="Calibri" w:hAnsi="Calibri"/>
                <w:color w:val="000000" w:themeColor="text1"/>
              </w:rPr>
              <w:t>) con pruebas en verde. Además, para evitar errores de ambigüedad (</w:t>
            </w:r>
            <w:proofErr w:type="spellStart"/>
            <w:r w:rsidRPr="00CA72FE">
              <w:rPr>
                <w:rFonts w:ascii="Calibri" w:hAnsi="Calibri"/>
                <w:color w:val="000000" w:themeColor="text1"/>
              </w:rPr>
              <w:t>Ambiguous</w:t>
            </w:r>
            <w:proofErr w:type="spellEnd"/>
            <w:r w:rsidRPr="00CA72FE">
              <w:rPr>
                <w:rFonts w:ascii="Calibri" w:hAnsi="Calibri"/>
                <w:color w:val="000000" w:themeColor="text1"/>
              </w:rPr>
              <w:t xml:space="preserve"> </w:t>
            </w:r>
            <w:proofErr w:type="spellStart"/>
            <w:r w:rsidRPr="00CA72FE">
              <w:rPr>
                <w:rFonts w:ascii="Calibri" w:hAnsi="Calibri"/>
                <w:color w:val="000000" w:themeColor="text1"/>
              </w:rPr>
              <w:t>walk</w:t>
            </w:r>
            <w:proofErr w:type="spellEnd"/>
            <w:r w:rsidRPr="00CA72FE">
              <w:rPr>
                <w:rFonts w:ascii="Calibri" w:hAnsi="Calibri"/>
                <w:color w:val="000000" w:themeColor="text1"/>
              </w:rPr>
              <w:t xml:space="preserve">) en </w:t>
            </w:r>
            <w:proofErr w:type="spellStart"/>
            <w:r w:rsidRPr="00CA72FE">
              <w:rPr>
                <w:rFonts w:ascii="Calibri" w:hAnsi="Calibri"/>
                <w:color w:val="000000" w:themeColor="text1"/>
              </w:rPr>
              <w:t>Alembic</w:t>
            </w:r>
            <w:proofErr w:type="spellEnd"/>
            <w:r w:rsidRPr="00CA72FE">
              <w:rPr>
                <w:rFonts w:ascii="Calibri" w:hAnsi="Calibri"/>
                <w:color w:val="000000" w:themeColor="text1"/>
              </w:rPr>
              <w:t xml:space="preserve"> (</w:t>
            </w:r>
            <w:proofErr w:type="spellStart"/>
            <w:r w:rsidRPr="00CA72FE">
              <w:rPr>
                <w:rFonts w:ascii="Calibri" w:hAnsi="Calibri"/>
                <w:i/>
                <w:iCs/>
                <w:color w:val="000000" w:themeColor="text1"/>
              </w:rPr>
              <w:t>mergepoints</w:t>
            </w:r>
            <w:proofErr w:type="spellEnd"/>
            <w:r w:rsidRPr="00CA72FE">
              <w:rPr>
                <w:rFonts w:ascii="Calibri" w:hAnsi="Calibri"/>
                <w:color w:val="000000" w:themeColor="text1"/>
              </w:rPr>
              <w:t xml:space="preserve">), gestionamos los retrocesos indicando directamente el identificador específico de la revisión. 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BCDD206" w14:textId="65DFF604" w:rsidR="00CA72FE" w:rsidRDefault="00CA72FE" w:rsidP="3D28A338">
            <w:pPr>
              <w:jc w:val="both"/>
              <w:rPr>
                <w:rFonts w:ascii="Calibri" w:hAnsi="Calibri"/>
              </w:rPr>
            </w:pPr>
            <w:r w:rsidRPr="00CA72FE">
              <w:rPr>
                <w:rFonts w:ascii="Calibri" w:hAnsi="Calibri"/>
              </w:rPr>
              <w:t>Yo evaluaría nuestro trabajo como un avance sólido y ordenado</w:t>
            </w:r>
          </w:p>
          <w:p w14:paraId="4F3AC821" w14:textId="77777777" w:rsidR="00CA72FE" w:rsidRDefault="00CA72FE" w:rsidP="3D28A338">
            <w:pPr>
              <w:jc w:val="both"/>
              <w:rPr>
                <w:rFonts w:ascii="Calibri" w:hAnsi="Calibri"/>
              </w:rPr>
            </w:pPr>
          </w:p>
          <w:p w14:paraId="37EF3D48" w14:textId="079154A8" w:rsidR="00CA72FE" w:rsidRDefault="00CA72FE" w:rsidP="00CA72FE">
            <w:pPr>
              <w:jc w:val="both"/>
              <w:rPr>
                <w:rFonts w:ascii="Calibri" w:hAnsi="Calibri"/>
              </w:rPr>
            </w:pPr>
            <w:r w:rsidRPr="00CA72FE">
              <w:rPr>
                <w:rFonts w:ascii="Calibri" w:hAnsi="Calibri"/>
                <w:b/>
                <w:bCs/>
              </w:rPr>
              <w:t>Aspectos destacados:</w:t>
            </w:r>
            <w:r w:rsidRPr="00CA72FE">
              <w:rPr>
                <w:rFonts w:ascii="Calibri" w:hAnsi="Calibri"/>
              </w:rPr>
              <w:t xml:space="preserve"> La cobertura de pruebas automatizadas (69 </w:t>
            </w:r>
            <w:proofErr w:type="spellStart"/>
            <w:r w:rsidRPr="00CA72FE">
              <w:rPr>
                <w:rFonts w:ascii="Calibri" w:hAnsi="Calibri"/>
              </w:rPr>
              <w:t>tests</w:t>
            </w:r>
            <w:proofErr w:type="spellEnd"/>
            <w:r w:rsidRPr="00CA72FE">
              <w:rPr>
                <w:rFonts w:ascii="Calibri" w:hAnsi="Calibri"/>
              </w:rPr>
              <w:t xml:space="preserve"> en </w:t>
            </w:r>
            <w:proofErr w:type="spellStart"/>
            <w:r w:rsidRPr="00CA72FE">
              <w:rPr>
                <w:rFonts w:ascii="Calibri" w:hAnsi="Calibri"/>
              </w:rPr>
              <w:t>backend</w:t>
            </w:r>
            <w:proofErr w:type="spellEnd"/>
            <w:r w:rsidRPr="00CA72FE">
              <w:rPr>
                <w:rFonts w:ascii="Calibri" w:hAnsi="Calibri"/>
              </w:rPr>
              <w:t xml:space="preserve"> y 15 en </w:t>
            </w:r>
            <w:proofErr w:type="spellStart"/>
            <w:r w:rsidRPr="00CA72FE">
              <w:rPr>
                <w:rFonts w:ascii="Calibri" w:hAnsi="Calibri"/>
              </w:rPr>
              <w:t>frontend</w:t>
            </w:r>
            <w:proofErr w:type="spellEnd"/>
            <w:r w:rsidRPr="00CA72FE">
              <w:rPr>
                <w:rFonts w:ascii="Calibri" w:hAnsi="Calibri"/>
              </w:rPr>
              <w:t xml:space="preserve">) y el cumplimiento estricto del criterio de privacidad de datos, donde la verificación de identidad no almacena imágenes ni datos sensibles en texto plano. </w:t>
            </w:r>
          </w:p>
          <w:p w14:paraId="2A9DECC7" w14:textId="77777777" w:rsidR="00CA72FE" w:rsidRPr="00CA72FE" w:rsidRDefault="00CA72FE" w:rsidP="00CA72FE">
            <w:pPr>
              <w:jc w:val="both"/>
              <w:rPr>
                <w:rFonts w:ascii="Calibri" w:hAnsi="Calibri"/>
              </w:rPr>
            </w:pPr>
          </w:p>
          <w:p w14:paraId="700EB205" w14:textId="053842B1" w:rsidR="00CA72FE" w:rsidRPr="00CA72FE" w:rsidRDefault="00CA72FE" w:rsidP="00CA72FE">
            <w:pPr>
              <w:jc w:val="both"/>
              <w:rPr>
                <w:rFonts w:ascii="Calibri" w:hAnsi="Calibri"/>
              </w:rPr>
            </w:pPr>
            <w:r w:rsidRPr="00CA72FE">
              <w:rPr>
                <w:rFonts w:ascii="Calibri" w:hAnsi="Calibri"/>
                <w:b/>
                <w:bCs/>
              </w:rPr>
              <w:t>Oportunidades de mejora:</w:t>
            </w:r>
            <w:r w:rsidRPr="00CA72FE">
              <w:rPr>
                <w:rFonts w:ascii="Calibri" w:hAnsi="Calibri"/>
              </w:rPr>
              <w:t xml:space="preserve"> Mantener al día la documentación gráfica y los diagramas de arquitectura al mismo tiempo que se construye el software, en lugar de dejarlos para la etapa final del sprint. </w:t>
            </w:r>
          </w:p>
          <w:p w14:paraId="6AC1D916" w14:textId="77777777" w:rsidR="00CA72FE" w:rsidRPr="00CA72FE" w:rsidRDefault="00CA72FE" w:rsidP="3D28A338">
            <w:pPr>
              <w:jc w:val="both"/>
              <w:rPr>
                <w:rFonts w:ascii="Calibri" w:hAnsi="Calibri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03A4976" w14:textId="77777777" w:rsidR="00597BAB" w:rsidRDefault="00597BA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53B0B0" w14:textId="59D86B70" w:rsidR="00597BAB" w:rsidRPr="00597BAB" w:rsidRDefault="00597BAB" w:rsidP="3D28A338">
            <w:pPr>
              <w:jc w:val="both"/>
              <w:rPr>
                <w:rFonts w:eastAsiaTheme="majorEastAsia"/>
              </w:rPr>
            </w:pPr>
            <w:r w:rsidRPr="00597BAB">
              <w:rPr>
                <w:rFonts w:eastAsiaTheme="majorEastAsia"/>
              </w:rPr>
              <w:t>La principal inquietud que tengo es</w:t>
            </w:r>
            <w:r w:rsidRPr="00597BAB">
              <w:rPr>
                <w:rFonts w:eastAsiaTheme="majorEastAsia"/>
              </w:rPr>
              <w:t xml:space="preserve"> </w:t>
            </w:r>
            <w:r w:rsidRPr="00597BAB">
              <w:rPr>
                <w:rFonts w:eastAsiaTheme="majorEastAsia"/>
              </w:rPr>
              <w:t>e</w:t>
            </w:r>
            <w:r w:rsidRPr="00597BAB">
              <w:rPr>
                <w:rFonts w:eastAsiaTheme="majorEastAsia"/>
              </w:rPr>
              <w:t xml:space="preserve">l nivel de detalle esperado para la representación de servicios en la nube (como AWS </w:t>
            </w:r>
            <w:proofErr w:type="spellStart"/>
            <w:r w:rsidRPr="00597BAB">
              <w:rPr>
                <w:rFonts w:eastAsiaTheme="majorEastAsia"/>
              </w:rPr>
              <w:t>Rekognition</w:t>
            </w:r>
            <w:proofErr w:type="spellEnd"/>
            <w:r w:rsidRPr="00597BAB">
              <w:rPr>
                <w:rFonts w:eastAsiaTheme="majorEastAsia"/>
              </w:rPr>
              <w:t>) en los diagramas de despliegue y componentes de la entrega formal.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572FB330" w:rsidR="004F2A8B" w:rsidRPr="00597BAB" w:rsidRDefault="00597BAB" w:rsidP="3D28A33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 pregunta que haría al docente seria principalmente que preguntas nos harían al respecto de nuestro trabajo en la entrega formal y como puedo prepararme de la mejor manera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4C13DBD" w14:textId="77777777" w:rsidR="00597BAB" w:rsidRDefault="00597BA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E1703F" w14:textId="329BEE24" w:rsidR="00597BAB" w:rsidRPr="00597BAB" w:rsidRDefault="00597BAB" w:rsidP="3D28A338">
            <w:pPr>
              <w:jc w:val="both"/>
              <w:rPr>
                <w:rFonts w:eastAsiaTheme="majorEastAsia"/>
              </w:rPr>
            </w:pPr>
            <w:r w:rsidRPr="00597BAB">
              <w:rPr>
                <w:rFonts w:eastAsiaTheme="majorEastAsia"/>
              </w:rPr>
              <w:t xml:space="preserve">No se requiere una redistribución de roles de fondo, ya que el esquema de trabajo </w:t>
            </w:r>
            <w:r>
              <w:rPr>
                <w:rFonts w:eastAsiaTheme="majorEastAsia"/>
              </w:rPr>
              <w:t>que tenemos nos ha funcionado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BD25CA" w14:textId="0F112A79" w:rsidR="00597BAB" w:rsidRDefault="00597BAB" w:rsidP="00597BAB">
            <w:pPr>
              <w:jc w:val="both"/>
              <w:rPr>
                <w:rFonts w:eastAsiaTheme="majorEastAsia"/>
              </w:rPr>
            </w:pPr>
            <w:r w:rsidRPr="00597BAB">
              <w:rPr>
                <w:rFonts w:eastAsiaTheme="majorEastAsia"/>
                <w:b/>
                <w:bCs/>
              </w:rPr>
              <w:t>Puntos positivos:</w:t>
            </w:r>
            <w:r w:rsidRPr="00597BAB">
              <w:rPr>
                <w:rFonts w:eastAsiaTheme="majorEastAsia"/>
              </w:rPr>
              <w:t xml:space="preserve"> La comunicación técnica fluida para destrabar problemas del entorno, la rapidez para resolver discrepancias en la base de datos y el acuerdo de no integrar ningún cambio en la rama principal sin que pase primero por la suite de pruebas. </w:t>
            </w:r>
          </w:p>
          <w:p w14:paraId="330115BA" w14:textId="77777777" w:rsidR="00597BAB" w:rsidRPr="00597BAB" w:rsidRDefault="00597BAB" w:rsidP="00597BAB">
            <w:pPr>
              <w:jc w:val="both"/>
              <w:rPr>
                <w:rFonts w:eastAsiaTheme="majorEastAsia"/>
              </w:rPr>
            </w:pPr>
          </w:p>
          <w:p w14:paraId="475FA8CC" w14:textId="7221D10F" w:rsidR="00597BAB" w:rsidRPr="00597BAB" w:rsidRDefault="00597BAB" w:rsidP="00597BAB">
            <w:pPr>
              <w:jc w:val="both"/>
              <w:rPr>
                <w:rFonts w:eastAsiaTheme="majorEastAsia"/>
              </w:rPr>
            </w:pPr>
            <w:r w:rsidRPr="00597BAB">
              <w:rPr>
                <w:rFonts w:eastAsiaTheme="majorEastAsia"/>
                <w:b/>
                <w:bCs/>
              </w:rPr>
              <w:t>Puntos por mejorar:</w:t>
            </w:r>
            <w:r w:rsidRPr="00597BAB">
              <w:rPr>
                <w:rFonts w:eastAsiaTheme="majorEastAsia"/>
              </w:rPr>
              <w:t xml:space="preserve"> Fijar revisiones de seguimiento más periódicas para actualizar el backlog y la documentación al cierre de cada tarea, evitando concentrar la redacción de informes en los últimos días de la entrega. </w:t>
            </w:r>
          </w:p>
          <w:p w14:paraId="0EF83D49" w14:textId="77777777" w:rsidR="00597BAB" w:rsidRDefault="00597BA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42B41" w14:textId="77777777" w:rsidR="008347AA" w:rsidRDefault="008347AA" w:rsidP="00DF38AE">
      <w:pPr>
        <w:spacing w:after="0" w:line="240" w:lineRule="auto"/>
      </w:pPr>
      <w:r>
        <w:separator/>
      </w:r>
    </w:p>
  </w:endnote>
  <w:endnote w:type="continuationSeparator" w:id="0">
    <w:p w14:paraId="6B9B4913" w14:textId="77777777" w:rsidR="008347AA" w:rsidRDefault="008347A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32FC3" w14:textId="77777777" w:rsidR="008347AA" w:rsidRDefault="008347AA" w:rsidP="00DF38AE">
      <w:pPr>
        <w:spacing w:after="0" w:line="240" w:lineRule="auto"/>
      </w:pPr>
      <w:r>
        <w:separator/>
      </w:r>
    </w:p>
  </w:footnote>
  <w:footnote w:type="continuationSeparator" w:id="0">
    <w:p w14:paraId="721F1D0D" w14:textId="77777777" w:rsidR="008347AA" w:rsidRDefault="008347A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860441">
    <w:abstractNumId w:val="3"/>
  </w:num>
  <w:num w:numId="2" w16cid:durableId="1679651830">
    <w:abstractNumId w:val="8"/>
  </w:num>
  <w:num w:numId="3" w16cid:durableId="1281838350">
    <w:abstractNumId w:val="12"/>
  </w:num>
  <w:num w:numId="4" w16cid:durableId="257372997">
    <w:abstractNumId w:val="28"/>
  </w:num>
  <w:num w:numId="5" w16cid:durableId="344793244">
    <w:abstractNumId w:val="30"/>
  </w:num>
  <w:num w:numId="6" w16cid:durableId="218517379">
    <w:abstractNumId w:val="4"/>
  </w:num>
  <w:num w:numId="7" w16cid:durableId="1583682200">
    <w:abstractNumId w:val="11"/>
  </w:num>
  <w:num w:numId="8" w16cid:durableId="1523088866">
    <w:abstractNumId w:val="19"/>
  </w:num>
  <w:num w:numId="9" w16cid:durableId="1222712245">
    <w:abstractNumId w:val="15"/>
  </w:num>
  <w:num w:numId="10" w16cid:durableId="1325432298">
    <w:abstractNumId w:val="9"/>
  </w:num>
  <w:num w:numId="11" w16cid:durableId="626353064">
    <w:abstractNumId w:val="24"/>
  </w:num>
  <w:num w:numId="12" w16cid:durableId="2000108677">
    <w:abstractNumId w:val="35"/>
  </w:num>
  <w:num w:numId="13" w16cid:durableId="525676759">
    <w:abstractNumId w:val="29"/>
  </w:num>
  <w:num w:numId="14" w16cid:durableId="989678667">
    <w:abstractNumId w:val="1"/>
  </w:num>
  <w:num w:numId="15" w16cid:durableId="1220745236">
    <w:abstractNumId w:val="36"/>
  </w:num>
  <w:num w:numId="16" w16cid:durableId="1478842027">
    <w:abstractNumId w:val="21"/>
  </w:num>
  <w:num w:numId="17" w16cid:durableId="1612782783">
    <w:abstractNumId w:val="17"/>
  </w:num>
  <w:num w:numId="18" w16cid:durableId="266548432">
    <w:abstractNumId w:val="31"/>
  </w:num>
  <w:num w:numId="19" w16cid:durableId="1373531669">
    <w:abstractNumId w:val="10"/>
  </w:num>
  <w:num w:numId="20" w16cid:durableId="879630151">
    <w:abstractNumId w:val="39"/>
  </w:num>
  <w:num w:numId="21" w16cid:durableId="843127440">
    <w:abstractNumId w:val="34"/>
  </w:num>
  <w:num w:numId="22" w16cid:durableId="188228856">
    <w:abstractNumId w:val="13"/>
  </w:num>
  <w:num w:numId="23" w16cid:durableId="1290894504">
    <w:abstractNumId w:val="14"/>
  </w:num>
  <w:num w:numId="24" w16cid:durableId="1215115921">
    <w:abstractNumId w:val="5"/>
  </w:num>
  <w:num w:numId="25" w16cid:durableId="56513650">
    <w:abstractNumId w:val="16"/>
  </w:num>
  <w:num w:numId="26" w16cid:durableId="1236236711">
    <w:abstractNumId w:val="20"/>
  </w:num>
  <w:num w:numId="27" w16cid:durableId="83235291">
    <w:abstractNumId w:val="23"/>
  </w:num>
  <w:num w:numId="28" w16cid:durableId="110327127">
    <w:abstractNumId w:val="0"/>
  </w:num>
  <w:num w:numId="29" w16cid:durableId="995108931">
    <w:abstractNumId w:val="18"/>
  </w:num>
  <w:num w:numId="30" w16cid:durableId="879633277">
    <w:abstractNumId w:val="22"/>
  </w:num>
  <w:num w:numId="31" w16cid:durableId="23870148">
    <w:abstractNumId w:val="2"/>
  </w:num>
  <w:num w:numId="32" w16cid:durableId="1502158464">
    <w:abstractNumId w:val="7"/>
  </w:num>
  <w:num w:numId="33" w16cid:durableId="2088113173">
    <w:abstractNumId w:val="32"/>
  </w:num>
  <w:num w:numId="34" w16cid:durableId="1467162635">
    <w:abstractNumId w:val="38"/>
  </w:num>
  <w:num w:numId="35" w16cid:durableId="2091467008">
    <w:abstractNumId w:val="6"/>
  </w:num>
  <w:num w:numId="36" w16cid:durableId="777481246">
    <w:abstractNumId w:val="25"/>
  </w:num>
  <w:num w:numId="37" w16cid:durableId="1222520920">
    <w:abstractNumId w:val="37"/>
  </w:num>
  <w:num w:numId="38" w16cid:durableId="128938926">
    <w:abstractNumId w:val="27"/>
  </w:num>
  <w:num w:numId="39" w16cid:durableId="1131166778">
    <w:abstractNumId w:val="26"/>
  </w:num>
  <w:num w:numId="40" w16cid:durableId="20572283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97BAB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47AA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2FE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26A0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689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ANDRES BASCOUR FUENTES</cp:lastModifiedBy>
  <cp:revision>44</cp:revision>
  <cp:lastPrinted>2019-12-16T20:10:00Z</cp:lastPrinted>
  <dcterms:created xsi:type="dcterms:W3CDTF">2021-12-31T12:50:00Z</dcterms:created>
  <dcterms:modified xsi:type="dcterms:W3CDTF">2026-10-08T17:19:00Z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