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Xfa3fa70a83e243eefd0447b22af6c5f133b93da"/>
    <w:p>
      <w:pPr>
        <w:pStyle w:val="Heading1"/>
      </w:pPr>
      <w:r>
        <w:t xml:space="preserve">IQTPC, Índice de Qualidade do Transporte Público Coletivo</w: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p>
      <w:r>
        <w:pict>
          <v:rect style="width:0;height:1.5pt" o:hralign="center" o:hrstd="t" o:hr="t"/>
        </w:pict>
      </w:r>
    </w:p>
    <w:p>
      <w:pPr>
        <w:pStyle w:val="FirstParagraph"/>
      </w:pPr>
      <w:r>
        <w:rPr>
          <w:i/>
          <w:iCs/>
        </w:rPr>
        <w:t xml:space="preserve">Todos os documentos estão em Markdown e podem ser convertidos para o padrão SEI.</w:t>
      </w:r>
    </w:p>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Índice de Qualidade do Transporte Público Coletivo</dc:title>
  <dc:creator>CGDI/DEREG/SEMOB/MCID</dc:creator>
  <dc:language>pt-br</dc:language>
  <cp:keywords/>
  <dcterms:created xsi:type="dcterms:W3CDTF">2026-09-02T04:54:38Z</dcterms:created>
  <dcterms:modified xsi:type="dcterms:W3CDTF">2026-09-02T04:54:38Z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