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9B"/>
          <w:sz w:val="80"/>
          <w:szCs w:val="80"/>
        </w:rPr>
        <w:t xml:space="preserve">ChemVISION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化学结构式智能生成与学习助手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项目需求说明书 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竞赛名称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第三届（2026）中国高校计算机大赛 AIGC创新赛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赛道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应用赛道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技术底座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vivo 蓝心大模型（BlueLM）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承办单位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南开大学 × vivo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作品形态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/ 智能体（支持在 vivo 手机上运行）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/ 2026年4月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〇、一页纸价值主线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ChemVISION 解决的核心问题可以用一句话概括：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6"/>
                <w:szCs w:val="26"/>
              </w:rPr>
              <w:t xml:space="preserve">通用大模型「能说化学，却不能画化学」——ChemVISION 补齐这条裂缝。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核心价值对比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现有通用AI / 工具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化学概念解释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可完成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保留并增强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键线式结构图生成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无法完成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核心功能（MVP）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中文IUPAC命名解析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错误率高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规则+LLM融合解析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反应方程式补全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不稳定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RAG增强（复赛）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残缺结构智能修复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无此能力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分子指纹检索补全（复赛增量）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移动端随时使用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ChemDraw等仅PC端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vivo手机原生运行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典型交互序列：「苯甲酸」结构式生成全流程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7"/>
        <w:gridCol w:w="260"/>
        <w:gridCol w:w="1597"/>
        <w:gridCol w:w="260"/>
        <w:gridCol w:w="1597"/>
        <w:gridCol w:w="260"/>
        <w:gridCol w:w="1597"/>
        <w:gridCol w:w="260"/>
        <w:gridCol w:w="1598"/>
      </w:tblGrid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用户输入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键入：「苯甲酸」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或语音/拍照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B"/>
                <w:sz w:val="22"/>
                <w:szCs w:val="22"/>
              </w:rPr>
              <w:t xml:space="preserve">▶</w:t>
            </w:r>
          </w:p>
        </w:tc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意图识别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端侧 BlueLM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路由：结构生成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延迟 &lt;100ms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B"/>
                <w:sz w:val="22"/>
                <w:szCs w:val="22"/>
              </w:rPr>
              <w:t xml:space="preserve">▶</w:t>
            </w:r>
          </w:p>
        </w:tc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结构推理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云端 BlueLM API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输出 SMILES: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c1ccc(cc1)C(=O)O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规则校验 ✓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B"/>
                <w:sz w:val="22"/>
                <w:szCs w:val="22"/>
              </w:rPr>
              <w:t xml:space="preserve">▶</w:t>
            </w:r>
          </w:p>
        </w:tc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渲染输出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SVG 键线式图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分子式 C₇H₆O₂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分子量 122.12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B"/>
                <w:sz w:val="22"/>
                <w:szCs w:val="22"/>
              </w:rPr>
              <w:t xml:space="preserve">▶</w:t>
            </w:r>
          </w:p>
        </w:tc>
        <w:tc>
          <w:tcPr>
            <w:tcW w:type="dxa" w:w="15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卡片收藏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加入错题本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关联知识点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推荐相关反应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注：Step 1-2 在端侧完成（离线可用）；Step 3 调用云端 API；Step 4-5 本地渲染与存储。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一、项目背景与问题定义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通用大模型的专业化表达短板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大语言模型在自然语言理解与生成上已取得显著进展，但在专业领域的结构化科学表达上仍存在系统性空白。以化学学科为例，现有通用AI呈现出「能说不能画」的典型缺陷：无法将自然语言描述映射为规范的键线式结构图，SMILES输出错误率高，且完全缺失中文IUPAC命名的专项支持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学习场景的真实痛点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命名还原障碍：学生在有机化学课程中听到「2-甲基-3-己醇」等命名，缺乏即时可视化工具，移动场景下几乎无法解决。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反应记忆碎片化：课后复习只记得反应片段，现有搜索引擎无法进行语义层面的「反应补全」，需要大量翻阅教材。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数字化壁垒：课本印刷结构式无法快速提取为可编辑数字格式，阻碍笔记整理；印刷污损、截图不完整等场景更无任何工具支持。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现有工具的局限性分析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900"/>
        <w:gridCol w:w="29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工具类型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主要限制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ChemVISION 差异化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专业绘图软件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ChemDraw / MarvinSketch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PC端为主；无AI语义理解；无中文命名支持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 + 自然语言 + 中文课程语境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通用AI助手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/ 文心一言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无法生成结构式图形；化学专业词汇错误率高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专项微调 + 规则校验 + 结构图输出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化学数据库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PubChem / ChemSpider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以检索已知化合物为主；无法处理自然语言描述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模糊描述补全 + 课程级知识库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通用搜索引擎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百度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无结构级检索；结果碎片化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语义补全 + 端到端结构渲染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二、目标用户与市场规模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核心用户画像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用户分层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高校化学/化工/药学/生科本科生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课程学习、作业与实验预习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即时命名→结构还原、反应辅助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有机化学研究生与科研助理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文献阅读、反应路径规划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快速结构查阅、多结构对比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高中化学竞赛学生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竞赛备考、超纲内容自学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有机结构式入门学习与练习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市场规模估算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全国化学、化工、药学、生物类本科在校生约 280 万人（2024教育部数据估算）。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全国参与化学联赛及竞赛备考的高中生约 60 万人。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核心目标市场（高校化学相关在校生）规模超过 200 万，具备持续学习工具的付费转化基础。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三、核心功能模块设计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功能优先级与迭代节奏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1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赛事阶段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交付形态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自然语言→结构式生成 + 规则校验（MVP）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APP原型 + 演示视频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反应方程式语义补全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智能体功能扩展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课本印刷体拍照识别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端侧+云端协同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残缺结构式智能补全（新增）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复赛增量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P1+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拍照识别的延伸能力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蓝心模型专项微调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微调模型集成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学习路径追踪与错题本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持久化功能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模块一：自然语言→结构式生成（MVP核心）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3.2.1 功能描述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用户以自然语言输入化学物质命名（支持IUPAC命名、中文俗名、分子式等多种形式），系统解析意图并生成标准键线式结构图，以SVG格式实时渲染至移动端界面。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输入示例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「画出2-甲基-3-乙基戊烷的结构式」/ 「苯甲酸」/ 「C6H5COOH」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处理链路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端侧BlueLM（意图识别+路由）→ 云端BlueLM API（命名解析→SMILES生成）→ 规则校验层 → RDKit渲染SVG → 前端展示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输出形式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标准键线式SVG图像 + SMILES文本 + 分子基础属性（分子式、分子量）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3.2.2 技术实现关键点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SMILES作为中间表示层，解耦LLM推理与渲染，避免大模型直接输出图形带来的不稳定性。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中文IUPAC命名解析基于提示词工程（初赛），预留决赛微调接口（命名-SMILES对齐数据集用于SFT）。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3.2.3 化学规则校验层（横向支撑能力）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规则校验层是贯穿所有结构输出类模块的横向基础设施，而非独立用户功能。其在各模块中的复用关系如下：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校验内容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模块一：结构生成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原子价态（C四价/O二价等）、键连接合法性、分子式反向比对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SMILES生成后、SVG渲染前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模块二：反应补全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反应物和生成物结构各自合法性、原子守恒初步核查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候选反应路径生成后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模块四增强：残缺补全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补全结果的价态闭合率、拼接边界键合法性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候选结构拼接后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校验不通过时系统自动触发重新生成（最多3次），并向用户展示置信度说明。规则校验层的存在是区别于「纯提示词应用」的核心技术壁垒之一。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模块二：反应方程式语义补全（复赛）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3.3.1 功能描述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用户输入不完整的反应信息（如已知反应物和生成物之一，或已知反应条件），系统结合课程级化学知识库，推断可能的反应路径并渲染完整方程式。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3.3.2 化学知识库结构化策略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化学反应不同于普通文本，直接对教材内容做文本切片会导致检索精度严重受限。知识库的核心设计是将课程反应显式结构化为三元组：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反应三元组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（反应物集合 | 生成物集合 | 条件与催化剂）
示例：（苯 + 液溴 | 溴苯 + HBr | FeBr₃催化、取代反应）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构建策略分三步：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原始提取：对主流本科教材进行OCR+结构化标注，按反应类型（取代、加成、消去、氧化还原等）分类整理，生成三元组条目。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向量化索引：以Morgan分子指纹对反应物/生成物编码，同时保留文本描述的语义向量，支持「指纹相似检索」与「语义模糊检索」双通道。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版权处理：仅提取反应方程式本身（化学公式属科学事实，不受版权保护），不复制教材文字段落。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3.3.3 技术方案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RAG架构：以三元组知识库为检索源，为蓝心大模型提供高精度上下文，约束生成范围，降低幻觉率。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输出格式：完整反应方程式（含条件标注）+ 反应类型说明 + 相关知识点推荐。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模块三：课本印刷体结构识别（复赛）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3.4.1 功能描述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用户拍摄课本或打印材料中的化学结构式，系统识别并转换为可编辑的数字结构（SMILES格式），支持进一步查询和编辑。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3.4.2 分阶段实现计划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复赛版本：仅支持标准印刷体结构式识别，使用DECIMER（开源化学结构OCR库）作为处理引擎，准确率目标≥80%（有参照基准）。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决赛版本：在复赛基础上增加对手写结构的识别，作为增量功能。手写体难度显著高于印刷体，主动降低复赛覆盖范围以确保演示可验证性。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模块四增强：残缺结构式智能补全（复赛增量）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3.5.1 功能描述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在课本印刷体结构识别的基础上，针对印刷缺失、污损遮挡、截图不完整三类常见场景，引入RAG增强的化学结构补全能力。系统识别到结构残缺后，自动检索教材知识库中的完整结构进行匹配，结合蓝心大模型推理完成缺失片段的填补，输出补全后的完整结构式及置信度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3.5.2 触发场景与补全策略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残缺类型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补全策略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断键/缺失基团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课本印刷漏墨、扫描件局部模糊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基于局部结构指纹检索教材中相似完整分子，匹配补全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反应式残缺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只拍到方程式左半边，右半边被遮挡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利用反应类型检索知识库，推断可能生成物并排序输出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手写笔记补全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学生笔记中某步反应记漏了试剂/条件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RAG检索该反应在教材中的标准版本，给出补充建议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3.5.3 技术实现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残缺检测：识别阶段输出结构完整度评分（基于原子价态闭合率、断键数量），低于阈值自动触发补全流程。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相似检索：将已识别到的局部结构编码为Morgan分子指纹，在教材知识库中检索相似度最高的已知完整结构（Top-K候选）。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候选生成：将Top-K候选结构作为上下文，调用蓝心大模型推理最可能的完整结构。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规则校验输出：补全结果经横向校验层验证，补全部分以虚线高亮标注，并显示置信度分数。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3.5.4 交互设计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原图与补全结果左右对比展示，补全部分用虚线框高亮。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若存在多个候选，以卡片列表形式呈现，用户可切换选择。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支持用户手动修正补全结果（提供基团选择器微调）。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四、技术架构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系统整体架构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端侧组件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蓝心端侧 BlueLM：意图识别与请求路由（简单结构缓存命中）；轻量OCR模型（DECIMER精简版）。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云端服务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蓝心大模型API：复杂命名解析、反应推理、RAG检索注入；RDKit服务：SMILES校验与SVG渲染；向量数据库：课程三元组知识库检索。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9B"/>
                <w:sz w:val="20"/>
                <w:szCs w:val="20"/>
              </w:rPr>
              <w:t xml:space="preserve">前端应用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vivo Android APP；SVG/Canvas渲染层；历史记录本地持久化；置信度与高亮标注UI。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蓝心大模型能力调用说明</w:t>
      </w:r>
    </w:p>
    <w:p>
      <w:pPr>
        <w:spacing w:after="80" w:before="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900"/>
        <w:gridCol w:w="13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使用的蓝心能力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调用方式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意图识别与请求路由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端侧 BlueLM 文本推理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API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中文IUPAC命名→SMILES生成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BlueLM Chat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反应路径RAG增强推理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BlueLM + 向量检索注入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API + System Prompt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残缺结构补全推理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BlueLM + 指纹检索上下文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API + Top-K候选注入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复赛增量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化学领域专项语义理解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蓝心模型微调（SFT）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微调后模型接口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决赛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端云协同策略（含待验证项标注）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简单结构（碳链≤10、无复杂官能团）：目标端侧BlueLM推理，延迟目标 &lt;300ms。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复杂结构与反应补全：调用云端API，延迟目标 &lt;800ms（含网络传输）。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离线模式：端侧缓存常见200个有机结构模板，支持断网场景的基础使用。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待验证项（工程严谨性标注）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上述端云分流策略中，「碳链≤10」等阈值为初步估算，实际边界取决于蓝心端侧模型的参数量与量化精度。正式分流策略须在获取端侧 BlueLM 访问权限后，针对50个典型分子样本进行 benchmark 测试方可确定。初赛演示阶段默认全部走云端 API，复赛阶段基于测试数据再扩展端侧边界。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五、可测量的评估指标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以下指标均来源于现有类似系统的基准数据或合理估算，并标注验证方式，避免无依据的数字声明。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基准来源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印刷体结构识别准确率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DECIMER论文报告印刷体≥85%，留安全余量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200张课本结构式测试集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中文命名→SMILES正确率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≥75%（初赛）
≥88%（微调后）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参照GPT-4同类任务下调20%作为基准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高校有机化学题库抽样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结构合法率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RDKit校验层兜底保证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自动化规则测试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残缺补全准确率（印刷体）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基于分子指纹相似检索的检索精度估算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50张残缺课本结构式测试集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端侧响应延迟（简单结构）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 benchmark 测试确定（当前为估算）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真机压测（获取权限后）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云端API端到端延迟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蓝心API SLA参考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网络请求日志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六、赛事评审维度对应分析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初赛（创新性40% / 应用价值40% / 完成度20%）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评审维度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本方案对应策略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作品创新性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「能说不能画」痛点叙事强；规则校验+LLM融合架构是区别于纯提示词应用的技术创新点；残缺结构补全为业内空白能力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应用价值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目标用户覆盖280万+高校化学类学生及60万竞赛备考生；与ChemDraw等PC工具形成明确替代关系；中文课程语境贴合本土实际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作品完成度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MVP（命名→SVG）在初赛阶段完整可演示；提供5步交互序列图；前后端联通，规则校验可实时触发；备有10个预缓存降级方案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复赛新增维度（大模型应用能力10%）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评审维度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本方案对应策略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大模型应用能力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明确列出端侧BlueLM（意图路由）、云端Chat API（Function Calling）、RAG（三元组知识库增强）三层调用；调用链路在代码层面可展示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作品创新性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新增反应补全+残缺结构修复，展示RAG架构实际召回与推理效果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应用价值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扩展用户场景至研究生科研辅助；展示用户测试反馈（≥10人测试报告）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作品完成度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两个核心模块稳定运行；提供演示账号与测试用例清单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决赛微调计划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数据集构建：从主流本科有机化学教材及IUPAC蓝皮书提取5000+条「中文命名-SMILES」对齐样本，人工审核后用于SFT。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微调目标：将蓝心模型在中文IUPAC多步命名（含手性、桥环等复杂结构）场景的正确率由基础版≥75%提升至≥88%。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可验证性：微调前后对比同一测试集，用量化指标证明微调效果，不依赖主观印象汇报。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七、风险识别与应对策略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蓝心端侧模型能力边界不明确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初赛将端侧定位为路由+缓存，不依赖端侧完成核心生成；拿到实测 benchmark 数据后再扩展边界（见4.3节待验证项）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手写体识别准确率低（开源方案&lt;60%）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复赛仅展示印刷体识别，手写体作为决赛增量功能，不在复赛期间承诺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RAG知识库构建周期与版权限制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优先使用公开考纲与习题集（CC协议）；教材内容仅提取反应三元组（化学公式属科学事实，不受版权保护）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大模型SMILES生成错误导致演示翻车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规则校验层兜底；具体降级方案见下方「初赛演示降级预案」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vivo云测平台接入周期影响复赛进度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提前完成本地版本，云测平台作为展示加分项，不作为功能必要依赖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初赛演示降级预案（具体操作）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触发条件：云端 API 调用失败或响应超时（&gt;3s）。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具体操作：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预先在本地缓存10个典型分子的完整结构图，覆盖「苯甲酸、乙醇、葡萄糖、苯环、萘、丙酮、乙酸乙酯、苯乙烯、甲苯、对硝基苯胺」。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触发降级时，界面正常展示客户端→端侧→云端的完整调度流程动效，最终以预缓存结构卡片呈现——重点呈现调用链路的完整性，而非纠结单次实时推理是否成功。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在演示说明中主动告知评委：「正式生产环境中由云端实时推理；当前演示为缓存模式」，体现工程诚信度。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八、交付里程碑与初赛提交物清单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整体里程碑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初赛提交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本需求说明书 + APP原型截图×5 + 3分钟演示视频 + 创意说明文档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初赛截止前2周完成内部评审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复赛技术验证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端侧benchmark报告 + 印刷体识别准确率测试报告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复赛前4周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复赛提交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功能完善APP + 云测平台部署 + 用户测试报告（≥10人）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复赛截止日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决赛准备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微调数据集（5000+条）+ 微调前后对比报告 + 完整功能演示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决赛前3周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初赛提交物逐项说明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本节列出初赛评委审核时每项交付物的具体内容与评审侧重，避免因标准模糊导致材料缺失。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提交项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评委关注点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创意说明文档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问题定义 + 解决方案概述 + 创新点 + 用户价值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创新性（40%）：切入点是否差异化，能否一眼抓住评委注意力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需求说明书（本文档）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完整技术方案、竞品分析、市场规模、风险识别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技术可信度与方案完备性，尤其被vivo技术评委审查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APP交互截图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5张关键界面截图：启动页 / 输入框 / 加载动效 / 结构卡片输出 / 收藏确认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完成度（20%）：是否真实可运行，非概念图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演示视频（3分钟）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完整走一遍典型用例（「苯甲酸」从输入到收藏），配语音说明每步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完成度（20%）+ 应用价值（40%）：是否解决真实场景问题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降级预案说明（附页）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列出10个预缓存分子名称 + 降级触发条件说明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工程严谨性，在被追问演示稳定性时可直接展示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4E9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F4E9B"/>
          <w:sz w:val="30"/>
          <w:szCs w:val="30"/>
        </w:rPr>
        <w:t xml:space="preserve">九、项目总结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ChemVISION 以「通用大模型在专业科学表达领域的结构化输出能力缺失」为核心问题，提出端云协同的混合架构方案，将蓝心大模型的语言理解能力与化学规则引擎相结合，填补移动端化学学习场景中「自然语言到结构图形」这一关键转换的工具空白。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v2.0版本在技术方案上做出三项关键调整：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规则校验层重定位为横向支撑能力，明确在结构生成、反应补全、残缺修复三个模块中复用，体现架构的内聚性而非功能堆砌。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化学知识库引入反应三元组结构化策略，针对化学数据的特殊性设计检索路径，区别于通用文本RAG。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新增残缺结构式智能补全模块，将「污损课本」这一普遍但长期被忽视的场景纳入解决范围，进一步拓宽应用价值边界。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端侧能力边界的待验证项标注、初赛演示降级预案的具体操作说明、初赛提交物的逐项清单，共同体现了从概念设计到工程落地的完备思维。这既是对评委质疑的预先应答，也是项目实际推进的行动指南。</w:t>
      </w:r>
    </w:p>
    <w:sectPr>
      <w:head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9B" w:sz="4" w:space="4"/>
      </w:pBdr>
      <w:spacing w:after="80" w:before="0"/>
    </w:pPr>
    <w:r>
      <w:rPr>
        <w:rFonts w:ascii="Arial" w:cs="Arial" w:eastAsia="Arial" w:hAnsi="Arial"/>
        <w:b/>
        <w:bCs/>
        <w:color w:val="1F4E9B"/>
        <w:sz w:val="20"/>
        <w:szCs w:val="20"/>
      </w:rPr>
      <w:t xml:space="preserve">ChemVISION  </w:t>
    </w:r>
    <w:r>
      <w:rPr>
        <w:rFonts w:ascii="Arial" w:cs="Arial" w:eastAsia="Arial" w:hAnsi="Arial"/>
        <w:color w:val="666666"/>
        <w:sz w:val="20"/>
        <w:szCs w:val="20"/>
      </w:rPr>
      <w:t xml:space="preserve">│  化学结构式智能生成与学习助手  │  项目需求说明书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2026-04-28T09:00:36.878Z</dcterms:created>
  <dcterms:modified xsi:type="dcterms:W3CDTF">2026-04-28T09:00:36.879Z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