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  <w:jc w:val="center"/>
      </w:pP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PROPOSITION DE PROJET</w:t>
      </w:r>
    </w:p>
    <w:p>
      <w:pPr>
        <w:pBdr>
          <w:bottom w:val="single" w:color="2E75B6" w:sz="6" w:space="1"/>
        </w:pBdr>
        <w:spacing w:after="200"/>
        <w:jc w:val="center"/>
      </w:pPr>
    </w:p>
    <w:p>
      <w:pPr>
        <w:spacing w:before="4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Validation en Microgravité d’un Modèle de</w:t>
      </w:r>
    </w:p>
    <w:p>
      <w:pPr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Diagnostic Vibratoire et Harmonique</w:t>
      </w: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pour Moteurs DC</w:t>
      </w:r>
    </w:p>
    <w:p>
      <w:pPr>
        <w:pBdr>
          <w:bottom w:val="single" w:color="2E75B6" w:sz="6" w:space="1"/>
        </w:pBdr>
        <w:spacing w:after="200" w:before="200"/>
        <w:jc w:val="center"/>
      </w:pP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Comparaison Modèle Single-Axis vs Multi-Axial</w:t>
      </w:r>
    </w:p>
    <w:p>
      <w:pPr>
        <w:spacing w:before="8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Avril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Table des matières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Contexte et Objectif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Problématique</w:t>
      </w:r>
      <w:r>
        <w:rPr>
          <w:rFonts w:ascii="Arial" w:cs="Arial" w:eastAsia="Arial" w:hAnsi="Arial"/>
          <w:sz w:val="22"/>
          <w:szCs w:val="22"/>
        </w:rPr>
        <w:t xml:space="preserve"> : Les modèles de diagnostic prédictif entraînés au sol intègrent implicitement les effets gravitationnels (charge axiale sur roulements, flexion d’arbre, résonances structurelles liées au poids). La question est : un modèle entraîné en 1g reste-t-il fiable en 0g 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Hypothèse centrale</w:t>
      </w:r>
      <w:r>
        <w:rPr>
          <w:rFonts w:ascii="Arial" w:cs="Arial" w:eastAsia="Arial" w:hAnsi="Arial"/>
          <w:sz w:val="22"/>
          <w:szCs w:val="22"/>
        </w:rPr>
        <w:t xml:space="preserve"> : Un modèle entraîné sur plusieurs orientations gravitationnelles (multi-axial) apprend des features plus invariantes à la gravité qu’un modèle entraîné sur une seule orientation, et sera donc plus robuste en microgravité.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Objectif</w:t>
      </w:r>
      <w:r>
        <w:rPr>
          <w:rFonts w:ascii="Arial" w:cs="Arial" w:eastAsia="Arial" w:hAnsi="Arial"/>
          <w:sz w:val="22"/>
          <w:szCs w:val="22"/>
        </w:rPr>
        <w:t xml:space="preserve"> : Comparer deux stratégies d’entraînement embarqué et quantifier le gain de robustesse apporté par la diversité d’orientation au sol.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Les Deux Modèles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Modèle A — «Single-Axis» (baseline)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Orientation d’entraînement : Horizontale uniquement (arbre parallèle au sol)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Données : ~100 acquisitions par config (défaut × charge × vitesse)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Hypothèse : Le vecteur gravité reste constant → le modèle encode implicitement la signature gravitationnelle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Taille : &lt; 50 KB (INT8, CyanMycelium)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Modèle B — «Multi-Axial» (candidat robuste)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Orientations d’entraînement : 6 orientations (0°, +90°, −90°, ±45°, 180°)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Données : ~100 acquisitions × 6 orientations par config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Hypothèse : La diversité d’orientation force le modèle à apprendre des features invariantes au vecteur 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Taille : &lt; 50 KB (INT8, CyanMycelium)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Architecture identique pour les deux modèles — seules les données d’entraînement diffèrent. Ceci isole strictement l’effet de la stratégie d’entraînement.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Phase Sol — Entraînement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Moteurs et défauts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20+ moteurs DC brushed identiques (ex. Mabuchi RS-385). Défauts injectés 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D0 — Sain (référence)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D1 — Déséquilibre rotor (masse ajoutée)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D2 — Défaut roulement (micro-rayure bague interne)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D3 — Usure balais (balais pré-usés)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D4 — Excentricité d’arbre (désalignement contrôlé)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Capteurs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Capteur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Fréq. échantillonnage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Vibration 3 axes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ADXL355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kHz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Courant moteur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Shunt + ADC 16 bits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kHz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Tension moteur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Diviseur + ADC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kHz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Température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Thermistance NTC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Hz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Encodeur optique réflectif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Protocole d’acquisition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Modèle A</w:t>
      </w:r>
      <w:r>
        <w:rPr>
          <w:rFonts w:ascii="Arial" w:cs="Arial" w:eastAsia="Arial" w:hAnsi="Arial"/>
          <w:sz w:val="22"/>
          <w:szCs w:val="22"/>
        </w:rPr>
        <w:t xml:space="preserve"> : chaque moteur en position horizontale uniquement. 3 profils de charge × 3 profils de vitesse × 100 répétitions = 900 acquisitions/moteur.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Modèle B</w:t>
      </w:r>
      <w:r>
        <w:rPr>
          <w:rFonts w:ascii="Arial" w:cs="Arial" w:eastAsia="Arial" w:hAnsi="Arial"/>
          <w:sz w:val="22"/>
          <w:szCs w:val="22"/>
        </w:rPr>
        <w:t xml:space="preserve"> : chaque moteur dans les 6 orientations. 3 charges × 3 vitesses × 6 orientations × 100 répétitions = 5 400 acquisitions/moteur.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Pipeline de traitement (commun)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DSP : FFT, enveloppe spectrale, STFT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Features : harmoniques fondamentales + sidebands, RMS vibration, kurtosis, crest factor, MCSA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Modèle : même architecture réseau, quantifié INT8 via CyanMycelium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Sortie : classe de défaut + score de confiance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Validation sol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Modèle A</w:t>
      </w:r>
      <w:r>
        <w:rPr>
          <w:rFonts w:ascii="Arial" w:cs="Arial" w:eastAsia="Arial" w:hAnsi="Arial"/>
          <w:sz w:val="22"/>
          <w:szCs w:val="22"/>
        </w:rPr>
        <w:t xml:space="preserve"> 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Cross-validation (leave-one-motor-out) sur horizontal seul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sur les 5 orientations non entraînées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Métrique cible : Accuracy &gt; 95% sur horizontal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Modèle B</w:t>
      </w:r>
      <w:r>
        <w:rPr>
          <w:rFonts w:ascii="Arial" w:cs="Arial" w:eastAsia="Arial" w:hAnsi="Arial"/>
          <w:sz w:val="22"/>
          <w:szCs w:val="22"/>
        </w:rPr>
        <w:t xml:space="preserve"> :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Cross-validation (leave-one-motor-out) sur toutes orientations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Métrique cible : Accuracy &gt; 95% sur mix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Test critique au sol</w:t>
      </w:r>
      <w:r>
        <w:rPr>
          <w:rFonts w:ascii="Arial" w:cs="Arial" w:eastAsia="Arial" w:hAnsi="Arial"/>
          <w:sz w:val="22"/>
          <w:szCs w:val="22"/>
        </w:rPr>
        <w:t xml:space="preserve"> : performance de A sur orientations non entraînées. Si A s’effondre déjà entre horizontal et vertical, on a un indicateur fort avant même le vol.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Phase Vol — Expérience en Microgravité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Matériel embarqué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312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Carte de calcul (STM32H7 / RP2040)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Nominale + spare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Carte acquisition (ADC + cond.)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ADC + conditionnement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Moteurs sains (D0)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Moteurs D1 (déséquilibre)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Moteurs D2 (roulement)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Moteurs D3 (balais)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Moteurs D4 (excentricité)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Stockage SD industriel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Données brutes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10 moteurs au total, numérotés, mapping défaut sous pli scellé.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Protocole vol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Pour chaque moteur :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Montage sur support, fixation standard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Séquence automatisée : rampe → régime → rampe → arrêt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Double inférence simultanée : Modèle A et Modèle B prédisent classe + confiance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Données brutes enregistrées sur SD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 répétitions minimum par moteur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Durée estimée : ~2h (dont majorité automatisée)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Données collectées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 moteur et par run :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Données brutes : vibration 3 axes (4 kHz), courant (10 kHz), tension (10 kHz), RPM, température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Inférences : prédiction modèle A (classe, confiance, latence), prédiction modèle B (classe, confiance, latence)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Métadonnées : motor_id, run_id, timestamp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Phase Retour — Analyse Comparative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Analyse primaire — Test en aveugle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Comparer pour les deux modèles : accuracy globale en 0g, F1 par classe de défaut, confiance moyenne, taux de faux négatifs.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Résultat attendu</w:t>
      </w:r>
      <w:r>
        <w:rPr>
          <w:rFonts w:ascii="Arial" w:cs="Arial" w:eastAsia="Arial" w:hAnsi="Arial"/>
          <w:sz w:val="22"/>
          <w:szCs w:val="22"/>
        </w:rPr>
        <w:t xml:space="preserve"> : B &gt; A sur toutes les métriques en 0g.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Métrique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Modèle 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Modèle 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Accuracy globale 0g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 par classe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Confiance moyenne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Faux négatifs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?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?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Analyse secondaire — Domain Shift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Comparaison spectrale sol/vol pour chaque type de défaut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Quantification du pourcentage de features affecté par la gravité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Identification des bandes de fréquence les plus sensibles au vecteur g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Corrélation : les features qui changent entre orientations au sol sont-elles les mêmes qui changent en 0g ?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Analyse tertiaire — Transfert et Adaptation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Combien de données 0g pour adapter A ? (fine-tuning incrémental avec N = 1, 5, 10, 20 samples)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 a-t-il besoin d’adaptation ? (test direct, puis fine-tuning si nécessaire)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 multi-axial sol est-il un bon proxy du 0g ? (comparaison des distributions de features)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Peut-on construire un modèle «gravity-invariant» ? (domain adversarial training sur orientation)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Matrice de résultats attendus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 (horiz.)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 (multi)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 (0g)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Modèle A (single)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Modèle B (multi)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Question clé</w:t>
      </w:r>
      <w:r>
        <w:rPr>
          <w:rFonts w:ascii="Arial" w:cs="Arial" w:eastAsia="Arial" w:hAnsi="Arial"/>
          <w:sz w:val="22"/>
          <w:szCs w:val="22"/>
        </w:rPr>
        <w:t xml:space="preserve"> : est-ce que la performance en sol multi-orientation prédit bien la performance en vol 0g ?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Livrables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sol complet (single + multi-axial)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HDF5 + metadata JSON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modèles entraînés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ONNX + binaires CyanMycelium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vol (brut + double inférence)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HDF5 + metadata JSON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Rapport comparatif A vs B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Publication</w:t>
            </w:r>
          </w:p>
        </w:tc>
      </w:tr>
      <w:tr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Recommandations stratégie d’entraînement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technique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Budget Masse / Puissance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Masse totale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2.5 kg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Puissance crête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15W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~2U CubeSat équivalent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Plateformes candidates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ISS (NanoRacks, ICE Cubes), vol parabolique, CubeSat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Résumé de la Valeur Ajoutée du Design A/B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fait d’embarquer les deux modèles sur la même carte et de les faire tourner sur les mêmes données brutes donne une comparaison parfaitement contrôlée.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Toute différence de performance est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strictement</w:t>
      </w:r>
      <w:r>
        <w:rPr>
          <w:rFonts w:ascii="Arial" w:cs="Arial" w:eastAsia="Arial" w:hAnsi="Arial"/>
          <w:sz w:val="22"/>
          <w:szCs w:val="22"/>
        </w:rPr>
        <w:t xml:space="preserve"> attribuable à la stratégie d’entraînement, pas au hardware, aux conditions de vol, ou aux moteurs testés.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Validation Microgravité — Moteurs DC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7"/>
    <w:lvlOverride w:ilvl="0">
      <w:startOverride w:val="1"/>
    </w:lvlOverride>
  </w:num>
  <w:num w:numId="4">
    <w:abstractNumId w:val="8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9"/>
    <w:lvlOverride w:ilvl="0">
      <w:startOverride w:val="1"/>
    </w:lvlOverride>
  </w:num>
  <w:num w:numId="7">
    <w:abstractNumId w:val="10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11"/>
    <w:lvlOverride w:ilvl="0">
      <w:startOverride w:val="1"/>
    </w:lvlOverride>
  </w:num>
  <w:num w:numId="10">
    <w:abstractNumId w:val="12"/>
    <w:lvlOverride w:ilvl="0">
      <w:startOverride w:val="1"/>
    </w:lvlOverride>
  </w:num>
  <w:num w:numId="11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2026-04-02T16:15:18.658Z</dcterms:created>
  <dcterms:modified xsi:type="dcterms:W3CDTF">2026-04-02T16:15:18.658Z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