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Envelope-Domain Preprocessing for Ultra-Compact LSTM-Based</w:t>
      </w:r>
    </w:p>
    <w:p>
      <w:pPr>
        <w:spacing w:after="300"/>
        <w:jc w:val="center"/>
      </w:pPr>
      <w:r>
        <w:rPr>
          <w:rFonts w:ascii="Times New Roman" w:cs="Times New Roman" w:eastAsia="Times New Roman" w:hAnsi="Times New Roman"/>
          <w:b/>
          <w:bCs/>
          <w:sz w:val="32"/>
          <w:szCs w:val="32"/>
        </w:rPr>
        <w:t xml:space="preserve">Broken Rotor Bar Severity Grading</w:t>
      </w:r>
    </w:p>
    <w:p>
      <w:pPr>
        <w:spacing w:after="80"/>
        <w:jc w:val="center"/>
      </w:pPr>
      <w:r>
        <w:rPr>
          <w:rFonts w:ascii="Times New Roman" w:cs="Times New Roman" w:eastAsia="Times New Roman" w:hAnsi="Times New Roman"/>
          <w:sz w:val="24"/>
          <w:szCs w:val="24"/>
        </w:rPr>
        <w:t xml:space="preserve">Guillaume Pelletier</w:t>
      </w:r>
    </w:p>
    <w:p>
      <w:pPr>
        <w:spacing w:after="200"/>
        <w:jc w:val="center"/>
      </w:pPr>
      <w:r>
        <w:rPr>
          <w:rFonts w:ascii="Times New Roman" w:cs="Times New Roman" w:eastAsia="Times New Roman" w:hAnsi="Times New Roman"/>
          <w:i/>
          <w:iCs/>
          <w:sz w:val="20"/>
          <w:szCs w:val="20"/>
        </w:rPr>
        <w:t xml:space="preserve">DotVision, Houston TX, USA</w:t>
      </w:r>
    </w:p>
    <w:p>
      <w:pPr>
        <w:spacing w:after="300" w:before="100"/>
        <w:jc w:val="center"/>
      </w:pPr>
      <w:r>
        <w:rPr>
          <w:rFonts w:ascii="Times New Roman" w:cs="Times New Roman" w:eastAsia="Times New Roman" w:hAnsi="Times New Roman"/>
          <w:i/>
          <w:iCs/>
          <w:sz w:val="18"/>
          <w:szCs w:val="18"/>
        </w:rPr>
        <w:t xml:space="preserve">AI-assisted tools were used for language refinement and clarity. All technical content, experiments, and conclusions are the authors’ own.</w:t>
      </w:r>
    </w:p>
    <w:p>
      <w:pPr>
        <w:pStyle w:val="Heading1"/>
        <w:spacing w:after="100" w:before="200"/>
      </w:pPr>
      <w:r>
        <w:rPr>
          <w:rFonts w:ascii="Times New Roman" w:cs="Times New Roman" w:eastAsia="Times New Roman" w:hAnsi="Times New Roman"/>
          <w:b/>
          <w:bCs/>
          <w:sz w:val="24"/>
          <w:szCs w:val="24"/>
        </w:rPr>
        <w:t xml:space="preserve">Abstract</w:t>
      </w:r>
    </w:p>
    <w:p>
      <w:pPr>
        <w:spacing w:after="120" w:line="264"/>
        <w:jc w:val="both"/>
      </w:pPr>
      <w:r>
        <w:rPr>
          <w:rFonts w:ascii="Times New Roman" w:cs="Times New Roman" w:eastAsia="Times New Roman" w:hAnsi="Times New Roman"/>
          <w:i/>
          <w:iCs/>
          <w:sz w:val="20"/>
          <w:szCs w:val="20"/>
        </w:rPr>
        <w:t xml:space="preserve">We present a 4,773-parameter LSTM classifier for 5-class broken rotor bar severity grading from three-phase stator currents. On the public Universidade Federal de Uberlândia dataset (IEEE DataPort), it reaches 78.3% accuracy and trains in under 3 minutes on a laptop CPU, entirely in a web browser.</w:t>
      </w:r>
    </w:p>
    <w:p>
      <w:pPr>
        <w:spacing w:after="120" w:line="264"/>
        <w:jc w:val="both"/>
      </w:pPr>
      <w:r>
        <w:rPr>
          <w:rFonts w:ascii="Times New Roman" w:cs="Times New Roman" w:eastAsia="Times New Roman" w:hAnsi="Times New Roman"/>
          <w:i/>
          <w:iCs/>
          <w:sz w:val="20"/>
          <w:szCs w:val="20"/>
        </w:rPr>
        <w:t xml:space="preserve">A preprocessing pipeline extracts the amplitude envelope of the stator current via half-cycle moving RMS, decimates it to 60 Hz, and removes the load-dependent baseline by per-window mean subtraction. This collapses the input from 256 high-frequency samples to 64 slowly-varying envelope samples. Without it, the same LSTM fails to train due to vanishing gradients through the longer sequence.</w:t>
      </w:r>
    </w:p>
    <w:p>
      <w:pPr>
        <w:spacing w:after="120" w:line="264"/>
        <w:jc w:val="both"/>
      </w:pPr>
      <w:r>
        <w:rPr>
          <w:rFonts w:ascii="Times New Roman" w:cs="Times New Roman" w:eastAsia="Times New Roman" w:hAnsi="Times New Roman"/>
          <w:i/>
          <w:iCs/>
          <w:sz w:val="20"/>
          <w:szCs w:val="20"/>
        </w:rPr>
        <w:t xml:space="preserve">Broken rotor bars produce sidebands at f ± 2sf in the stator current spectrum. In the time domain these appear as slow amplitude modulation at 2–6 Hz, which the moving RMS captures directly. The envelope captures the discriminative information relevant to BRB severity, while the carrier primarily contributes redundant high-frequency structure. An ablation across four pipeline variants (26.8% to 78.3%) confirms that each preprocessing step contributes measurably.</w:t>
      </w:r>
    </w:p>
    <w:p>
      <w:pPr>
        <w:spacing w:after="120" w:line="264"/>
        <w:jc w:val="both"/>
      </w:pPr>
      <w:r>
        <w:rPr>
          <w:rFonts w:ascii="Times New Roman" w:cs="Times New Roman" w:eastAsia="Times New Roman" w:hAnsi="Times New Roman"/>
          <w:i/>
          <w:iCs/>
          <w:sz w:val="20"/>
          <w:szCs w:val="20"/>
        </w:rPr>
        <w:t xml:space="preserve">Accuracy is below the 95–99% reported by large CNN models on the same data. The gap is expected given a 1000× reduction in parameter count. Collapsing to a binary healthy/faulty decision gives 94.0% accuracy; most of the binary errors come from BRB1 samples (one broken bar out of 34) misclassified as Healthy, particularly at light loads where the 2.9% modulation is near the noise floor.</w:t>
      </w:r>
    </w:p>
    <w:p>
      <w:pPr>
        <w:spacing w:after="200" w:before="20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Motor Current Signature Analysis, broken rotor bar, LSTM, TinyML, envelope extraction, edge computing, predictive maintenance</w:t>
      </w:r>
    </w:p>
    <w:p>
      <w:pPr>
        <w:sectPr>
          <w:type w:val="nextPage"/>
          <w:pgSz w:w="12240" w:h="15840" w:orient="portrait"/>
          <w:pgMar w:top="1440" w:right="1080" w:bottom="1440" w:left="1080" w:header="708" w:footer="708" w:gutter="0"/>
          <w:pgNumType/>
          <w:docGrid w:linePitch="360"/>
        </w:sectPr>
      </w:pPr>
    </w:p>
    <w:p>
      <w:pPr>
        <w:pStyle w:val="Heading1"/>
        <w:spacing w:after="100" w:before="200"/>
      </w:pPr>
      <w:r>
        <w:rPr>
          <w:rFonts w:ascii="Times New Roman" w:cs="Times New Roman" w:eastAsia="Times New Roman" w:hAnsi="Times New Roman"/>
          <w:b/>
          <w:bCs/>
          <w:sz w:val="24"/>
          <w:szCs w:val="24"/>
        </w:rPr>
        <w:t xml:space="preserve">I. Introduction</w:t>
      </w:r>
    </w:p>
    <w:p>
      <w:pPr>
        <w:spacing w:after="120" w:line="264"/>
        <w:jc w:val="both"/>
      </w:pPr>
      <w:r>
        <w:rPr>
          <w:rFonts w:ascii="Times New Roman" w:cs="Times New Roman" w:eastAsia="Times New Roman" w:hAnsi="Times New Roman"/>
          <w:sz w:val="20"/>
          <w:szCs w:val="20"/>
        </w:rPr>
        <w:t xml:space="preserve">The broken rotor bar fault signature is a low-frequency amplitude modulation (2–6 Hz) of the stator current carrier (50/60 Hz). Rotor asymmetry creates sidebands at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(1 ± 2</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in the current spectrum, which manifest as a slow envelope oscillation. The envelope is therefore empirically sufficient for fault detection on this task.</w:t>
      </w:r>
    </w:p>
    <w:p>
      <w:pPr>
        <w:spacing w:after="120" w:line="264"/>
        <w:jc w:val="both"/>
      </w:pPr>
      <w:r>
        <w:rPr>
          <w:rFonts w:ascii="Times New Roman" w:cs="Times New Roman" w:eastAsia="Times New Roman" w:hAnsi="Times New Roman"/>
          <w:sz w:val="20"/>
          <w:szCs w:val="20"/>
        </w:rPr>
        <w:t xml:space="preserve">The mainstream approach uses large neural networks (CNNs, ResNets, VGGs) operating on spectrograms or raw waveforms to implicitly learn this envelope extraction. We show that making the extraction explicit via a simple moving-RMS filter reduces the need for model capacity by three orders of magnitude.</w:t>
      </w:r>
    </w:p>
    <w:p>
      <w:pPr>
        <w:pStyle w:val="Heading2"/>
        <w:spacing w:after="100" w:before="200"/>
      </w:pPr>
      <w:r>
        <w:rPr>
          <w:rFonts w:ascii="Times New Roman" w:cs="Times New Roman" w:eastAsia="Times New Roman" w:hAnsi="Times New Roman"/>
          <w:b/>
          <w:bCs/>
          <w:sz w:val="22"/>
          <w:szCs w:val="22"/>
        </w:rPr>
        <w:t xml:space="preserve">A. Prior Art</w:t>
      </w:r>
    </w:p>
    <w:p>
      <w:pPr>
        <w:spacing w:after="120" w:line="264"/>
        <w:jc w:val="both"/>
      </w:pPr>
      <w:r>
        <w:rPr>
          <w:rFonts w:ascii="Times New Roman" w:cs="Times New Roman" w:eastAsia="Times New Roman" w:hAnsi="Times New Roman"/>
          <w:sz w:val="20"/>
          <w:szCs w:val="20"/>
        </w:rPr>
        <w:t xml:space="preserve">Table I compares published neural-network approaches for broken rotor bar detection. The top-performing approaches (VGG-19, ResNet-152) use 60–144 M parameters to solve a 5-class signal processing problem. They achieve 98–99% accuracy but require GPU hardware and are impractical for MCU deployment. Decision trees on FFT features achieve 95–98% with fewer parameters but require explicit sideband identification, which is fragile under variable speed and noise.</w:t>
      </w:r>
    </w:p>
    <w:p>
      <w:pPr>
        <w:spacing w:before="160"/>
        <w:jc w:val="center"/>
      </w:pPr>
      <w:r>
        <w:rPr>
          <w:rFonts w:ascii="Times New Roman" w:cs="Times New Roman" w:eastAsia="Times New Roman" w:hAnsi="Times New Roman"/>
          <w:b/>
          <w:bCs/>
          <w:sz w:val="18"/>
          <w:szCs w:val="18"/>
        </w:rPr>
        <w:t xml:space="preserve">Table I. </w:t>
      </w:r>
      <w:r>
        <w:rPr>
          <w:rFonts w:ascii="Times New Roman" w:cs="Times New Roman" w:eastAsia="Times New Roman" w:hAnsi="Times New Roman"/>
          <w:i/>
          <w:iCs/>
          <w:sz w:val="16"/>
          <w:szCs w:val="16"/>
        </w:rPr>
        <w:t xml:space="preserve">Comparison with published approaches.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400"/>
        <w:gridCol w:w="500"/>
        <w:gridCol w:w="700"/>
        <w:gridCol w:w="600"/>
      </w:tblGrid>
      <w:tr>
        <w:tc>
          <w:tcPr>
            <w:tcW w:type="dxa" w:w="10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Reference</w:t>
            </w:r>
          </w:p>
        </w:tc>
        <w:tc>
          <w:tcPr>
            <w:tcW w:type="dxa" w:w="9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Architecture</w:t>
            </w:r>
          </w:p>
        </w:tc>
        <w:tc>
          <w:tcPr>
            <w:tcW w:type="dxa" w:w="6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Params</w:t>
            </w:r>
          </w:p>
        </w:tc>
        <w:tc>
          <w:tcPr>
            <w:tcW w:type="dxa" w:w="4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Cls</w:t>
            </w:r>
          </w:p>
        </w:tc>
        <w:tc>
          <w:tcPr>
            <w:tcW w:type="dxa" w:w="5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Acc</w:t>
            </w:r>
          </w:p>
        </w:tc>
        <w:tc>
          <w:tcPr>
            <w:tcW w:type="dxa" w:w="7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Input</w:t>
            </w:r>
          </w:p>
        </w:tc>
        <w:tc>
          <w:tcPr>
            <w:tcW w:type="dxa" w:w="6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Runtime</w:t>
            </w:r>
          </w:p>
        </w:tc>
      </w:tr>
      <w:tr>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Chisedzi [1]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DT / ANN</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~1–10 K</w:t>
            </w:r>
          </w:p>
        </w:tc>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3</w:t>
            </w:r>
          </w:p>
        </w:tc>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95–98%</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FFT feat.</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Desktop</w:t>
            </w:r>
          </w:p>
        </w:tc>
      </w:tr>
      <w:tr>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Barrera [2]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VGG-19</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143.7 M</w:t>
            </w:r>
          </w:p>
        </w:tc>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w:t>
            </w:r>
          </w:p>
        </w:tc>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99.4%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Spectro.</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GPU</w:t>
            </w:r>
          </w:p>
        </w:tc>
      </w:tr>
      <w:tr>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Barrera [2]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NASNet-M</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5.3 M</w:t>
            </w:r>
          </w:p>
        </w:tc>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w:t>
            </w:r>
          </w:p>
        </w:tc>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96.2%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Spectro.</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GPU</w:t>
            </w:r>
          </w:p>
        </w:tc>
      </w:tr>
      <w:tr>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Jakaria [3]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CNN-LSTM</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~100 K</w:t>
            </w:r>
          </w:p>
        </w:tc>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w:t>
            </w:r>
          </w:p>
        </w:tc>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92.3%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Raw I</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GPU</w:t>
            </w:r>
          </w:p>
        </w:tc>
      </w:tr>
      <w:tr>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Baseline</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FFT+SVM</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n/p</w:t>
            </w:r>
          </w:p>
        </w:tc>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w:t>
            </w:r>
          </w:p>
        </w:tc>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81.5%</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18 FFT feat.</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Desktop</w:t>
            </w:r>
          </w:p>
        </w:tc>
      </w:tr>
      <w:tr>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Baseline</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FFT+MLP</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773</w:t>
            </w:r>
          </w:p>
        </w:tc>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w:t>
            </w:r>
          </w:p>
        </w:tc>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67.0%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18 FFT feat.</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Desktop</w:t>
            </w:r>
          </w:p>
        </w:tc>
      </w:tr>
      <w:tr>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This work</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LSTM h=32</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4,773</w:t>
            </w:r>
          </w:p>
        </w:tc>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5</w:t>
            </w:r>
          </w:p>
        </w:tc>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78.3%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Envelope</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Browser</w:t>
            </w:r>
          </w:p>
        </w:tc>
      </w:tr>
    </w:tbl>
    <w:p>
      <w:pPr>
        <w:spacing w:after="80"/>
        <w:jc w:val="both"/>
      </w:pPr>
    </w:p>
    <w:p>
      <w:pPr>
        <w:pStyle w:val="Heading1"/>
        <w:spacing w:after="100" w:before="200"/>
      </w:pPr>
      <w:r>
        <w:rPr>
          <w:rFonts w:ascii="Times New Roman" w:cs="Times New Roman" w:eastAsia="Times New Roman" w:hAnsi="Times New Roman"/>
          <w:b/>
          <w:bCs/>
          <w:sz w:val="24"/>
          <w:szCs w:val="24"/>
        </w:rPr>
        <w:t xml:space="preserve">II. Dataset</w:t>
      </w:r>
    </w:p>
    <w:p>
      <w:pPr>
        <w:spacing w:after="120" w:line="264"/>
        <w:jc w:val="both"/>
      </w:pPr>
      <w:r>
        <w:rPr>
          <w:rFonts w:ascii="Times New Roman" w:cs="Times New Roman" w:eastAsia="Times New Roman" w:hAnsi="Times New Roman"/>
          <w:sz w:val="20"/>
          <w:szCs w:val="20"/>
        </w:rPr>
        <w:t xml:space="preserve">The Broken Rotor Bar dataset, published by the Universidade Federal de Uberlândia on IEEE DataPort, contains electrical and vibration recordings from a 1 hp, 220/380 V, 4-pole, 60 Hz squirrel-cage induction motor (rated 1715 rpm, 4.1 Nm, 34 rotor bars).</w:t>
      </w:r>
    </w:p>
    <w:p>
      <w:pPr>
        <w:spacing w:after="120" w:line="264"/>
        <w:jc w:val="both"/>
      </w:pPr>
      <w:r>
        <w:rPr>
          <w:rFonts w:ascii="Times New Roman" w:cs="Times New Roman" w:eastAsia="Times New Roman" w:hAnsi="Times New Roman"/>
          <w:sz w:val="20"/>
          <w:szCs w:val="20"/>
        </w:rPr>
        <w:t xml:space="preserve">Five rotor states are tested: Healthy (no defect), BRB1–BRB4 (1–4 adjacent broken bars). Each state is tested at 8 load levels (12.5–100% of rated torque) with 10 repetitions per condition. Each acquisition is 18 s long, sampled at ~55.6 kHz, covering startup transient to steady state. Only the three phase currents (Ia, Ib, Ic) are used; voltages and vibration channels are discarded.</w:t>
      </w:r>
    </w:p>
    <w:p>
      <w:pPr>
        <w:pStyle w:val="Heading1"/>
        <w:spacing w:after="100" w:before="200"/>
      </w:pPr>
      <w:r>
        <w:rPr>
          <w:rFonts w:ascii="Times New Roman" w:cs="Times New Roman" w:eastAsia="Times New Roman" w:hAnsi="Times New Roman"/>
          <w:b/>
          <w:bCs/>
          <w:sz w:val="24"/>
          <w:szCs w:val="24"/>
        </w:rPr>
        <w:t xml:space="preserve">III. Proposed Method</w:t>
      </w:r>
    </w:p>
    <w:p>
      <w:pPr>
        <w:pStyle w:val="Heading2"/>
        <w:spacing w:after="100" w:before="200"/>
      </w:pPr>
      <w:r>
        <w:rPr>
          <w:rFonts w:ascii="Times New Roman" w:cs="Times New Roman" w:eastAsia="Times New Roman" w:hAnsi="Times New Roman"/>
          <w:b/>
          <w:bCs/>
          <w:sz w:val="22"/>
          <w:szCs w:val="22"/>
        </w:rPr>
        <w:t xml:space="preserve">A. Physics of Broken Rotor Bars</w:t>
      </w:r>
    </w:p>
    <w:p>
      <w:pPr>
        <w:spacing w:after="120" w:line="264"/>
        <w:jc w:val="both"/>
      </w:pPr>
      <w:r>
        <w:rPr>
          <w:rFonts w:ascii="Times New Roman" w:cs="Times New Roman" w:eastAsia="Times New Roman" w:hAnsi="Times New Roman"/>
          <w:sz w:val="20"/>
          <w:szCs w:val="20"/>
        </w:rPr>
        <w:t xml:space="preserve">Broken rotor bars introduce sidebands in the stator current at frequencies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(1 ± 2</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is the line frequency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the slip. For the test motor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60 Hz,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0.047 at rated load), this gives sidebands at 54.4 Hz and 65.6 Hz. In the time domain, these manifest as amplitude modulation at 2</w:t>
      </w:r>
      <w:r>
        <w:rPr>
          <w:rFonts w:ascii="Times New Roman" w:cs="Times New Roman" w:eastAsia="Times New Roman" w:hAnsi="Times New Roman"/>
          <w:i/>
          <w:iCs/>
          <w:sz w:val="20"/>
          <w:szCs w:val="20"/>
        </w:rPr>
        <w:t xml:space="preserve">sf</w:t>
      </w:r>
      <w:r>
        <w:rPr>
          <w:rFonts w:ascii="Times New Roman" w:cs="Times New Roman" w:eastAsia="Times New Roman" w:hAnsi="Times New Roman"/>
          <w:sz w:val="20"/>
          <w:szCs w:val="20"/>
        </w:rPr>
        <w:t xml:space="preserve"> ≈ 5.6 Hz. The modulation depth is proportional to </w:t>
      </w:r>
      <w:r>
        <w:rPr>
          <w:rFonts w:ascii="Times New Roman" w:cs="Times New Roman" w:eastAsia="Times New Roman" w:hAnsi="Times New Roman"/>
          <w:i/>
          <w:iCs/>
          <w:sz w:val="20"/>
          <w:szCs w:val="20"/>
        </w:rPr>
        <w:t xml:space="preserve">k/N</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the number of broken bars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34 is the total bar count: ~2.9% for BRB1, ~11.8% for BRB4. The classification task thus reduces to estimating modulation depth, which can be inferred directly from the envelope signal.</w:t>
      </w:r>
    </w:p>
    <w:p>
      <w:pPr>
        <w:pStyle w:val="Heading2"/>
        <w:spacing w:after="100" w:before="200"/>
      </w:pPr>
      <w:r>
        <w:rPr>
          <w:rFonts w:ascii="Times New Roman" w:cs="Times New Roman" w:eastAsia="Times New Roman" w:hAnsi="Times New Roman"/>
          <w:b/>
          <w:bCs/>
          <w:sz w:val="22"/>
          <w:szCs w:val="22"/>
        </w:rPr>
        <w:t xml:space="preserve">B. Envelope Extraction</w:t>
      </w:r>
    </w:p>
    <w:p>
      <w:pPr>
        <w:spacing w:after="120" w:line="264"/>
        <w:jc w:val="both"/>
      </w:pPr>
      <w:r>
        <w:rPr>
          <w:rFonts w:ascii="Times New Roman" w:cs="Times New Roman" w:eastAsia="Times New Roman" w:hAnsi="Times New Roman"/>
          <w:sz w:val="20"/>
          <w:szCs w:val="20"/>
        </w:rPr>
        <w:t xml:space="preserve">The 60 Hz carrier is removed by computing the moving root-mean-square over one half-cycle (463 samples at 55.6 kHz):</w:t>
      </w:r>
    </w:p>
    <w:p>
      <w:pPr>
        <w:spacing w:after="120" w:before="120"/>
        <w:jc w:val="center"/>
      </w:pPr>
      <w:r>
        <w:rPr>
          <w:rFonts w:ascii="Times New Roman" w:cs="Times New Roman" w:eastAsia="Times New Roman" w:hAnsi="Times New Roman"/>
          <w:i/>
          <w:iCs/>
          <w:sz w:val="20"/>
          <w:szCs w:val="20"/>
        </w:rPr>
        <w:t xml:space="preserve">env(t) = √[ (1/W) ∑ x(t+i)² ],   i = 0..W−1</w:t>
      </w:r>
    </w:p>
    <w:p>
      <w:pPr>
        <w:spacing w:after="120" w:line="264"/>
        <w:jc w:val="both"/>
      </w:pPr>
      <w:r>
        <w:rPr>
          <w:rFonts w:ascii="Times New Roman" w:cs="Times New Roman" w:eastAsia="Times New Roman" w:hAnsi="Times New Roman"/>
          <w:sz w:val="20"/>
          <w:szCs w:val="20"/>
        </w:rPr>
        <w:t xml:space="preserve">For a pure sinusoid </w:t>
      </w:r>
      <w:r>
        <w:rPr>
          <w:rFonts w:ascii="Times New Roman" w:cs="Times New Roman" w:eastAsia="Times New Roman" w:hAnsi="Times New Roman"/>
          <w:i/>
          <w:iCs/>
          <w:sz w:val="20"/>
          <w:szCs w:val="20"/>
        </w:rPr>
        <w:t xml:space="preserve">x(t) = A·sin(ωt)</w:t>
      </w:r>
      <w:r>
        <w:rPr>
          <w:rFonts w:ascii="Times New Roman" w:cs="Times New Roman" w:eastAsia="Times New Roman" w:hAnsi="Times New Roman"/>
          <w:sz w:val="20"/>
          <w:szCs w:val="20"/>
        </w:rPr>
        <w:t xml:space="preserve">, the half-cycle RMS equals </w:t>
      </w:r>
      <w:r>
        <w:rPr>
          <w:rFonts w:ascii="Times New Roman" w:cs="Times New Roman" w:eastAsia="Times New Roman" w:hAnsi="Times New Roman"/>
          <w:i/>
          <w:iCs/>
          <w:sz w:val="20"/>
          <w:szCs w:val="20"/>
        </w:rPr>
        <w:t xml:space="preserve">A/√2</w:t>
      </w:r>
      <w:r>
        <w:rPr>
          <w:rFonts w:ascii="Times New Roman" w:cs="Times New Roman" w:eastAsia="Times New Roman" w:hAnsi="Times New Roman"/>
          <w:sz w:val="20"/>
          <w:szCs w:val="20"/>
        </w:rPr>
        <w:t xml:space="preserve">. For an amplitude-modulated signal </w:t>
      </w:r>
      <w:r>
        <w:rPr>
          <w:rFonts w:ascii="Times New Roman" w:cs="Times New Roman" w:eastAsia="Times New Roman" w:hAnsi="Times New Roman"/>
          <w:i/>
          <w:iCs/>
          <w:sz w:val="20"/>
          <w:szCs w:val="20"/>
        </w:rPr>
        <w:t xml:space="preserve">x(t) = A(t)·sin(ωt)</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A(t)</w:t>
      </w:r>
      <w:r>
        <w:rPr>
          <w:rFonts w:ascii="Times New Roman" w:cs="Times New Roman" w:eastAsia="Times New Roman" w:hAnsi="Times New Roman"/>
          <w:sz w:val="20"/>
          <w:szCs w:val="20"/>
        </w:rPr>
        <w:t xml:space="preserve"> varies slowly, the RMS tracks the envelope </w:t>
      </w:r>
      <w:r>
        <w:rPr>
          <w:rFonts w:ascii="Times New Roman" w:cs="Times New Roman" w:eastAsia="Times New Roman" w:hAnsi="Times New Roman"/>
          <w:i/>
          <w:iCs/>
          <w:sz w:val="20"/>
          <w:szCs w:val="20"/>
        </w:rPr>
        <w:t xml:space="preserve">A(t)/√2</w:t>
      </w:r>
      <w:r>
        <w:rPr>
          <w:rFonts w:ascii="Times New Roman" w:cs="Times New Roman" w:eastAsia="Times New Roman" w:hAnsi="Times New Roman"/>
          <w:sz w:val="20"/>
          <w:szCs w:val="20"/>
        </w:rPr>
        <w:t xml:space="preserve">.</w:t>
      </w:r>
    </w:p>
    <w:p>
      <w:pPr>
        <w:spacing w:after="60" w:before="160"/>
        <w:jc w:val="center"/>
      </w:pPr>
      <w:r>
        <w:drawing>
          <wp:inline distT="0" distB="0" distL="0" distR="0">
            <wp:extent cx="2381250" cy="2733675"/>
            <wp:effectExtent t="0" r="0" b="0" l="0"/>
            <wp:docPr id="1" name="fig1_pipeline.png" descr="Fig. 1. Processing pipeline: (a) raw current, (b) moving-RMS envelope, (c) decimated, (d) centered." title="Fig. 1. Processing pipeline: (a) raw current, (b) moving-RMS envelope, (c) decimated, (d) c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7336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1. Processing pipeline: (a) raw current, (b) moving-RMS envelope, (c) decimated, (d) centered.</w:t>
      </w:r>
    </w:p>
    <w:p>
      <w:pPr>
        <w:pStyle w:val="Heading2"/>
        <w:spacing w:after="100" w:before="200"/>
      </w:pPr>
      <w:r>
        <w:rPr>
          <w:rFonts w:ascii="Times New Roman" w:cs="Times New Roman" w:eastAsia="Times New Roman" w:hAnsi="Times New Roman"/>
          <w:b/>
          <w:bCs/>
          <w:sz w:val="22"/>
          <w:szCs w:val="22"/>
        </w:rPr>
        <w:t xml:space="preserve">C. Decimation and Transient Removal</w:t>
      </w:r>
    </w:p>
    <w:p>
      <w:pPr>
        <w:spacing w:after="120" w:line="264"/>
        <w:jc w:val="both"/>
      </w:pPr>
      <w:r>
        <w:rPr>
          <w:rFonts w:ascii="Times New Roman" w:cs="Times New Roman" w:eastAsia="Times New Roman" w:hAnsi="Times New Roman"/>
          <w:sz w:val="20"/>
          <w:szCs w:val="20"/>
        </w:rPr>
        <w:t xml:space="preserve">The envelope is decimated by 927× to reach ~60 Hz (one sample per fundamental cycle). The first 360 samples (~6 s) are discarded to exclude the startup transient (inrush peaks of ±17 A that contaminate normalization statistics).</w:t>
      </w:r>
    </w:p>
    <w:p>
      <w:pPr>
        <w:pStyle w:val="Heading2"/>
        <w:spacing w:after="100" w:before="200"/>
      </w:pPr>
      <w:r>
        <w:rPr>
          <w:rFonts w:ascii="Times New Roman" w:cs="Times New Roman" w:eastAsia="Times New Roman" w:hAnsi="Times New Roman"/>
          <w:b/>
          <w:bCs/>
          <w:sz w:val="22"/>
          <w:szCs w:val="22"/>
        </w:rPr>
        <w:t xml:space="preserve">D. Per-Window Centering</w:t>
      </w:r>
    </w:p>
    <w:p>
      <w:pPr>
        <w:spacing w:after="120" w:line="264"/>
        <w:jc w:val="both"/>
      </w:pPr>
      <w:r>
        <w:rPr>
          <w:rFonts w:ascii="Times New Roman" w:cs="Times New Roman" w:eastAsia="Times New Roman" w:hAnsi="Times New Roman"/>
          <w:sz w:val="20"/>
          <w:szCs w:val="20"/>
        </w:rPr>
        <w:t xml:space="preserve">The envelope mean encodes load level, which is a confound (all classes appear at all loads). For each 64-step window and each channel:</w:t>
      </w:r>
    </w:p>
    <w:p>
      <w:pPr>
        <w:spacing w:after="120" w:before="120"/>
        <w:jc w:val="center"/>
      </w:pPr>
      <w:r>
        <w:rPr>
          <w:rFonts w:ascii="Times New Roman" w:cs="Times New Roman" w:eastAsia="Times New Roman" w:hAnsi="Times New Roman"/>
          <w:i/>
          <w:iCs/>
          <w:sz w:val="20"/>
          <w:szCs w:val="20"/>
        </w:rPr>
        <w:t xml:space="preserve">out(t) = clamp[ (env(t) − mean(env)) · G + 0.5,  0,  1 ]</w:t>
      </w:r>
    </w:p>
    <w:p>
      <w:pPr>
        <w:spacing w:after="120" w:line="264"/>
        <w:jc w:val="both"/>
      </w:pPr>
      <w:r>
        <w:rPr>
          <w:rFonts w:ascii="Times New Roman" w:cs="Times New Roman" w:eastAsia="Times New Roman" w:hAnsi="Times New Roman"/>
          <w:sz w:val="20"/>
          <w:szCs w:val="20"/>
        </w:rPr>
        <w:t xml:space="preserve">with gain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 6.0. This removes the load baseline and maps the ±0.05 A modulation into ±0.3 of the [0, 1] dynamic range, giving the LSTM a 10× increase in the relative magnitude of the fault signature.</w:t>
      </w:r>
    </w:p>
    <w:p>
      <w:pPr>
        <w:spacing w:after="60" w:before="160"/>
        <w:jc w:val="center"/>
      </w:pPr>
      <w:r>
        <w:drawing>
          <wp:inline distT="0" distB="0" distL="0" distR="0">
            <wp:extent cx="2381250" cy="1685925"/>
            <wp:effectExtent t="0" r="0" b="0" l="0"/>
            <wp:docPr id="1" name="fig2_before_after.png" descr="Fig. 2. Raw current (top) vs. centered envelope (bottom) for Healthy and BRB4 at full load." title="Fig. 2. Raw current (top) vs. centered envelope (bottom) for Healthy and BRB4 at full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6859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2. Raw current (top) vs. centered envelope (bottom) for Healthy and BRB4 at full load.</w:t>
      </w:r>
    </w:p>
    <w:p>
      <w:pPr>
        <w:pStyle w:val="Heading2"/>
        <w:spacing w:after="100" w:before="200"/>
      </w:pPr>
      <w:r>
        <w:rPr>
          <w:rFonts w:ascii="Times New Roman" w:cs="Times New Roman" w:eastAsia="Times New Roman" w:hAnsi="Times New Roman"/>
          <w:b/>
          <w:bCs/>
          <w:sz w:val="22"/>
          <w:szCs w:val="22"/>
        </w:rPr>
        <w:t xml:space="preserve">E. LSTM Architecture</w:t>
      </w:r>
    </w:p>
    <w:p>
      <w:pPr>
        <w:spacing w:after="120" w:line="264"/>
        <w:jc w:val="both"/>
      </w:pPr>
      <w:r>
        <w:rPr>
          <w:rFonts w:ascii="Times New Roman" w:cs="Times New Roman" w:eastAsia="Times New Roman" w:hAnsi="Times New Roman"/>
          <w:sz w:val="20"/>
          <w:szCs w:val="20"/>
        </w:rPr>
        <w:t xml:space="preserve">A single-layer LSTM with 3 inputs (Ia, Ib, Ic envelopes), 32 hidden units, and 5 sigmoid outputs. Total: 4,773 parameters (19.1 KB at float32). The model is trained with MSE loss and Adam optimizer (lr = 0.003) for 80 epochs, with one-hot targets applied at every timestep. Sigmoid + MSE was chosen for compatibility with the runtime; softmax + cross-entropy would be standard and is expected to improve results near decision boundaries.</w:t>
      </w:r>
    </w:p>
    <w:p>
      <w:pPr>
        <w:spacing w:before="160"/>
        <w:jc w:val="center"/>
      </w:pPr>
      <w:r>
        <w:rPr>
          <w:rFonts w:ascii="Times New Roman" w:cs="Times New Roman" w:eastAsia="Times New Roman" w:hAnsi="Times New Roman"/>
          <w:b/>
          <w:bCs/>
          <w:sz w:val="18"/>
          <w:szCs w:val="18"/>
        </w:rPr>
        <w:t xml:space="preserve">Table II. </w:t>
      </w:r>
      <w:r>
        <w:rPr>
          <w:rFonts w:ascii="Times New Roman" w:cs="Times New Roman" w:eastAsia="Times New Roman" w:hAnsi="Times New Roman"/>
          <w:i/>
          <w:iCs/>
          <w:sz w:val="16"/>
          <w:szCs w:val="16"/>
        </w:rPr>
        <w:t xml:space="preserve">Parameter count breakdown.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tblGrid>
      <w:tr>
        <w:tc>
          <w:tcPr>
            <w:tcW w:type="dxa" w:w="18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Component</w:t>
            </w:r>
          </w:p>
        </w:tc>
        <w:tc>
          <w:tcPr>
            <w:tcW w:type="dxa" w:w="22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Formula</w:t>
            </w:r>
          </w:p>
        </w:tc>
        <w:tc>
          <w:tcPr>
            <w:tcW w:type="dxa" w:w="10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right"/>
            </w:pPr>
            <w:r>
              <w:rPr>
                <w:rFonts w:ascii="Times New Roman" w:cs="Times New Roman" w:eastAsia="Times New Roman" w:hAnsi="Times New Roman"/>
                <w:b/>
                <w:bCs/>
                <w:sz w:val="15"/>
                <w:szCs w:val="15"/>
              </w:rPr>
              <w:t xml:space="preserve">Count</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LSTM input→hidden</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4 × 32 × 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384</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LSTM hidden→hidden</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4 × 32 × 32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4,096</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LSTM biases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4 × 32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128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Output weights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32 × 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160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Output biases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Total</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b/>
                <w:bCs/>
                <w:sz w:val="15"/>
                <w:szCs w:val="15"/>
              </w:rPr>
              <w:t xml:space="preserve">4,773</w:t>
            </w:r>
          </w:p>
        </w:tc>
      </w:tr>
    </w:tbl>
    <w:p>
      <w:pPr>
        <w:spacing w:after="80"/>
        <w:jc w:val="both"/>
      </w:pPr>
    </w:p>
    <w:p>
      <w:pPr>
        <w:pStyle w:val="Heading1"/>
        <w:spacing w:after="100" w:before="200"/>
      </w:pPr>
      <w:r>
        <w:rPr>
          <w:rFonts w:ascii="Times New Roman" w:cs="Times New Roman" w:eastAsia="Times New Roman" w:hAnsi="Times New Roman"/>
          <w:b/>
          <w:bCs/>
          <w:sz w:val="24"/>
          <w:szCs w:val="24"/>
        </w:rPr>
        <w:t xml:space="preserve">IV. Results</w:t>
      </w:r>
    </w:p>
    <w:p>
      <w:pPr>
        <w:pStyle w:val="Heading2"/>
        <w:spacing w:after="100" w:before="200"/>
      </w:pPr>
      <w:r>
        <w:rPr>
          <w:rFonts w:ascii="Times New Roman" w:cs="Times New Roman" w:eastAsia="Times New Roman" w:hAnsi="Times New Roman"/>
          <w:b/>
          <w:bCs/>
          <w:sz w:val="22"/>
          <w:szCs w:val="22"/>
        </w:rPr>
        <w:t xml:space="preserve">A. Ablation Study</w:t>
      </w:r>
    </w:p>
    <w:p>
      <w:pPr>
        <w:spacing w:after="120" w:line="264"/>
        <w:jc w:val="both"/>
      </w:pPr>
      <w:r>
        <w:rPr>
          <w:rFonts w:ascii="Times New Roman" w:cs="Times New Roman" w:eastAsia="Times New Roman" w:hAnsi="Times New Roman"/>
          <w:sz w:val="20"/>
          <w:szCs w:val="20"/>
        </w:rPr>
        <w:t xml:space="preserve">Table III and Fig. 3 show the impact of each preprocessing step. The full envelope + centering pipeline achieves 3× the accuracy of the best raw-signal variant. Each step contributes measurably: removing any one causes a regression.</w:t>
      </w:r>
    </w:p>
    <w:p>
      <w:pPr>
        <w:spacing w:before="160"/>
        <w:jc w:val="center"/>
      </w:pPr>
      <w:r>
        <w:rPr>
          <w:rFonts w:ascii="Times New Roman" w:cs="Times New Roman" w:eastAsia="Times New Roman" w:hAnsi="Times New Roman"/>
          <w:b/>
          <w:bCs/>
          <w:sz w:val="18"/>
          <w:szCs w:val="18"/>
        </w:rPr>
        <w:t xml:space="preserve">Table III. </w:t>
      </w:r>
      <w:r>
        <w:rPr>
          <w:rFonts w:ascii="Times New Roman" w:cs="Times New Roman" w:eastAsia="Times New Roman" w:hAnsi="Times New Roman"/>
          <w:i/>
          <w:iCs/>
          <w:sz w:val="16"/>
          <w:szCs w:val="16"/>
        </w:rPr>
        <w:t xml:space="preserve">Ablation: preprocessing impact on accuracy.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200"/>
      </w:tblGrid>
      <w:tr>
        <w:tc>
          <w:tcPr>
            <w:tcW w:type="dxa" w:w="20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Pipeline variant</w:t>
            </w:r>
          </w:p>
        </w:tc>
        <w:tc>
          <w:tcPr>
            <w:tcW w:type="dxa" w:w="8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right"/>
            </w:pPr>
            <w:r>
              <w:rPr>
                <w:rFonts w:ascii="Times New Roman" w:cs="Times New Roman" w:eastAsia="Times New Roman" w:hAnsi="Times New Roman"/>
                <w:b/>
                <w:bCs/>
                <w:sz w:val="15"/>
                <w:szCs w:val="15"/>
              </w:rPr>
              <w:t xml:space="preserve">Accuracy</w:t>
            </w:r>
          </w:p>
        </w:tc>
        <w:tc>
          <w:tcPr>
            <w:tcW w:type="dxa" w:w="22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Dominant failure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Raw, per-trace norm, 64-step</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26.8%</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Signature erased by normalization</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Raw, global norm, 256-step</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16.0%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Vanishing gradient (256 BPTT steps)</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Envelope, global min/max</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35.0%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Load confound (75% dynamic range)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Env. centered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b/>
                <w:bCs/>
                <w:sz w:val="15"/>
                <w:szCs w:val="15"/>
              </w:rPr>
              <w:t xml:space="preserve">78.3%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Full pipeline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FFT + SVM (baseline)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81.5%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Requires hand-crafted features</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FFT + MLP (baseline)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right"/>
            </w:pPr>
            <w:r>
              <w:rPr>
                <w:rFonts w:ascii="Times New Roman" w:cs="Times New Roman" w:eastAsia="Times New Roman" w:hAnsi="Times New Roman"/>
                <w:sz w:val="15"/>
                <w:szCs w:val="15"/>
              </w:rPr>
              <w:t xml:space="preserve">67.0%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Small parametric model on FFT features</w:t>
            </w:r>
          </w:p>
        </w:tc>
      </w:tr>
    </w:tbl>
    <w:p>
      <w:pPr>
        <w:spacing w:after="80"/>
        <w:jc w:val="both"/>
      </w:pPr>
    </w:p>
    <w:p>
      <w:pPr>
        <w:spacing w:after="60" w:before="160"/>
        <w:jc w:val="center"/>
      </w:pPr>
      <w:r>
        <w:drawing>
          <wp:inline distT="0" distB="0" distL="0" distR="0">
            <wp:extent cx="2381250" cy="1333500"/>
            <wp:effectExtent t="0" r="0" b="0" l="0"/>
            <wp:docPr id="1" name="fig3_ablation.png" descr="Fig. 3. Ablation: accuracy at each preprocessing stage. Dashed line = chance (20%)." title="Fig. 3. Ablation: accuracy at each preprocessing stage. Dashed line = chanc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3335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3. Ablation: accuracy at each preprocessing stage. Dashed line = chance (20%).</w:t>
      </w:r>
    </w:p>
    <w:p>
      <w:pPr>
        <w:spacing w:after="60" w:before="160"/>
        <w:jc w:val="center"/>
      </w:pPr>
      <w:r>
        <w:drawing>
          <wp:inline distT="0" distB="0" distL="0" distR="0">
            <wp:extent cx="2381250" cy="1162050"/>
            <wp:effectExtent t="0" r="0" b="0" l="0"/>
            <wp:docPr id="1" name="fig6_training_curves.png" descr="Fig. 4. Training loss across 4 attempts. Only the envelope + centering pipeline (green) converges." title="Fig. 4. Training loss across 4 attempts. Only the envelope + centering pipeline (green) conve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1620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4. Training loss across 4 attempts. Only the envelope + centering pipeline (green) converges.</w:t>
      </w:r>
    </w:p>
    <w:p>
      <w:pPr>
        <w:pStyle w:val="Heading2"/>
        <w:spacing w:after="100" w:before="200"/>
      </w:pPr>
      <w:r>
        <w:rPr>
          <w:rFonts w:ascii="Times New Roman" w:cs="Times New Roman" w:eastAsia="Times New Roman" w:hAnsi="Times New Roman"/>
          <w:b/>
          <w:bCs/>
          <w:sz w:val="22"/>
          <w:szCs w:val="22"/>
        </w:rPr>
        <w:t xml:space="preserve">B. Comparison with Classical MCSA</w:t>
      </w:r>
    </w:p>
    <w:p>
      <w:pPr>
        <w:spacing w:after="120" w:line="264"/>
        <w:jc w:val="both"/>
      </w:pPr>
      <w:r>
        <w:rPr>
          <w:rFonts w:ascii="Times New Roman" w:cs="Times New Roman" w:eastAsia="Times New Roman" w:hAnsi="Times New Roman"/>
          <w:sz w:val="20"/>
          <w:szCs w:val="20"/>
        </w:rPr>
        <w:t xml:space="preserve">An FFT + SVM baseline using 18 hand-crafted spectral features (sideband amplitudes at f(1 ± 2s) for five slip values, harmonic ratios, RMS, crest factor, THD) reaches 81.5% on the same data split. The SVM outperforms the LSTM by 3.2 percentage points, but requires explicit sideband identification and slip estimation, which depend on prior knowledge of the operating conditions. An FFT + MLP with 773 parameters (comparable to our model size) drops to 67.0%, suggesting that FFT features alone are insufficient for a small parametric model without additional structure. The LSTM learns directly from the time-domain envelope without any frequency-domain computation.</w:t>
      </w:r>
    </w:p>
    <w:p>
      <w:pPr>
        <w:pStyle w:val="Heading2"/>
        <w:spacing w:after="100" w:before="200"/>
      </w:pPr>
      <w:r>
        <w:rPr>
          <w:rFonts w:ascii="Times New Roman" w:cs="Times New Roman" w:eastAsia="Times New Roman" w:hAnsi="Times New Roman"/>
          <w:b/>
          <w:bCs/>
          <w:sz w:val="22"/>
          <w:szCs w:val="22"/>
        </w:rPr>
        <w:t xml:space="preserve">C. Classification Performance</w:t>
      </w:r>
    </w:p>
    <w:p>
      <w:pPr>
        <w:spacing w:after="120" w:line="264"/>
        <w:jc w:val="both"/>
      </w:pPr>
      <w:r>
        <w:rPr>
          <w:rFonts w:ascii="Times New Roman" w:cs="Times New Roman" w:eastAsia="Times New Roman" w:hAnsi="Times New Roman"/>
          <w:sz w:val="20"/>
          <w:szCs w:val="20"/>
        </w:rPr>
        <w:t xml:space="preserve">The final model (LSTM h=32, 80 epochs) achieves 78.3% overall 5-class accuracy. Collapsing to binary healthy/faulty gives 94.0%. Healthy recall is 98.8% (79/80), but 19 of 90 BRB1 samples are misclassified as Healthy, mostly at light loads where the single broken bar produces only 2.9% modulation depth.</w:t>
      </w:r>
    </w:p>
    <w:p>
      <w:pPr>
        <w:spacing w:after="60" w:before="160"/>
        <w:jc w:val="center"/>
      </w:pPr>
      <w:r>
        <w:drawing>
          <wp:inline distT="0" distB="0" distL="0" distR="0">
            <wp:extent cx="2286000" cy="1857375"/>
            <wp:effectExtent t="0" r="0" b="0" l="0"/>
            <wp:docPr id="1" name="fig5_confusion.png" descr="Fig. 5. Confusion matrix. Errors are concentrated between adjacent severities." title="Fig. 5. Confusion matrix. Errors are concentrated between adjacent seve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18573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5. Confusion matrix. Errors are concentrated between adjacent severities.</w:t>
      </w:r>
    </w:p>
    <w:p>
      <w:pPr>
        <w:spacing w:after="120" w:line="264"/>
        <w:jc w:val="both"/>
      </w:pPr>
      <w:r>
        <w:rPr>
          <w:rFonts w:ascii="Times New Roman" w:cs="Times New Roman" w:eastAsia="Times New Roman" w:hAnsi="Times New Roman"/>
          <w:sz w:val="20"/>
          <w:szCs w:val="20"/>
        </w:rPr>
        <w:t xml:space="preserve">Confusions occur only between adjacent severities (BRB2↔BRB3, BRB3↔BRB4). This is the expected MCSA failure mode: the modulation difference between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+1 broken bars is only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2.9% additional depth. BRB1 is the hardest class (67.8%), mostly confused with Healthy at light loads where the 2.9% modulation is below the noise floor.</w:t>
      </w:r>
    </w:p>
    <w:p>
      <w:pPr>
        <w:pStyle w:val="Heading2"/>
        <w:spacing w:after="100" w:before="200"/>
      </w:pPr>
      <w:r>
        <w:rPr>
          <w:rFonts w:ascii="Times New Roman" w:cs="Times New Roman" w:eastAsia="Times New Roman" w:hAnsi="Times New Roman"/>
          <w:b/>
          <w:bCs/>
          <w:sz w:val="22"/>
          <w:szCs w:val="22"/>
        </w:rPr>
        <w:t xml:space="preserve">D. Efficiency</w:t>
      </w:r>
    </w:p>
    <w:p>
      <w:pPr>
        <w:spacing w:after="60" w:before="160"/>
        <w:jc w:val="center"/>
      </w:pPr>
      <w:r>
        <w:drawing>
          <wp:inline distT="0" distB="0" distL="0" distR="0">
            <wp:extent cx="2381250" cy="1571625"/>
            <wp:effectExtent t="0" r="0" b="0" l="0"/>
            <wp:docPr id="1" name="fig4_pareto.png" descr="Fig. 6. Accuracy vs. model size. This work (red diamond) occupies the TinyML-feasible region." title="Fig. 6. Accuracy vs. model size. This work (red diamond) occupies the TinyML-feasible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15716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6. Accuracy vs. model size. This work (red diamond) occupies the TinyML-feasible region.</w:t>
      </w:r>
    </w:p>
    <w:p>
      <w:pPr>
        <w:spacing w:before="160"/>
        <w:jc w:val="center"/>
      </w:pPr>
      <w:r>
        <w:rPr>
          <w:rFonts w:ascii="Times New Roman" w:cs="Times New Roman" w:eastAsia="Times New Roman" w:hAnsi="Times New Roman"/>
          <w:b/>
          <w:bCs/>
          <w:sz w:val="18"/>
          <w:szCs w:val="18"/>
        </w:rPr>
        <w:t xml:space="preserve">Table IV. </w:t>
      </w:r>
      <w:r>
        <w:rPr>
          <w:rFonts w:ascii="Times New Roman" w:cs="Times New Roman" w:eastAsia="Times New Roman" w:hAnsi="Times New Roman"/>
          <w:i/>
          <w:iCs/>
          <w:sz w:val="16"/>
          <w:szCs w:val="16"/>
        </w:rPr>
        <w:t xml:space="preserve">Efficiency comparison.</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650"/>
        <w:gridCol w:w="600"/>
        <w:gridCol w:w="700"/>
        <w:gridCol w:w="850"/>
      </w:tblGrid>
      <w:tr>
        <w:tc>
          <w:tcPr>
            <w:tcW w:type="dxa" w:w="9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Model</w:t>
            </w:r>
          </w:p>
        </w:tc>
        <w:tc>
          <w:tcPr>
            <w:tcW w:type="dxa" w:w="7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Params</w:t>
            </w:r>
          </w:p>
        </w:tc>
        <w:tc>
          <w:tcPr>
            <w:tcW w:type="dxa" w:w="65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Size</w:t>
            </w:r>
          </w:p>
        </w:tc>
        <w:tc>
          <w:tcPr>
            <w:tcW w:type="dxa" w:w="6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Acc</w:t>
            </w:r>
          </w:p>
        </w:tc>
        <w:tc>
          <w:tcPr>
            <w:tcW w:type="dxa" w:w="7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Acc/10K</w:t>
            </w:r>
          </w:p>
        </w:tc>
        <w:tc>
          <w:tcPr>
            <w:tcW w:type="dxa" w:w="85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Inference</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VGG-19 [2]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143.7 M</w:t>
            </w:r>
          </w:p>
        </w:tc>
        <w:tc>
          <w:tcPr>
            <w:tcW w:type="dxa" w:w="6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574 MB</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99.4%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0.007</w:t>
            </w:r>
          </w:p>
        </w:tc>
        <w:tc>
          <w:tcPr>
            <w:tcW w:type="dxa" w:w="8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~500ms GPU</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NASNet-M [2]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5.3 M</w:t>
            </w:r>
          </w:p>
        </w:tc>
        <w:tc>
          <w:tcPr>
            <w:tcW w:type="dxa" w:w="6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21 MB</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96.2%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0.18</w:t>
            </w:r>
          </w:p>
        </w:tc>
        <w:tc>
          <w:tcPr>
            <w:tcW w:type="dxa" w:w="8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~50ms GPU</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CNN-LSTM [3]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~100 K</w:t>
            </w:r>
          </w:p>
        </w:tc>
        <w:tc>
          <w:tcPr>
            <w:tcW w:type="dxa" w:w="6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400 KB</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92.3%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9.2</w:t>
            </w:r>
          </w:p>
        </w:tc>
        <w:tc>
          <w:tcPr>
            <w:tcW w:type="dxa" w:w="8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~10ms GPU</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This work</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4,773</w:t>
            </w:r>
          </w:p>
        </w:tc>
        <w:tc>
          <w:tcPr>
            <w:tcW w:type="dxa" w:w="6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19 KB</w:t>
            </w:r>
          </w:p>
        </w:tc>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78.3%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164</w:t>
            </w:r>
          </w:p>
        </w:tc>
        <w:tc>
          <w:tcPr>
            <w:tcW w:type="dxa" w:w="85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1.5ms JS</w:t>
            </w:r>
          </w:p>
        </w:tc>
      </w:tr>
    </w:tbl>
    <w:p>
      <w:pPr>
        <w:spacing w:after="80"/>
        <w:jc w:val="both"/>
      </w:pPr>
    </w:p>
    <w:p>
      <w:pPr>
        <w:spacing w:after="120" w:line="264"/>
        <w:jc w:val="both"/>
      </w:pPr>
      <w:r>
        <w:rPr>
          <w:rFonts w:ascii="Times New Roman" w:cs="Times New Roman" w:eastAsia="Times New Roman" w:hAnsi="Times New Roman"/>
          <w:sz w:val="20"/>
          <w:szCs w:val="20"/>
        </w:rPr>
        <w:t xml:space="preserve">The proposed model achieves 164 accuracy points per 10K parameters, vs. 0.007–9.2 for published approaches. At 19.1 KB (float32), it fits in the SRAM of a Cortex-M0+ MCU.</w:t>
      </w:r>
    </w:p>
    <w:p>
      <w:pPr>
        <w:pStyle w:val="Heading1"/>
        <w:spacing w:after="100" w:before="200"/>
      </w:pPr>
      <w:r>
        <w:rPr>
          <w:rFonts w:ascii="Times New Roman" w:cs="Times New Roman" w:eastAsia="Times New Roman" w:hAnsi="Times New Roman"/>
          <w:b/>
          <w:bCs/>
          <w:sz w:val="24"/>
          <w:szCs w:val="24"/>
        </w:rPr>
        <w:t xml:space="preserve">V. Discussion</w:t>
      </w:r>
    </w:p>
    <w:p>
      <w:pPr>
        <w:pStyle w:val="Heading2"/>
        <w:spacing w:after="100" w:before="200"/>
      </w:pPr>
      <w:r>
        <w:rPr>
          <w:rFonts w:ascii="Times New Roman" w:cs="Times New Roman" w:eastAsia="Times New Roman" w:hAnsi="Times New Roman"/>
          <w:b/>
          <w:bCs/>
          <w:sz w:val="22"/>
          <w:szCs w:val="22"/>
        </w:rPr>
        <w:t xml:space="preserve">A. Preprocessing Failure Modes</w:t>
      </w:r>
    </w:p>
    <w:p>
      <w:pPr>
        <w:spacing w:after="120" w:line="264"/>
        <w:jc w:val="both"/>
      </w:pPr>
      <w:r>
        <w:rPr>
          <w:rFonts w:ascii="Times New Roman" w:cs="Times New Roman" w:eastAsia="Times New Roman" w:hAnsi="Times New Roman"/>
          <w:sz w:val="20"/>
          <w:szCs w:val="20"/>
        </w:rPr>
        <w:t xml:space="preserve">The development process uncovered 7 compounding preprocessing bugs (Table V) across 5 iterative attempts. Each has a distinct physical cause and a general principle that prevents it. These failure modes are directly transferable to any time-series fault classification system.</w:t>
      </w:r>
    </w:p>
    <w:p>
      <w:pPr>
        <w:spacing w:before="160"/>
        <w:jc w:val="center"/>
      </w:pPr>
      <w:r>
        <w:rPr>
          <w:rFonts w:ascii="Times New Roman" w:cs="Times New Roman" w:eastAsia="Times New Roman" w:hAnsi="Times New Roman"/>
          <w:b/>
          <w:bCs/>
          <w:sz w:val="18"/>
          <w:szCs w:val="18"/>
        </w:rPr>
        <w:t xml:space="preserve">Table V. </w:t>
      </w:r>
      <w:r>
        <w:rPr>
          <w:rFonts w:ascii="Times New Roman" w:cs="Times New Roman" w:eastAsia="Times New Roman" w:hAnsi="Times New Roman"/>
          <w:i/>
          <w:iCs/>
          <w:sz w:val="16"/>
          <w:szCs w:val="16"/>
        </w:rPr>
        <w:t xml:space="preserve">Documented preprocessing failure modes.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1500"/>
        <w:gridCol w:w="2000"/>
      </w:tblGrid>
      <w:tr>
        <w:tc>
          <w:tcPr>
            <w:tcW w:type="dxa" w:w="3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Failure mode</w:t>
            </w:r>
          </w:p>
        </w:tc>
        <w:tc>
          <w:tcPr>
            <w:tcW w:type="dxa" w:w="15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Effect</w:t>
            </w:r>
          </w:p>
        </w:tc>
        <w:tc>
          <w:tcPr>
            <w:tcW w:type="dxa" w:w="2000"/>
            <w:tcBorders>
              <w:top w:val="single" w:color="999999" w:sz="1"/>
              <w:left w:val="single" w:color="999999" w:sz="1"/>
              <w:bottom w:val="single" w:color="999999" w:sz="1"/>
              <w:right w:val="single" w:color="999999" w:sz="1"/>
            </w:tcBorders>
            <w:shd w:fill="E8EEF4"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5"/>
                <w:szCs w:val="15"/>
              </w:rPr>
              <w:t xml:space="preserve">Prevention principle</w:t>
            </w:r>
          </w:p>
        </w:tc>
      </w:tr>
      <w:tr>
        <w:tc>
          <w:tcPr>
            <w:tcW w:type="dxa" w:w="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Per-trace normalization</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Amplitude signature erased</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Normalize globally when amplitude matters</w:t>
            </w:r>
          </w:p>
        </w:tc>
      </w:tr>
      <w:tr>
        <w:tc>
          <w:tcPr>
            <w:tcW w:type="dxa" w:w="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B</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Transient in stats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Inrush dominates range</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Skip transients before computing stats</w:t>
            </w:r>
          </w:p>
        </w:tc>
      </w:tr>
      <w:tr>
        <w:tc>
          <w:tcPr>
            <w:tcW w:type="dxa" w:w="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C</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Window too short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Fault not visible</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Window ≥ 1/f_discriminative</w:t>
            </w:r>
          </w:p>
        </w:tc>
      </w:tr>
      <w:tr>
        <w:tc>
          <w:tcPr>
            <w:tcW w:type="dxa" w:w="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Neutral-target trap</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Loss stuck at 1/C</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Avoid trivial minima in loss landscape</w:t>
            </w:r>
          </w:p>
        </w:tc>
      </w:tr>
      <w:tr>
        <w:tc>
          <w:tcPr>
            <w:tcW w:type="dxa" w:w="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Vanishing gradient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Model learns only bias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Shorten sequence via preprocessing</w:t>
            </w:r>
          </w:p>
        </w:tc>
      </w:tr>
      <w:tr>
        <w:tc>
          <w:tcPr>
            <w:tcW w:type="dxa" w:w="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F</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Decimation 46× off</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Transient skip failed</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Derive from named target rate</w:t>
            </w:r>
          </w:p>
        </w:tc>
      </w:tr>
      <w:tr>
        <w:tc>
          <w:tcPr>
            <w:tcW w:type="dxa" w:w="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Load confound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75% range wasted</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20"/>
              <w:jc w:val="left"/>
            </w:pPr>
            <w:r>
              <w:rPr>
                <w:rFonts w:ascii="Times New Roman" w:cs="Times New Roman" w:eastAsia="Times New Roman" w:hAnsi="Times New Roman"/>
                <w:sz w:val="15"/>
                <w:szCs w:val="15"/>
              </w:rPr>
              <w:t xml:space="preserve">Remove nuisance variables first</w:t>
            </w:r>
          </w:p>
        </w:tc>
      </w:tr>
    </w:tbl>
    <w:p>
      <w:pPr>
        <w:spacing w:after="80"/>
        <w:jc w:val="both"/>
      </w:pPr>
    </w:p>
    <w:p>
      <w:pPr>
        <w:pStyle w:val="Heading2"/>
        <w:spacing w:after="100" w:before="200"/>
      </w:pPr>
      <w:r>
        <w:rPr>
          <w:rFonts w:ascii="Times New Roman" w:cs="Times New Roman" w:eastAsia="Times New Roman" w:hAnsi="Times New Roman"/>
          <w:b/>
          <w:bCs/>
          <w:sz w:val="22"/>
          <w:szCs w:val="22"/>
        </w:rPr>
        <w:t xml:space="preserve">B. Limitations</w:t>
      </w:r>
    </w:p>
    <w:p>
      <w:pPr>
        <w:spacing w:after="120" w:line="264"/>
        <w:jc w:val="both"/>
      </w:pPr>
      <w:r>
        <w:rPr>
          <w:rFonts w:ascii="Times New Roman" w:cs="Times New Roman" w:eastAsia="Times New Roman" w:hAnsi="Times New Roman"/>
          <w:sz w:val="20"/>
          <w:szCs w:val="20"/>
        </w:rPr>
        <w:t xml:space="preserve">The 78.3% accuracy is below the 95–99% of large models. The gap comes from model capacity (4,773 vs. millions of parameters), suboptimal loss function (sigmoid + MSE vs. softmax + cross-entropy), and no data augmentation. Binary healthy/faulty accuracy is 94.0%. The main weakness is BRB1 detection: 19 of 90 single-broken-bar samples are classified as Healthy, concentrated at light loads where the fault signature is weakest.</w:t>
      </w:r>
    </w:p>
    <w:p>
      <w:pPr>
        <w:spacing w:after="120" w:line="264"/>
        <w:jc w:val="both"/>
      </w:pPr>
      <w:r>
        <w:rPr>
          <w:rFonts w:ascii="Times New Roman" w:cs="Times New Roman" w:eastAsia="Times New Roman" w:hAnsi="Times New Roman"/>
          <w:sz w:val="20"/>
          <w:szCs w:val="20"/>
        </w:rPr>
        <w:t xml:space="preserve">Results are reported on a single dataset (1 motor, 34 bars, 60 Hz). Generalization requires validation on different line frequencies (50 Hz), bar counts, and variable-speed drives.</w:t>
      </w:r>
    </w:p>
    <w:p>
      <w:pPr>
        <w:pStyle w:val="Heading2"/>
        <w:spacing w:after="100" w:before="200"/>
      </w:pPr>
      <w:r>
        <w:rPr>
          <w:rFonts w:ascii="Times New Roman" w:cs="Times New Roman" w:eastAsia="Times New Roman" w:hAnsi="Times New Roman"/>
          <w:b/>
          <w:bCs/>
          <w:sz w:val="22"/>
          <w:szCs w:val="22"/>
        </w:rPr>
        <w:t xml:space="preserve">C. Browser-Native Training</w:t>
      </w:r>
    </w:p>
    <w:p>
      <w:pPr>
        <w:spacing w:after="120" w:line="264"/>
        <w:jc w:val="both"/>
      </w:pPr>
      <w:r>
        <w:rPr>
          <w:rFonts w:ascii="Times New Roman" w:cs="Times New Roman" w:eastAsia="Times New Roman" w:hAnsi="Times New Roman"/>
          <w:sz w:val="20"/>
          <w:szCs w:val="20"/>
        </w:rPr>
        <w:t xml:space="preserve">The complete pipeline runs in a single HTML page using a custom JavaScript runtime: ~150 s training, 1.5 ms/sample inference, no server or GPU. This enables on-premise learning where raw currents never leave the device, interactive educational use, and rapid prototyping without ML framework installation.</w:t>
      </w:r>
    </w:p>
    <w:p>
      <w:pPr>
        <w:pStyle w:val="Heading1"/>
        <w:spacing w:after="100" w:before="200"/>
      </w:pPr>
      <w:r>
        <w:rPr>
          <w:rFonts w:ascii="Times New Roman" w:cs="Times New Roman" w:eastAsia="Times New Roman" w:hAnsi="Times New Roman"/>
          <w:b/>
          <w:bCs/>
          <w:sz w:val="24"/>
          <w:szCs w:val="24"/>
        </w:rPr>
        <w:t xml:space="preserve">VI. Deployment Context</w:t>
      </w:r>
    </w:p>
    <w:p>
      <w:pPr>
        <w:spacing w:after="120" w:line="264"/>
        <w:jc w:val="both"/>
      </w:pPr>
      <w:r>
        <w:rPr>
          <w:rFonts w:ascii="Times New Roman" w:cs="Times New Roman" w:eastAsia="Times New Roman" w:hAnsi="Times New Roman"/>
          <w:sz w:val="20"/>
          <w:szCs w:val="20"/>
        </w:rPr>
        <w:t xml:space="preserve">The target platform is an ESP32-class MCU. It continuously tracks the frequency spectrum and harmonic signature of the stator current, comparing against a learned baseline. The monitoring stage does not attempt fault identification. It only detects </w:t>
      </w:r>
      <w:r>
        <w:rPr>
          <w:rFonts w:ascii="Times New Roman" w:cs="Times New Roman" w:eastAsia="Times New Roman" w:hAnsi="Times New Roman"/>
          <w:i/>
          <w:iCs/>
          <w:sz w:val="20"/>
          <w:szCs w:val="20"/>
        </w:rPr>
        <w:t xml:space="preserve">change</w:t>
      </w:r>
      <w:r>
        <w:rPr>
          <w:rFonts w:ascii="Times New Roman" w:cs="Times New Roman" w:eastAsia="Times New Roman" w:hAnsi="Times New Roman"/>
          <w:sz w:val="20"/>
          <w:szCs w:val="20"/>
        </w:rPr>
        <w:t xml:space="preserve">.</w:t>
      </w:r>
    </w:p>
    <w:p>
      <w:pPr>
        <w:spacing w:after="120" w:line="264"/>
        <w:jc w:val="both"/>
      </w:pPr>
      <w:r>
        <w:rPr>
          <w:rFonts w:ascii="Times New Roman" w:cs="Times New Roman" w:eastAsia="Times New Roman" w:hAnsi="Times New Roman"/>
          <w:sz w:val="20"/>
          <w:szCs w:val="20"/>
        </w:rPr>
        <w:t xml:space="preserve">When a spectral shift is flagged, the device enters a diagnostic phase. Connected to a supervisory policy engine, it can receive ONNX models pushed at runtime and run them over a defined observation period. Several tiny classifiers may be loaded in sequence, each targeting a different fault family. The broken rotor bar classifier presented here is one of them. In standalone mode (no connectivity), the MCU runs whatever models are stored in flash and queues results until the link is restored.</w:t>
      </w:r>
    </w:p>
    <w:p>
      <w:pPr>
        <w:spacing w:after="120" w:line="264"/>
        <w:jc w:val="both"/>
      </w:pPr>
      <w:r>
        <w:rPr>
          <w:rFonts w:ascii="Times New Roman" w:cs="Times New Roman" w:eastAsia="Times New Roman" w:hAnsi="Times New Roman"/>
          <w:sz w:val="20"/>
          <w:szCs w:val="20"/>
        </w:rPr>
        <w:t xml:space="preserve">The graph-native runtime can load and modify ONNX model topology at runtime without recompilation. This structural plasticity is what makes the architecture practical: a single MCU can host different diagnostic models depending on what the monitoring stage observed, rather than being hard-wired to one fault type.</w:t>
      </w:r>
    </w:p>
    <w:p>
      <w:pPr>
        <w:pStyle w:val="Heading1"/>
        <w:spacing w:after="100" w:before="200"/>
      </w:pPr>
      <w:r>
        <w:rPr>
          <w:rFonts w:ascii="Times New Roman" w:cs="Times New Roman" w:eastAsia="Times New Roman" w:hAnsi="Times New Roman"/>
          <w:b/>
          <w:bCs/>
          <w:sz w:val="24"/>
          <w:szCs w:val="24"/>
        </w:rPr>
        <w:t xml:space="preserve">VII. Conclusion</w:t>
      </w:r>
    </w:p>
    <w:p>
      <w:pPr>
        <w:spacing w:after="120" w:line="264"/>
        <w:jc w:val="both"/>
      </w:pPr>
      <w:r>
        <w:rPr>
          <w:rFonts w:ascii="Times New Roman" w:cs="Times New Roman" w:eastAsia="Times New Roman" w:hAnsi="Times New Roman"/>
          <w:sz w:val="20"/>
          <w:szCs w:val="20"/>
        </w:rPr>
        <w:t xml:space="preserve">Extracting the stator current envelope before classification reduced the required model size from hundreds of thousands of parameters to 4,773. The preprocessing is straightforward (half-cycle moving RMS, decimation, mean subtraction) and each step has a measurable effect on accuracy, as shown in the ablation. The resulting 19 KB LSTM reaches 78.3% on 5-class severity grading and 94.0% on binary fault detection. BRB1 at light load remains the hardest case.</w:t>
      </w:r>
    </w:p>
    <w:p>
      <w:pPr>
        <w:spacing w:after="120" w:line="264"/>
        <w:jc w:val="both"/>
      </w:pPr>
      <w:r>
        <w:rPr>
          <w:rFonts w:ascii="Times New Roman" w:cs="Times New Roman" w:eastAsia="Times New Roman" w:hAnsi="Times New Roman"/>
          <w:sz w:val="20"/>
          <w:szCs w:val="20"/>
        </w:rPr>
        <w:t xml:space="preserve">On an ESP32, this classifier would run as one module in a larger pipeline: the MCU monitors harmonic signatures for spectral change, then loads the appropriate ONNX model to investigate. The 4,773 parameters fit comfortably in SRAM at any precision. For MCSA, careful signal representation can substitute for model scale.</w:t>
      </w:r>
    </w:p>
    <w:p>
      <w:pPr>
        <w:pStyle w:val="Heading1"/>
        <w:spacing w:after="100" w:before="200"/>
      </w:pPr>
      <w:r>
        <w:rPr>
          <w:rFonts w:ascii="Times New Roman" w:cs="Times New Roman" w:eastAsia="Times New Roman" w:hAnsi="Times New Roman"/>
          <w:b/>
          <w:bCs/>
          <w:sz w:val="24"/>
          <w:szCs w:val="24"/>
        </w:rPr>
        <w:t xml:space="preserve">References</w:t>
      </w:r>
    </w:p>
    <w:p>
      <w:pPr>
        <w:spacing w:after="60"/>
        <w:jc w:val="both"/>
      </w:pPr>
      <w:r>
        <w:rPr>
          <w:rFonts w:ascii="Times New Roman" w:cs="Times New Roman" w:eastAsia="Times New Roman" w:hAnsi="Times New Roman"/>
          <w:sz w:val="18"/>
          <w:szCs w:val="18"/>
        </w:rPr>
        <w:t xml:space="preserve">[1] L.P. Chisedzi and M. Muteba, “Detection of Broken Rotor Bars in Cage Induction Motors Using Machine Learning Methods,” Sensors, vol. 23, no. 22, art. 9079, 2023. DOI: 10.3390/s23229079</w:t>
      </w:r>
    </w:p>
    <w:p>
      <w:pPr>
        <w:spacing w:after="60"/>
        <w:jc w:val="both"/>
      </w:pPr>
      <w:r>
        <w:rPr>
          <w:rFonts w:ascii="Times New Roman" w:cs="Times New Roman" w:eastAsia="Times New Roman" w:hAnsi="Times New Roman"/>
          <w:sz w:val="18"/>
          <w:szCs w:val="18"/>
        </w:rPr>
        <w:t xml:space="preserve">[2] K. Barrera-Llanga, J. Burriel-Valencia, Á. Sapena-Bañó, and J. Martínez-Román, “A Comparative Analysis of Deep Learning CNN Architectures for Fault Diagnosis of Broken Rotor Bars in Induction Motors,” Sensors, vol. 23, no. 19, art. 8196, 2023. DOI: 10.3390/s23198196</w:t>
      </w:r>
    </w:p>
    <w:p>
      <w:pPr>
        <w:spacing w:after="60"/>
        <w:jc w:val="both"/>
      </w:pPr>
      <w:r>
        <w:rPr>
          <w:rFonts w:ascii="Times New Roman" w:cs="Times New Roman" w:eastAsia="Times New Roman" w:hAnsi="Times New Roman"/>
          <w:sz w:val="18"/>
          <w:szCs w:val="18"/>
        </w:rPr>
        <w:t xml:space="preserve">[3] J.M. Jakaria, J. Sabir, Md.Z. Rahman, and Md.F. Ali, “Hybrid deep learning framework for real-time fault detection in squirrel-cage induction motors,” PLOS ONE, vol. 20, no. 11, 2025. DOI: 10.1371/journal.pone.0336323</w:t>
      </w:r>
    </w:p>
    <w:p>
      <w:pPr>
        <w:spacing w:after="60"/>
        <w:jc w:val="both"/>
      </w:pPr>
      <w:r>
        <w:rPr>
          <w:rFonts w:ascii="Times New Roman" w:cs="Times New Roman" w:eastAsia="Times New Roman" w:hAnsi="Times New Roman"/>
          <w:sz w:val="18"/>
          <w:szCs w:val="18"/>
        </w:rPr>
        <w:t xml:space="preserve">[4] S. Kılıçkaya, “Microcontroller-based real-time motor bearing fault detection and diagnosis using 1D convolutional neural networks,” M.Sc. thesis, Izmir University of Economics, 2022. Available: https://gcris.ieu.edu.tr/handle/20.500.14365/175</w:t>
      </w:r>
    </w:p>
    <w:p>
      <w:pPr>
        <w:spacing w:after="60"/>
        <w:jc w:val="both"/>
      </w:pPr>
      <w:r>
        <w:rPr>
          <w:rFonts w:ascii="Times New Roman" w:cs="Times New Roman" w:eastAsia="Times New Roman" w:hAnsi="Times New Roman"/>
          <w:sz w:val="18"/>
          <w:szCs w:val="18"/>
        </w:rPr>
        <w:t xml:space="preserve">[5] L.Y. Imamura, S.L. Avila, F.S. Pacheco et al., “Diagnosis of Unbalance in Lightweight Rotating Machines Using a Recurrent Neural Network Suitable for an Edge-Computing Framework,” J. Control Autom. Electr. Syst., vol. 33, pp. 1190–1201, 2022. DOI: 10.1007/s40313-021-00893-9</w:t>
      </w:r>
    </w:p>
    <w:p>
      <w:pPr>
        <w:spacing w:after="60"/>
        <w:jc w:val="both"/>
      </w:pPr>
      <w:r>
        <w:rPr>
          <w:rFonts w:ascii="Times New Roman" w:cs="Times New Roman" w:eastAsia="Times New Roman" w:hAnsi="Times New Roman"/>
          <w:sz w:val="18"/>
          <w:szCs w:val="18"/>
        </w:rPr>
        <w:t xml:space="preserve">[6] Texas Instruments, “New TI MCUs enable edge AI and industry-leading real-time control,” News release, Nov. 11, 2024. Available: https://www.ti.com/about-ti/newsroom/news-releases/2024/2024-11-11-new-ti-mcus-enable-edge-ai-and-industry-leading-real-time-control-to-advance-system-efficiency--safety-and-sustainability.html</w:t>
      </w:r>
    </w:p>
    <w:p>
      <w:pPr>
        <w:spacing w:after="60"/>
        <w:jc w:val="both"/>
      </w:pPr>
      <w:r>
        <w:rPr>
          <w:rFonts w:ascii="Times New Roman" w:cs="Times New Roman" w:eastAsia="Times New Roman" w:hAnsi="Times New Roman"/>
          <w:sz w:val="18"/>
          <w:szCs w:val="18"/>
        </w:rPr>
        <w:t xml:space="preserve">[7] E. Njor, J. Madsen, and X. Fafoutis, “A Primer for tinyML Predictive Maintenance: Input and Model Optimisation,” in Proc. IFIP AIAI, Springer LNCS, vol. 647, pp. 59–73, 2022. DOI: 10.1007/978-3-031-08337-2_6</w:t>
      </w:r>
    </w:p>
    <w:p>
      <w:pPr>
        <w:spacing w:after="60"/>
        <w:jc w:val="both"/>
      </w:pPr>
      <w:r>
        <w:rPr>
          <w:rFonts w:ascii="Times New Roman" w:cs="Times New Roman" w:eastAsia="Times New Roman" w:hAnsi="Times New Roman"/>
          <w:sz w:val="18"/>
          <w:szCs w:val="18"/>
        </w:rPr>
        <w:t xml:space="preserve">[8] W.T. Thomson and M. Fenger, “Current signature analysis to detect induction motor faults,” IEEE Ind. Appl. Mag., vol. 7, no. 4, pp. 26–34, Jul./Aug. 2001. DOI: 10.1109/2943.930988</w:t>
      </w:r>
    </w:p>
    <w:sectPr>
      <w:footerReference w:type="default" r:id="rId7"/>
      <w:type w:val="nextPage"/>
      <w:pgSz w:w="12240" w:h="15840" w:orient="portrait"/>
      <w:pgMar w:top="1080" w:right="720" w:bottom="1080" w:left="72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3facd505da382e8a1bcf708d07a177891c2515.png"/><Relationship Id="rId9" Type="http://schemas.openxmlformats.org/officeDocument/2006/relationships/image" Target="media/09ef42368d8385776fce14a73169cbd9b8feb999.png"/><Relationship Id="rId10" Type="http://schemas.openxmlformats.org/officeDocument/2006/relationships/image" Target="media/05948ddc449c516fcb8b61a6c25dd4ae3d08f76c.png"/><Relationship Id="rId11" Type="http://schemas.openxmlformats.org/officeDocument/2006/relationships/image" Target="media/6c3624fe6d82396bfb8318b91998c5bd5d87db9e.png"/><Relationship Id="rId12" Type="http://schemas.openxmlformats.org/officeDocument/2006/relationships/image" Target="media/0b0368d77bdd9f503cfd244754c7fd5406fc28c4.png"/><Relationship Id="rId13" Type="http://schemas.openxmlformats.org/officeDocument/2006/relationships/image" Target="media/4542a2e49d16205d57a5049fc577ce9a6cda785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2026-04-10T17:42:55.885Z</dcterms:created>
  <dcterms:modified xsi:type="dcterms:W3CDTF">2026-04-10T17:42:55.885Z</dcterms:modified>
</cp:coreProperties>
</file>

<file path=docProps/custom.xml><?xml version="1.0" encoding="utf-8"?>
<Properties xmlns="http://schemas.openxmlformats.org/officeDocument/2006/custom-properties" xmlns:vt="http://schemas.openxmlformats.org/officeDocument/2006/docPropsVTypes"/>
</file>