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 xml:space="preserve">The learners will create a photo array with narrative or a short video with sound sharing the perspective of an inanimate object. Students will </w:t>
            </w:r>
            <w:bookmarkStart w:id="0" w:name="_GoBack"/>
            <w:bookmarkEnd w:id="0"/>
            <w:r>
              <w:rPr>
                <w:rFonts w:hint="default" w:ascii="Arial" w:hAnsi="Arial" w:cs="Arial"/>
                <w:sz w:val="24"/>
              </w:rPr>
              <w:t>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1EC35C18"/>
    <w:rsid w:val="2C5C311B"/>
    <w:rsid w:val="2EB53D02"/>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2018-06-10T13:02:24Z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