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bookmarkStart w:id="0" w:name="_GoBack"/>
            <w:bookmarkEnd w:id="0"/>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1EC35C18"/>
    <w:rsid w:val="2C5C311B"/>
    <w:rsid w:val="2EB53D02"/>
    <w:rsid w:val="353B5D6A"/>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2018-06-10T13:05:49Z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