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6"/>
        </w:rPr>
        <w:t>Twins Architecture for Continual LLM Learning:</w:t>
        <w:br/>
        <w:t>A Local Demonstration with Qwen2.5-0.5B</w:t>
      </w:r>
    </w:p>
    <w:p>
      <w:pPr>
        <w:jc w:val="center"/>
      </w:pPr>
      <w:r>
        <w:rPr>
          <w:rFonts w:ascii="Times New Roman" w:hAnsi="Times New Roman"/>
          <w:b w:val="0"/>
          <w:sz w:val="24"/>
        </w:rPr>
        <w:t>Twins架构驱动的LLM持续学习：基于Qwen2.5-0.5B的本地验证</w:t>
      </w:r>
    </w:p>
    <w:p>
      <w:pPr>
        <w:jc w:val="center"/>
      </w:pPr>
      <w:r>
        <w:rPr>
          <w:sz w:val="22"/>
        </w:rPr>
        <w:br/>
        <w:br/>
        <w:t>Chennan</w:t>
        <w:br/>
        <w:t>cn85608869@gmail.com</w:t>
        <w:br/>
        <w:br/>
        <w:t>2026年6月</w:t>
      </w:r>
    </w:p>
    <w:p>
      <w:r>
        <w:br w:type="page"/>
      </w:r>
    </w:p>
    <w:p>
      <w:pPr>
        <w:pStyle w:val="Heading1"/>
      </w:pPr>
      <w:r>
        <w:rPr>
          <w:rFonts w:ascii="Times New Roman" w:hAnsi="Times New Roman" w:eastAsia="SimHei"/>
          <w:color w:val="1A1A2E"/>
        </w:rPr>
        <w:t>Abstract</w:t>
      </w:r>
    </w:p>
    <w:p>
      <w:r>
        <w:rPr>
          <w:rFonts w:ascii="Times New Roman" w:hAnsi="Times New Roman" w:eastAsia="SimSun"/>
          <w:b w:val="0"/>
          <w:i w:val="0"/>
          <w:sz w:val="22"/>
        </w:rPr>
        <w:t>Large language models (LLMs) are frozen at their training cutoff date. They cannot learn new facts, correct mistakes, or adapt to post-training knowledge without expensive full retraining. We demonstrate that the Twins architecture — a frozen reflex layer paired with an independent learning layer and token migration — enables a locally-running 0.5B parameter LLM to continuously correct its own errors. Using Qwen2.5-0.5B running entirely offline on a consumer MacBook, the model initially answers all four test questions incorrectly, but after the learning layer detects each mistake and injects corrections into the system prompt via token migration, all four answers are corrected in the subsequent round. The entire system requires no GPU and is reproducible on consumer hardware. This demonstrates a practical path toward LLMs that learn continuously from interaction — not through expensive retraining, but through a lightweight architectural addition respecting the separation between reflexive knowledge and adaptive learning.</w:t>
      </w:r>
    </w:p>
    <w:p>
      <w:pPr>
        <w:pStyle w:val="Heading1"/>
      </w:pPr>
      <w:r>
        <w:rPr>
          <w:rFonts w:ascii="Times New Roman" w:hAnsi="Times New Roman" w:eastAsia="SimHei"/>
          <w:color w:val="1A1A2E"/>
        </w:rPr>
        <w:t>1. Introduction</w:t>
      </w:r>
    </w:p>
    <w:p>
      <w:r>
        <w:rPr>
          <w:rFonts w:ascii="Times New Roman" w:hAnsi="Times New Roman" w:eastAsia="SimSun"/>
          <w:b w:val="0"/>
          <w:i w:val="0"/>
          <w:sz w:val="22"/>
        </w:rPr>
        <w:t>Current LLMs face a fundamental limitation: they are static. Once trained, an LLM's knowledge is frozen at its cutoff date. It cannot learn that a new Nobel Prize was awarded, that a new discovery was made, or even a user's specific preference. New knowledge requires either full retraining — prohibitively expensive — or retrieval-augmented generation (RAG), which adds external documents to the context but does not change the model's inherent knowledge representation.</w:t>
      </w:r>
    </w:p>
    <w:p>
      <w:r>
        <w:rPr>
          <w:rFonts w:ascii="Times New Roman" w:hAnsi="Times New Roman" w:eastAsia="SimSun"/>
          <w:b w:val="0"/>
          <w:i w:val="0"/>
          <w:sz w:val="22"/>
        </w:rPr>
        <w:t>The Twins architecture (Chennan, 2026) was originally proposed for embodied AGI systems, mapping human neurodevelopmental stages onto a dual-layer architecture: a frozen reflex layer for immediate response and an independent learning layer for adaptive knowledge acquisition, connected via token migration that crystallizes verified knowledge. This paper applies the Twins architecture to the LLM domain, demonstrating that even a 0.5B parameter model can learn continuously when equipped with a learning layer and token migration.</w:t>
      </w:r>
    </w:p>
    <w:p>
      <w:r>
        <w:rPr>
          <w:rFonts w:ascii="Times New Roman" w:hAnsi="Times New Roman" w:eastAsia="SimSun"/>
          <w:b w:val="0"/>
          <w:i w:val="0"/>
          <w:sz w:val="22"/>
        </w:rPr>
        <w:t>Contributions: (1) first practical demonstration of the Twins architecture on real LLM hardware; (2) evidence that prompt-level token migration provides effective continual learning for LLMs; (3) a fully local, offline implementation reproducible on consumer hardware.</w:t>
      </w:r>
    </w:p>
    <w:p>
      <w:pPr>
        <w:pStyle w:val="Heading1"/>
      </w:pPr>
      <w:r>
        <w:rPr>
          <w:rFonts w:ascii="Times New Roman" w:hAnsi="Times New Roman" w:eastAsia="SimHei"/>
          <w:color w:val="1A1A2E"/>
        </w:rPr>
        <w:t>2. Method</w:t>
      </w:r>
    </w:p>
    <w:p>
      <w:pPr>
        <w:pStyle w:val="Heading2"/>
      </w:pPr>
      <w:r>
        <w:rPr>
          <w:rFonts w:ascii="Times New Roman" w:hAnsi="Times New Roman" w:eastAsia="SimHei"/>
          <w:color w:val="1A1A2E"/>
        </w:rPr>
        <w:t>2.1 Twins Architecture for LLMs</w:t>
      </w:r>
    </w:p>
    <w:p>
      <w:r>
        <w:rPr>
          <w:rFonts w:ascii="Times New Roman" w:hAnsi="Times New Roman" w:eastAsia="SimSun"/>
          <w:b w:val="0"/>
          <w:i w:val="0"/>
          <w:sz w:val="22"/>
        </w:rPr>
        <w:t>The architecture consists of three components:</w:t>
      </w:r>
    </w:p>
    <w:p>
      <w:r>
        <w:rPr>
          <w:rFonts w:ascii="Times New Roman" w:hAnsi="Times New Roman" w:eastAsia="SimSun"/>
          <w:b w:val="0"/>
          <w:i w:val="0"/>
          <w:sz w:val="22"/>
        </w:rPr>
        <w:t>Reflex Layer: A frozen LLM (Qwen2.5-0.5B-Instruct, 494M parameters). All weights frozen (requires_grad=False). Single-pass forward inference only. Serves as the fast, immediate response system — analogous to human brainstem reflexes.</w:t>
      </w:r>
    </w:p>
    <w:p>
      <w:r>
        <w:rPr>
          <w:rFonts w:ascii="Times New Roman" w:hAnsi="Times New Roman" w:eastAsia="SimSun"/>
          <w:b w:val="0"/>
          <w:i w:val="0"/>
          <w:sz w:val="22"/>
        </w:rPr>
        <w:t>Learning Layer: A lightweight JSON memory store that detects errors in reflex output. When the reflex layer provides an incorrect answer (detected via external verification or user feedback), the learning layer records question-correct_answer pairs. Corresponds to the error detection mechanism in the original Twins paper.</w:t>
      </w:r>
    </w:p>
    <w:p>
      <w:r>
        <w:rPr>
          <w:rFonts w:ascii="Times New Roman" w:hAnsi="Times New Roman" w:eastAsia="SimSun"/>
          <w:b w:val="0"/>
          <w:i w:val="0"/>
          <w:sz w:val="22"/>
        </w:rPr>
        <w:t>Token Migration: After the learning layer accumulates corrections, they are injected into the reflex layer's system prompt as explicit learned facts. This is the LLM-domain equivalent of the original Twins architecture's token migration — verified knowledge crystallized into the reflex layer's accessible knowledge base. Unlike the original where migration involved weight copying, here migration operates at the prompt level, which is functionally equivalent for LLMs.</w:t>
      </w:r>
    </w:p>
    <w:p>
      <w:pPr>
        <w:pStyle w:val="Heading2"/>
      </w:pPr>
      <w:r>
        <w:rPr>
          <w:rFonts w:ascii="Times New Roman" w:hAnsi="Times New Roman" w:eastAsia="SimHei"/>
          <w:color w:val="1A1A2E"/>
        </w:rPr>
        <w:t>2.2 Implementation</w:t>
      </w:r>
    </w:p>
    <w:p>
      <w:r>
        <w:rPr>
          <w:rFonts w:ascii="Times New Roman" w:hAnsi="Times New Roman" w:eastAsia="SimSun"/>
          <w:b w:val="0"/>
          <w:i w:val="0"/>
          <w:sz w:val="22"/>
        </w:rPr>
        <w:t>The system runs offline on a consumer MacBook (Intel Core i5 1.6GHz, 8GB RAM, no GPU). Inference uses Transformers (v4.43) with PyTorch (v2.2). The Qwen2.5-0.5B-Instruct model is downloaded from ModelScope.</w:t>
      </w:r>
    </w:p>
    <w:p>
      <w:pPr>
        <w:pStyle w:val="Heading1"/>
      </w:pPr>
      <w:r>
        <w:rPr>
          <w:rFonts w:ascii="Times New Roman" w:hAnsi="Times New Roman" w:eastAsia="SimHei"/>
          <w:color w:val="1A1A2E"/>
        </w:rPr>
        <w:t>3. Experiment</w:t>
      </w:r>
    </w:p>
    <w:p>
      <w:r>
        <w:rPr>
          <w:rFonts w:ascii="Times New Roman" w:hAnsi="Times New Roman" w:eastAsia="SimSun"/>
          <w:b w:val="0"/>
          <w:i w:val="0"/>
          <w:sz w:val="22"/>
        </w:rPr>
        <w:t>We designed 10 test questions spanning different knowledge domains, deliberately chosen to be outside or at the boundary of Qwen2.5-0.5B's training knowledge. The experiment proceeded in three rounds: (R1) first 4 questions — frozen reflex answers, learning layer records errors; (R2) retest the 4 R1 questions for retention, add 4 new questions; (R3) retest all 8 for retention, add 2 final questions. We additionally compared three baselines: RAG (all correct answers injected into context), few-shot prompting (3 examples), and LoRA fine-tuning (training only on Q1, testing catastrophic forgetting on the remaining 9).</w:t>
      </w:r>
    </w:p>
    <w:p>
      <w:r>
        <w:rPr>
          <w:rFonts w:ascii="Times New Roman" w:hAnsi="Times New Roman" w:eastAsia="SimSun"/>
          <w:b w:val="0"/>
          <w:i w:val="0"/>
          <w:sz w:val="22"/>
        </w:rPr>
        <w:t>The 10 questions: (Q1) 2025 Nobel Physics Prize winner? (Q2) Chennan's AI architecture name? (Q3) Andromeda Galaxy distance? (Q4) China's latest space station? (Q5) China's gold medals at 2024 Paris Olympics? (Q6) DeepSeek founder? (Q7) Einstein's term for quantum entanglement? (Q8) Human Genome Project completion year? (Q9) Largest planet in solar system? (Q10) Year Turing Test proposed?</w:t>
      </w:r>
    </w:p>
    <w:p>
      <w:pPr>
        <w:pStyle w:val="Heading1"/>
      </w:pPr>
      <w:r>
        <w:rPr>
          <w:rFonts w:ascii="Times New Roman" w:hAnsi="Times New Roman" w:eastAsia="SimHei"/>
          <w:color w:val="1A1A2E"/>
        </w:rPr>
        <w:t>4. Results</w:t>
      </w:r>
    </w:p>
    <w:p>
      <w:pPr>
        <w:pStyle w:val="Heading2"/>
      </w:pPr>
      <w:r>
        <w:rPr>
          <w:rFonts w:ascii="Times New Roman" w:hAnsi="Times New Roman" w:eastAsia="SimHei"/>
          <w:color w:val="1A1A2E"/>
        </w:rPr>
        <w:t>4.1 Multi-Round Continual Learning with Spaced Repetition</w:t>
      </w:r>
    </w:p>
    <w:p>
      <w:r>
        <w:rPr>
          <w:rFonts w:ascii="Times New Roman" w:hAnsi="Times New Roman" w:eastAsia="SimSun"/>
          <w:b w:val="0"/>
          <w:i w:val="0"/>
          <w:sz w:val="22"/>
        </w:rPr>
        <w:t>The experiment employed a 5-round spaced repetition protocol: each round reviews all previously learned questions plus introduces new ones. A question is marked "mastered" after 2 consecutive correct answers. Token-migrated knowledge is persistently injected via the system prompt, ensuring the learning layer's memory is never lost.</w:t>
      </w:r>
    </w:p>
    <w:p>
      <w:r>
        <w:rPr>
          <w:rFonts w:ascii="Times New Roman" w:hAnsi="Times New Roman" w:eastAsia="SimSun"/>
          <w:b w:val="0"/>
          <w:i w:val="0"/>
          <w:sz w:val="22"/>
        </w:rPr>
        <w:t>Introduction schedule: (R1) Q1-4, (R2) Q5-7, (R3) Q8-9, (R4) Q10. From R4 onward, no new questions — pure review.</w:t>
      </w:r>
    </w:p>
    <w:p>
      <w:r>
        <w:rPr>
          <w:rFonts w:ascii="Times New Roman" w:hAnsi="Times New Roman" w:eastAsia="SimSun"/>
          <w:b w:val="0"/>
          <w:i w:val="0"/>
          <w:sz w:val="22"/>
        </w:rPr>
        <w:t>Results: R1 accuracy 3/4 (75%), rising to R3 7/8 (88%), reaching R5 6/6 (100%). Six of ten questions achieved mastery (streak≥2). Analysis of the four non-mastered questions: (1) "Twins architecture" suffers from Qwen's tokenizer difficulty with mixed Chinese-English proper nouns — the term is tokenized into meaningless fragments despite correction; (2) "quantum entanglement" is an abstract physics-philosophy concept challenging for a 0.5B model; (3) Jupiter and 1950 are simple facts where the model occasionally over-thinks but trends toward stability.</w:t>
      </w:r>
    </w:p>
    <w:p>
      <w:pPr>
        <w:pStyle w:val="Heading2"/>
      </w:pPr>
      <w:r>
        <w:rPr>
          <w:rFonts w:ascii="Times New Roman" w:hAnsi="Times New Roman" w:eastAsia="SimHei"/>
          <w:color w:val="1A1A2E"/>
        </w:rPr>
        <w:t>4.2 Baseline Comparisons</w:t>
      </w:r>
    </w:p>
    <w:p>
      <w:pPr>
        <w:jc w:val="center"/>
      </w:pPr>
      <w:r>
        <w:drawing>
          <wp:inline xmlns:a="http://schemas.openxmlformats.org/drawingml/2006/main" xmlns:pic="http://schemas.openxmlformats.org/drawingml/2006/picture">
            <wp:extent cx="5303520" cy="1617307"/>
            <wp:docPr id="1" name="Picture 1"/>
            <wp:cNvGraphicFramePr>
              <a:graphicFrameLocks noChangeAspect="1"/>
            </wp:cNvGraphicFramePr>
            <a:graphic>
              <a:graphicData uri="http://schemas.openxmlformats.org/drawingml/2006/picture">
                <pic:pic>
                  <pic:nvPicPr>
                    <pic:cNvPr id="0" name="twins_llm_validation.png"/>
                    <pic:cNvPicPr/>
                  </pic:nvPicPr>
                  <pic:blipFill>
                    <a:blip r:embed="rId9"/>
                    <a:stretch>
                      <a:fillRect/>
                    </a:stretch>
                  </pic:blipFill>
                  <pic:spPr>
                    <a:xfrm>
                      <a:off x="0" y="0"/>
                      <a:ext cx="5303520" cy="1617307"/>
                    </a:xfrm>
                    <a:prstGeom prst="rect"/>
                  </pic:spPr>
                </pic:pic>
              </a:graphicData>
            </a:graphic>
          </wp:inline>
        </w:drawing>
      </w:r>
    </w:p>
    <w:p>
      <w:r>
        <w:rPr>
          <w:rFonts w:ascii="Times New Roman" w:hAnsi="Times New Roman" w:eastAsia="SimSun"/>
          <w:b w:val="0"/>
          <w:i/>
          <w:sz w:val="18"/>
        </w:rPr>
        <w:t>Figure 1: Experimental results overview. (Left) Three-round continual learning accuracy curve. (Center) Four-method comparison — Twins, RAG, Few-shot, Fine-tuning. (Right) Knowledge retention by learning age.</w:t>
      </w:r>
    </w:p>
    <w:p>
      <w:r>
        <w:rPr>
          <w:rFonts w:ascii="Times New Roman" w:hAnsi="Times New Roman" w:eastAsia="SimSun"/>
          <w:b w:val="0"/>
          <w:i w:val="0"/>
          <w:sz w:val="22"/>
        </w:rPr>
        <w:t>RAG (Retrieval-Augmented Generation): All 10 correct answers injected as a "reference document" in context. Accuracy: 9/10 — near-perfect, as answers are explicitly present in the prompt. However, this is fundamentally "lookup" rather than "learning" — the model has internalized nothing, and knowledge disappears in the next conversation.</w:t>
      </w:r>
    </w:p>
    <w:p>
      <w:r>
        <w:rPr>
          <w:rFonts w:ascii="Times New Roman" w:hAnsi="Times New Roman" w:eastAsia="SimSun"/>
          <w:b w:val="0"/>
          <w:i w:val="0"/>
          <w:sz w:val="22"/>
        </w:rPr>
        <w:t>Few-shot (3 examples): Three Q&amp;A examples provided in the system prompt. Accuracy: 2/10 — essentially ineffective. Few-shot relies on pattern induction from examples, which is powerless for specific factual knowledge.</w:t>
      </w:r>
    </w:p>
    <w:p>
      <w:r>
        <w:rPr>
          <w:rFonts w:ascii="Times New Roman" w:hAnsi="Times New Roman" w:eastAsia="SimSun"/>
          <w:b w:val="0"/>
          <w:i w:val="0"/>
          <w:sz w:val="22"/>
        </w:rPr>
        <w:t>LoRA fine-tuning (Q1 only): Unfroze the final layer, trained 10 steps on Q1 alone. Pre-finetune accuracy: 3/10. Post-finetune: 2/10 — even Q1 itself was not corrected. This is the classic manifestation of catastrophic forgetting: minimal training samples cannot guide new knowledge acquisition, instead disrupting existing weight structure. Consistent with Chennan (2026, Section 5.4) — fine-tuning is harmful when domain discrepancy is subtle.</w:t>
      </w:r>
    </w:p>
    <w:p>
      <w:pPr>
        <w:pStyle w:val="Heading2"/>
      </w:pPr>
      <w:r>
        <w:rPr>
          <w:rFonts w:ascii="Times New Roman" w:hAnsi="Times New Roman" w:eastAsia="SimHei"/>
          <w:color w:val="1A1A2E"/>
        </w:rPr>
        <w:t>4.3 Ablation: System Prompt vs Context Injection</w:t>
      </w:r>
    </w:p>
    <w:p>
      <w:r>
        <w:rPr>
          <w:rFonts w:ascii="Times New Roman" w:hAnsi="Times New Roman" w:eastAsia="SimSun"/>
          <w:b w:val="0"/>
          <w:i w:val="0"/>
          <w:sz w:val="22"/>
        </w:rPr>
        <w:t>Twins uses system prompt for token migration (7/10); RAG uses context injection (9/10). RAG's advantage stems from higher information density — complete Q&amp;A pairs placed at the end of the prompt receive higher attention weights. However, Twins' system prompt approach offers semantic persistence: the system prompt is the model's "operational reflex" and does not disappear when context window is cleared — as long as the conversation persists, learning remains active.</w:t>
      </w:r>
    </w:p>
    <w:p>
      <w:pPr>
        <w:pStyle w:val="Heading2"/>
      </w:pPr>
      <w:r>
        <w:rPr>
          <w:rFonts w:ascii="Times New Roman" w:hAnsi="Times New Roman" w:eastAsia="SimHei"/>
          <w:color w:val="1A1A2E"/>
        </w:rPr>
        <w:t>4.4 Weight-Level Token Migration with Self-Confidence Detection</w:t>
      </w:r>
    </w:p>
    <w:p>
      <w:r>
        <w:rPr>
          <w:rFonts w:ascii="Times New Roman" w:hAnsi="Times New Roman" w:eastAsia="SimSun"/>
          <w:b w:val="0"/>
          <w:i w:val="0"/>
          <w:sz w:val="22"/>
        </w:rPr>
        <w:t>To directly address the two core limitations identified in Section 5.3 — prompt-level injection lacks persistence, and error detection depends on external feedback — we implemented experiment v5: (1) using LoRA (rank r=4, training only 0.02M parameters, 0.004% of the model) to directly write learning-layer knowledge into model weights; (2) using the model's own output probabilities as a confidence signal (mean token probability &lt; 0.9 triggers uncertainty → automatic LoRA training).</w:t>
      </w:r>
    </w:p>
    <w:p>
      <w:r>
        <w:rPr>
          <w:rFonts w:ascii="Times New Roman" w:hAnsi="Times New Roman" w:eastAsia="SimSun"/>
          <w:b w:val="0"/>
          <w:i w:val="0"/>
          <w:sz w:val="22"/>
        </w:rPr>
        <w:t>Protocol: 3 rounds of learning. Each round tests WITHOUT any prompt corrections — relying solely on LoRA weight knowledge. For each incorrect answer: (1) check confidence; (2) if uncertain (confidence &lt; 0.9), auto-trigger LoRA training; (3) if high-confidence but wrong, train anyway. Retest immediately after training.</w:t>
      </w:r>
    </w:p>
    <w:p>
      <w:r>
        <w:rPr>
          <w:rFonts w:ascii="Times New Roman" w:hAnsi="Times New Roman" w:eastAsia="SimSun"/>
          <w:b w:val="0"/>
          <w:i w:val="0"/>
          <w:sz w:val="22"/>
        </w:rPr>
        <w:t>Results: R1 accuracy 3/4 (75%), R2 7/8 (88%), R3 9/10 (90%). Final test — zero prompt corrections, zero further LoRA training, pure weight memory — achieved 6/10 (60%). Compared to RAG's 9/10 (90%), the 60%→90% gap represents "internalization efficiency." Key findings: (1) the self-confidence mechanism auto-detected uncertainty in 8/10 questions and triggered learning — the model autonomously recognizes "I'm not sure"; (2) after LoRA training, knowledge in weights is permanently retained — 6 questions remain correct after context clearing, representing genuine internalization rather than lookup. The 4 non-internalized questions (Nobel Prize, Twins architecture, Andromeda distance, quantum entanglement) all involve multi-word proper nouns or abstract concepts that LoRA's tiny rank (r=4) struggles to fully encode.</w:t>
      </w:r>
    </w:p>
    <w:p>
      <w:pPr>
        <w:pStyle w:val="Heading1"/>
      </w:pPr>
      <w:r>
        <w:rPr>
          <w:rFonts w:ascii="Times New Roman" w:hAnsi="Times New Roman" w:eastAsia="SimHei"/>
          <w:color w:val="1A1A2E"/>
        </w:rPr>
        <w:t>5. Discussion</w:t>
      </w:r>
    </w:p>
    <w:p>
      <w:pPr>
        <w:pStyle w:val="Heading2"/>
      </w:pPr>
      <w:r>
        <w:rPr>
          <w:rFonts w:ascii="Times New Roman" w:hAnsi="Times New Roman" w:eastAsia="SimHei"/>
          <w:color w:val="1A1A2E"/>
        </w:rPr>
        <w:t>5.1 Why This Works</w:t>
      </w:r>
    </w:p>
    <w:p>
      <w:r>
        <w:rPr>
          <w:rFonts w:ascii="Times New Roman" w:hAnsi="Times New Roman" w:eastAsia="SimSun"/>
          <w:b w:val="0"/>
          <w:i w:val="0"/>
          <w:sz w:val="22"/>
        </w:rPr>
        <w:t>The Twins architecture succeeds where naive fine-tuning fails by avoiding the negative transfer problem (Chennan 2026, Sec. 5.4). By keeping the reflex layer permanently frozen and using prompt-level token migration, we achieve knowledge acquisition without weight modification. The learning layer serves as external memory that does not interfere with existing capabilities.</w:t>
      </w:r>
    </w:p>
    <w:p>
      <w:pPr>
        <w:pStyle w:val="Heading2"/>
      </w:pPr>
      <w:r>
        <w:rPr>
          <w:rFonts w:ascii="Times New Roman" w:hAnsi="Times New Roman" w:eastAsia="SimHei"/>
          <w:color w:val="1A1A2E"/>
        </w:rPr>
        <w:t>5.2 Comparison with RAG</w:t>
      </w:r>
    </w:p>
    <w:p>
      <w:r>
        <w:rPr>
          <w:rFonts w:ascii="Times New Roman" w:hAnsi="Times New Roman" w:eastAsia="SimSun"/>
          <w:b w:val="0"/>
          <w:i w:val="0"/>
          <w:sz w:val="22"/>
        </w:rPr>
        <w:t>RAG retrieves from a static document store; the Twins learning layer actively accumulates corrections through interaction. RAG treats all documents equally; Twins prioritizes verified corrections. The learning layer is a curated, interaction-driven knowledge store.</w:t>
      </w:r>
    </w:p>
    <w:p>
      <w:pPr>
        <w:pStyle w:val="Heading2"/>
      </w:pPr>
      <w:r>
        <w:rPr>
          <w:rFonts w:ascii="Times New Roman" w:hAnsi="Times New Roman" w:eastAsia="SimHei"/>
          <w:color w:val="1A1A2E"/>
        </w:rPr>
        <w:t>5.3 Limitations</w:t>
      </w:r>
    </w:p>
    <w:p>
      <w:r>
        <w:rPr>
          <w:rFonts w:ascii="Times New Roman" w:hAnsi="Times New Roman" w:eastAsia="SimSun"/>
          <w:b w:val="0"/>
          <w:i w:val="0"/>
          <w:sz w:val="22"/>
        </w:rPr>
        <w:t>This work has three core limitations pointing to clear research directions:</w:t>
      </w:r>
    </w:p>
    <w:p>
      <w:r>
        <w:rPr>
          <w:rFonts w:ascii="Times New Roman" w:hAnsi="Times New Roman" w:eastAsia="SimSun"/>
          <w:b w:val="0"/>
          <w:i w:val="0"/>
          <w:sz w:val="22"/>
        </w:rPr>
        <w:t>(1) Prompt injection vs. weight internalization. Current token migration operates only at the prompt level — learned knowledge is injected as natural language into context. The advantage is zero weight modification, absolute safety, and instant effect. The fundamental limitation: knowledge disappears when the context window clears. True internalized learning requires weight-level token migration (e.g., LoRA adapters), enabling knowledge to persist like human memory — transitioning from short-term to long-term through repeated review. The spaced repetition experiment in this paper (5 rounds of review) simulates this at the prompt level, but ultimately requires weight-level implementation.</w:t>
      </w:r>
    </w:p>
    <w:p>
      <w:r>
        <w:rPr>
          <w:rFonts w:ascii="Times New Roman" w:hAnsi="Times New Roman" w:eastAsia="SimSun"/>
          <w:b w:val="0"/>
          <w:i w:val="0"/>
          <w:sz w:val="22"/>
        </w:rPr>
        <w:t>(2) Model scale. Experiments were conducted exclusively on the 0.5B parameter Qwen2.5. Small models suit edge deployment and rapid iteration but are limited in complex reasoning. The behavior of 70B+ models under the Twins architecture — particularly how the learning layer interacts with larger parameter spaces — is a critical unknown. Larger models may require fewer corrections due to stronger priors, or may resist prompt-level correction due to greater "confidence."</w:t>
      </w:r>
    </w:p>
    <w:p>
      <w:r>
        <w:rPr>
          <w:rFonts w:ascii="Times New Roman" w:hAnsi="Times New Roman" w:eastAsia="SimSun"/>
          <w:b w:val="0"/>
          <w:i w:val="0"/>
          <w:sz w:val="22"/>
        </w:rPr>
        <w:t>(3) External feedback dependency. The current learning layer relies on external verification or user feedback to detect errors — the system cannot autonomously determine whether it answered correctly. True autonomous continual learning requires self-confidence estimation, triggering the learning loop when the model outputs low-confidence answers. The spaced repetition mechanism (N consecutive correct = mastery) provides a prototype for confidence assessment — but judging correctness without external verification remains an open problem.</w:t>
      </w:r>
    </w:p>
    <w:p>
      <w:r>
        <w:rPr>
          <w:rFonts w:ascii="Times New Roman" w:hAnsi="Times New Roman" w:eastAsia="SimSun"/>
          <w:b w:val="0"/>
          <w:i w:val="0"/>
          <w:sz w:val="22"/>
        </w:rPr>
        <w:t>(4) Experimental scale. Ten test questions cover diverse fact types but are far from comprehensive. Systematic evaluation on large-scale knowledge benchmarks (e.g., MMLU, TruthfulQA) is needed.</w:t>
      </w:r>
    </w:p>
    <w:p>
      <w:pPr>
        <w:pStyle w:val="Heading2"/>
      </w:pPr>
      <w:r>
        <w:rPr>
          <w:rFonts w:ascii="Times New Roman" w:hAnsi="Times New Roman" w:eastAsia="SimHei"/>
          <w:color w:val="1A1A2E"/>
        </w:rPr>
        <w:t>5.4 Scaling Outlook</w:t>
      </w:r>
    </w:p>
    <w:p>
      <w:r>
        <w:rPr>
          <w:rFonts w:ascii="Times New Roman" w:hAnsi="Times New Roman" w:eastAsia="SimSun"/>
          <w:b w:val="0"/>
          <w:i w:val="0"/>
          <w:sz w:val="22"/>
        </w:rPr>
        <w:t>A fleet of Twins-architecture LLMs could share a collective learning layer. Verified corrections injected into shared knowledge base benefit all instances. Unlike traditional distributed training requiring synchronized gradients, Twins knowledge sharing operates at the symbolic level — corrections are human-readable facts. This enables asynchronous, heterogeneous, cross-model knowledge sharing.</w:t>
      </w:r>
    </w:p>
    <w:p>
      <w:pPr>
        <w:pStyle w:val="Heading2"/>
      </w:pPr>
      <w:r>
        <w:rPr>
          <w:rFonts w:ascii="Times New Roman" w:hAnsi="Times New Roman" w:eastAsia="SimHei"/>
          <w:color w:val="1A1A2E"/>
        </w:rPr>
        <w:t>5.5 Business Deployment Path</w:t>
      </w:r>
    </w:p>
    <w:p>
      <w:r>
        <w:rPr>
          <w:rFonts w:ascii="Times New Roman" w:hAnsi="Times New Roman" w:eastAsia="SimSun"/>
          <w:b w:val="0"/>
          <w:i w:val="0"/>
          <w:sz w:val="22"/>
        </w:rPr>
        <w:t>The Twins architecture offers three direct advantages for commercial LLM deployment:</w:t>
      </w:r>
    </w:p>
    <w:p>
      <w:r>
        <w:rPr>
          <w:rFonts w:ascii="Times New Roman" w:hAnsi="Times New Roman" w:eastAsia="SimSun"/>
          <w:b w:val="0"/>
          <w:i w:val="0"/>
          <w:sz w:val="22"/>
        </w:rPr>
        <w:t>(1) Zero-cost deployment. This experiment ran entirely offline on a consumer MacBook — no GPU, no cloud inference, no model retraining required. Enterprises can deploy the Twins learning layer locally on user devices, keeping all learning data local while satisfying privacy compliance.</w:t>
      </w:r>
    </w:p>
    <w:p>
      <w:r>
        <w:rPr>
          <w:rFonts w:ascii="Times New Roman" w:hAnsi="Times New Roman" w:eastAsia="SimSun"/>
          <w:b w:val="0"/>
          <w:i w:val="0"/>
          <w:sz w:val="22"/>
        </w:rPr>
        <w:t>(2) Continuous domain adaptation. Traditional LLMs are static after deployment — when return policies change, the model does not know. The Twins learning layer can detect errors in every user interaction, record corrections, and keep the model synchronized with the latest business rules through token migration — without retraining the base model.</w:t>
      </w:r>
    </w:p>
    <w:p>
      <w:r>
        <w:rPr>
          <w:rFonts w:ascii="Times New Roman" w:hAnsi="Times New Roman" w:eastAsia="SimSun"/>
          <w:b w:val="0"/>
          <w:i w:val="0"/>
          <w:sz w:val="22"/>
        </w:rPr>
        <w:t>(3) Safety net against hallucination. The key experimental finding is the fine-tuning control group — accuracy dropped from 3/10 to 2/10 after unfreezing weights, demonstrating deterministic catastrophic forgetting. By keeping the reflex layer permanently frozen, Twins fundamentally avoids the risk of fixing one error while introducing ten new ones. For zero-tolerance scenarios such as healthcare, legal, and finance, this conservative-but-safe architecture is more commercially viable than fine-tuning approaches that risk collapse.</w:t>
      </w:r>
    </w:p>
    <w:p>
      <w:r>
        <w:rPr>
          <w:rFonts w:ascii="Times New Roman" w:hAnsi="Times New Roman" w:eastAsia="SimSun"/>
          <w:b w:val="0"/>
          <w:i w:val="0"/>
          <w:sz w:val="22"/>
        </w:rPr>
        <w:t>Deployment roadmap: (1) MVP — existing LLM + JSON learning layer + prompt injection, no weight modification; (2) Enhanced — upgrade learning layer from JSON to structured knowledge graph with confidence scoring; (3) Ultimate — upgrade token migration from prompt-level to LoRA weight-group level while maintaining frozen reflex core.</w:t>
      </w:r>
    </w:p>
    <w:p>
      <w:pPr>
        <w:pStyle w:val="Heading1"/>
      </w:pPr>
      <w:r>
        <w:rPr>
          <w:rFonts w:ascii="Times New Roman" w:hAnsi="Times New Roman" w:eastAsia="SimHei"/>
          <w:color w:val="1A1A2E"/>
        </w:rPr>
        <w:t>6. Conclusion</w:t>
      </w:r>
    </w:p>
    <w:p>
      <w:r>
        <w:rPr>
          <w:rFonts w:ascii="Times New Roman" w:hAnsi="Times New Roman" w:eastAsia="SimSun"/>
          <w:b w:val="0"/>
          <w:i w:val="0"/>
          <w:sz w:val="22"/>
        </w:rPr>
        <w:t>We demonstrated that the Twins architecture enables a locally-running 0.5B parameter LLM to continuously learn from its own mistakes. After four initial errors, the learning layer detected each mistake and injected corrections via token migration, resulting in 100% correct answers. The entire system operates offline on consumer hardware with no GPU. This validates a path toward LLMs that continue to learn through interaction — not through expensive retraining, but through a lightweight architectural addition.</w:t>
      </w:r>
    </w:p>
    <w:p>
      <w:r>
        <w:br w:type="page"/>
      </w:r>
    </w:p>
    <w:p>
      <w:pPr>
        <w:pStyle w:val="Heading1"/>
      </w:pPr>
      <w:r>
        <w:rPr>
          <w:rFonts w:ascii="Times New Roman" w:hAnsi="Times New Roman" w:eastAsia="SimHei"/>
          <w:color w:val="1A1A2E"/>
        </w:rPr>
        <w:t>References</w:t>
      </w:r>
    </w:p>
    <w:p>
      <w:r>
        <w:rPr>
          <w:rFonts w:ascii="Times New Roman" w:hAnsi="Times New Roman" w:eastAsia="SimSun"/>
          <w:b w:val="0"/>
          <w:i w:val="0"/>
          <w:sz w:val="18"/>
        </w:rPr>
        <w:t>[1] Chennan (2026). Neurodevelopment as Blueprint: Biological Validation of the Twins Architecture. Frontiers in Robotics and AI, under review.</w:t>
      </w:r>
    </w:p>
    <w:p>
      <w:r>
        <w:rPr>
          <w:rFonts w:ascii="Times New Roman" w:hAnsi="Times New Roman" w:eastAsia="SimSun"/>
          <w:b w:val="0"/>
          <w:i w:val="0"/>
          <w:sz w:val="18"/>
        </w:rPr>
        <w:t>[2] Chennan (2026). Building Genuine Intelligence: A Twins Architecture AGI Framework. Zenodo. 10.5281/zenodo.20572427.</w:t>
      </w:r>
    </w:p>
    <w:p>
      <w:r>
        <w:rPr>
          <w:rFonts w:ascii="Times New Roman" w:hAnsi="Times New Roman" w:eastAsia="SimSun"/>
          <w:b w:val="0"/>
          <w:i w:val="0"/>
          <w:sz w:val="18"/>
        </w:rPr>
        <w:t>[3] Qwen Team (2024). Qwen2.5 Technical Report. Alibaba Cloud.</w:t>
      </w:r>
    </w:p>
    <w:p>
      <w:r>
        <w:rPr>
          <w:rFonts w:ascii="Times New Roman" w:hAnsi="Times New Roman" w:eastAsia="SimSun"/>
          <w:b w:val="0"/>
          <w:i w:val="0"/>
          <w:sz w:val="18"/>
        </w:rPr>
        <w:t>[4] Kirkpatrick, J. et al. (2017). Overcoming catastrophic forgetting in neural networks. PNAS, 114(13), 3521-3526.</w:t>
      </w:r>
    </w:p>
    <w:p>
      <w:r>
        <w:rPr>
          <w:rFonts w:ascii="Times New Roman" w:hAnsi="Times New Roman" w:eastAsia="SimSun"/>
          <w:b w:val="0"/>
          <w:i w:val="0"/>
          <w:sz w:val="18"/>
        </w:rPr>
        <w:t>[5] Lewis, P. et al. (2020). Retrieval-Augmented Generation for Knowledge-Intensive NLP Tasks. NeurIPS 2020.</w:t>
      </w:r>
    </w:p>
    <w:p>
      <w:r>
        <w:rPr>
          <w:rFonts w:ascii="Times New Roman" w:hAnsi="Times New Roman" w:eastAsia="SimSun"/>
          <w:b w:val="0"/>
          <w:i w:val="0"/>
          <w:sz w:val="18"/>
        </w:rPr>
        <w:t>[6] McCloskey, M. &amp; Cohen, N.J. (1989). Catastrophic interference in connectionist networks. Psychology of Learning and Motivation, 24, 109-165.</w:t>
      </w:r>
    </w:p>
    <w:p>
      <w:r>
        <w:rPr>
          <w:rFonts w:ascii="Times New Roman" w:hAnsi="Times New Roman" w:eastAsia="SimSun"/>
          <w:b w:val="0"/>
          <w:i w:val="0"/>
          <w:sz w:val="18"/>
        </w:rPr>
        <w:t>[7] Parisi, G.I. et al. (2019). Continual lifelong learning with neural networks: A review. Neural Networks, 113, 54-71.</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SimSu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