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rPr>
          <w:sz w:val="28"/>
        </w:rPr>
      </w:pPr>
      <w:bookmarkStart w:id="0" w:name="_GoBack"/>
      <w:bookmarkEnd w:id="0"/>
      <w:r>
        <w:rPr>
          <w:sz w:val="28"/>
        </w:rPr>
        <w:t>EXECUTIVE SUMMARY</w:t>
      </w:r>
    </w:p>
    <w:p>
      <w:pPr>
        <w:jc w:val="both"/>
      </w:pPr>
    </w:p>
    <w:p>
      <w:pPr>
        <w:jc w:val="both"/>
      </w:pPr>
    </w:p>
    <w:p>
      <w:pPr>
        <w:pStyle w:val="ListParagraph"/>
        <w:numPr>
          <w:ilvl w:val="0"/>
          <w:numId w:val="1"/>
        </w:numPr>
        <w:ind w:left="540" w:hanging="540"/>
        <w:jc w:val="both"/>
        <w:rPr>
          <w:b/>
        </w:rPr>
      </w:pPr>
      <w:r>
        <w:rPr>
          <w:b/>
        </w:rPr>
        <w:t>Introduction</w:t>
      </w:r>
    </w:p>
    <w:p>
      <w:pPr>
        <w:ind w:left="360"/>
        <w:jc w:val="both"/>
      </w:pPr>
    </w:p>
    <w:p>
      <w:pPr>
        <w:pStyle w:val="NoSpacing"/>
        <w:ind w:left="540"/>
        <w:jc w:val="both"/>
        <w:rPr>
          <w:rFonts w:ascii="Times New Roman" w:hAnsi="Times New Roman"/>
          <w:sz w:val="24"/>
          <w:szCs w:val="24"/>
        </w:rPr>
      </w:pPr>
      <w:r>
        <w:rPr>
          <w:rFonts w:ascii="Times New Roman" w:hAnsi="Times New Roman"/>
          <w:sz w:val="24"/>
          <w:szCs w:val="24"/>
        </w:rPr>
        <w:t xml:space="preserve">The City of Manila was founded on June 24, 1571 as a municipal government; it became the first chartered City by virtue of the Philippine Commission Act 183 on July 31, 1901 and gained autonomy with the passage of Republic Act (RA) No. 409 or the “Revised Charter of the City of Manila” on June 18, 1949. </w:t>
      </w:r>
    </w:p>
    <w:p>
      <w:pPr>
        <w:pStyle w:val="NoSpacing"/>
        <w:ind w:left="450"/>
        <w:jc w:val="both"/>
        <w:rPr>
          <w:rFonts w:ascii="Times New Roman" w:hAnsi="Times New Roman"/>
          <w:sz w:val="24"/>
          <w:szCs w:val="24"/>
          <w:highlight w:val="yellow"/>
        </w:rPr>
      </w:pPr>
    </w:p>
    <w:p>
      <w:pPr>
        <w:pStyle w:val="NoSpacing"/>
        <w:ind w:left="540"/>
        <w:jc w:val="both"/>
        <w:rPr>
          <w:rFonts w:ascii="Times New Roman" w:hAnsi="Times New Roman"/>
          <w:sz w:val="24"/>
          <w:szCs w:val="24"/>
        </w:rPr>
      </w:pPr>
      <w:r>
        <w:rPr>
          <w:rFonts w:ascii="Times New Roman" w:hAnsi="Times New Roman"/>
          <w:sz w:val="24"/>
          <w:szCs w:val="24"/>
        </w:rPr>
        <w:t>The personnel complement of the City in CY 2020 totaled 16,572 composed of the following:</w:t>
      </w:r>
    </w:p>
    <w:p>
      <w:pPr>
        <w:jc w:val="both"/>
      </w:pPr>
    </w:p>
    <w:tbl>
      <w:tblPr>
        <w:tblW w:w="8100" w:type="dxa"/>
        <w:tblInd w:w="648" w:type="dxa"/>
        <w:tblLook w:val="04A0" w:firstRow="1" w:lastRow="0" w:firstColumn="1" w:lastColumn="0" w:noHBand="0" w:noVBand="1"/>
      </w:tblPr>
      <w:tblGrid>
        <w:gridCol w:w="2238"/>
        <w:gridCol w:w="2136"/>
        <w:gridCol w:w="1926"/>
        <w:gridCol w:w="1800"/>
      </w:tblGrid>
      <w:tr>
        <w:tc>
          <w:tcPr>
            <w:tcW w:w="2238" w:type="dxa"/>
            <w:tcBorders>
              <w:bottom w:val="single" w:sz="2" w:space="0" w:color="auto"/>
            </w:tcBorders>
            <w:shd w:val="clear" w:color="auto" w:fill="auto"/>
          </w:tcPr>
          <w:p>
            <w:pPr>
              <w:pStyle w:val="NoSpacing"/>
              <w:jc w:val="both"/>
              <w:rPr>
                <w:rFonts w:ascii="Times New Roman" w:eastAsia="Times New Roman" w:hAnsi="Times New Roman"/>
                <w:b/>
                <w:sz w:val="24"/>
                <w:szCs w:val="24"/>
                <w:lang w:eastAsia="en-PH"/>
              </w:rPr>
            </w:pPr>
          </w:p>
        </w:tc>
        <w:tc>
          <w:tcPr>
            <w:tcW w:w="2136" w:type="dxa"/>
            <w:tcBorders>
              <w:bottom w:val="single" w:sz="2" w:space="0" w:color="auto"/>
            </w:tcBorders>
            <w:shd w:val="clear" w:color="auto" w:fill="auto"/>
            <w:vAlign w:val="center"/>
          </w:tcPr>
          <w:p>
            <w:pPr>
              <w:pStyle w:val="NoSpacing"/>
              <w:jc w:val="center"/>
              <w:rPr>
                <w:rFonts w:ascii="Times New Roman" w:eastAsia="Times New Roman" w:hAnsi="Times New Roman"/>
                <w:b/>
                <w:sz w:val="24"/>
                <w:szCs w:val="24"/>
                <w:lang w:eastAsia="en-PH"/>
              </w:rPr>
            </w:pPr>
            <w:r>
              <w:rPr>
                <w:rFonts w:ascii="Times New Roman" w:eastAsia="Times New Roman" w:hAnsi="Times New Roman"/>
                <w:b/>
                <w:sz w:val="24"/>
                <w:szCs w:val="24"/>
                <w:lang w:eastAsia="en-PH"/>
              </w:rPr>
              <w:t>Executive Office</w:t>
            </w:r>
          </w:p>
        </w:tc>
        <w:tc>
          <w:tcPr>
            <w:tcW w:w="1926" w:type="dxa"/>
            <w:tcBorders>
              <w:bottom w:val="single" w:sz="2" w:space="0" w:color="auto"/>
            </w:tcBorders>
            <w:shd w:val="clear" w:color="auto" w:fill="auto"/>
            <w:vAlign w:val="center"/>
          </w:tcPr>
          <w:p>
            <w:pPr>
              <w:pStyle w:val="NoSpacing"/>
              <w:jc w:val="center"/>
              <w:rPr>
                <w:rFonts w:ascii="Times New Roman" w:eastAsia="Times New Roman" w:hAnsi="Times New Roman"/>
                <w:b/>
                <w:sz w:val="24"/>
                <w:szCs w:val="24"/>
                <w:lang w:eastAsia="en-PH"/>
              </w:rPr>
            </w:pPr>
            <w:r>
              <w:rPr>
                <w:rFonts w:ascii="Times New Roman" w:eastAsia="Times New Roman" w:hAnsi="Times New Roman"/>
                <w:b/>
                <w:sz w:val="24"/>
                <w:szCs w:val="24"/>
                <w:lang w:eastAsia="en-PH"/>
              </w:rPr>
              <w:t xml:space="preserve"> City Council</w:t>
            </w:r>
          </w:p>
        </w:tc>
        <w:tc>
          <w:tcPr>
            <w:tcW w:w="1800" w:type="dxa"/>
            <w:tcBorders>
              <w:bottom w:val="single" w:sz="2" w:space="0" w:color="auto"/>
            </w:tcBorders>
            <w:shd w:val="clear" w:color="auto" w:fill="auto"/>
            <w:vAlign w:val="center"/>
          </w:tcPr>
          <w:p>
            <w:pPr>
              <w:pStyle w:val="NoSpacing"/>
              <w:jc w:val="center"/>
              <w:rPr>
                <w:rFonts w:ascii="Times New Roman" w:eastAsia="Times New Roman" w:hAnsi="Times New Roman"/>
                <w:b/>
                <w:sz w:val="24"/>
                <w:szCs w:val="24"/>
                <w:lang w:eastAsia="en-PH"/>
              </w:rPr>
            </w:pPr>
            <w:r>
              <w:rPr>
                <w:rFonts w:ascii="Times New Roman" w:eastAsia="Times New Roman" w:hAnsi="Times New Roman"/>
                <w:b/>
                <w:sz w:val="24"/>
                <w:szCs w:val="24"/>
                <w:lang w:eastAsia="en-PH"/>
              </w:rPr>
              <w:t>Total</w:t>
            </w:r>
          </w:p>
        </w:tc>
      </w:tr>
      <w:tr>
        <w:trPr>
          <w:trHeight w:val="188"/>
        </w:trPr>
        <w:tc>
          <w:tcPr>
            <w:tcW w:w="2238" w:type="dxa"/>
            <w:tcBorders>
              <w:top w:val="single" w:sz="2" w:space="0" w:color="auto"/>
            </w:tcBorders>
            <w:shd w:val="clear" w:color="auto" w:fill="auto"/>
          </w:tcPr>
          <w:p>
            <w:pPr>
              <w:pStyle w:val="NoSpacing"/>
              <w:jc w:val="both"/>
              <w:rPr>
                <w:rFonts w:ascii="Times New Roman" w:eastAsia="Times New Roman" w:hAnsi="Times New Roman"/>
                <w:sz w:val="24"/>
                <w:szCs w:val="24"/>
                <w:lang w:eastAsia="en-PH"/>
              </w:rPr>
            </w:pPr>
            <w:r>
              <w:rPr>
                <w:rFonts w:ascii="Times New Roman" w:eastAsia="Times New Roman" w:hAnsi="Times New Roman"/>
                <w:sz w:val="24"/>
                <w:szCs w:val="24"/>
                <w:lang w:eastAsia="en-PH"/>
              </w:rPr>
              <w:t>Elected</w:t>
            </w:r>
          </w:p>
        </w:tc>
        <w:tc>
          <w:tcPr>
            <w:tcW w:w="2136" w:type="dxa"/>
            <w:tcBorders>
              <w:top w:val="single" w:sz="2" w:space="0" w:color="auto"/>
            </w:tcBorders>
            <w:shd w:val="clear" w:color="auto" w:fill="auto"/>
          </w:tcPr>
          <w:p>
            <w:pPr>
              <w:pStyle w:val="NoSpacing"/>
              <w:ind w:right="720"/>
              <w:jc w:val="right"/>
              <w:rPr>
                <w:rFonts w:ascii="Times New Roman" w:eastAsia="Times New Roman" w:hAnsi="Times New Roman"/>
                <w:sz w:val="24"/>
                <w:szCs w:val="24"/>
                <w:lang w:eastAsia="en-PH"/>
              </w:rPr>
            </w:pPr>
            <w:r>
              <w:rPr>
                <w:rFonts w:ascii="Times New Roman" w:eastAsia="Times New Roman" w:hAnsi="Times New Roman"/>
                <w:sz w:val="24"/>
                <w:szCs w:val="24"/>
                <w:lang w:eastAsia="en-PH"/>
              </w:rPr>
              <w:t>2</w:t>
            </w:r>
          </w:p>
        </w:tc>
        <w:tc>
          <w:tcPr>
            <w:tcW w:w="1926" w:type="dxa"/>
            <w:tcBorders>
              <w:top w:val="single" w:sz="2" w:space="0" w:color="auto"/>
            </w:tcBorders>
            <w:shd w:val="clear" w:color="auto" w:fill="auto"/>
          </w:tcPr>
          <w:p>
            <w:pPr>
              <w:pStyle w:val="NoSpacing"/>
              <w:ind w:right="720"/>
              <w:jc w:val="right"/>
              <w:rPr>
                <w:rFonts w:ascii="Times New Roman" w:eastAsia="Times New Roman" w:hAnsi="Times New Roman"/>
                <w:sz w:val="24"/>
                <w:szCs w:val="24"/>
                <w:lang w:eastAsia="en-PH"/>
              </w:rPr>
            </w:pPr>
            <w:r>
              <w:rPr>
                <w:rFonts w:ascii="Times New Roman" w:eastAsia="Times New Roman" w:hAnsi="Times New Roman"/>
                <w:sz w:val="24"/>
                <w:szCs w:val="24"/>
                <w:lang w:eastAsia="en-PH"/>
              </w:rPr>
              <w:t>37</w:t>
            </w:r>
          </w:p>
        </w:tc>
        <w:tc>
          <w:tcPr>
            <w:tcW w:w="1800" w:type="dxa"/>
            <w:tcBorders>
              <w:top w:val="single" w:sz="2" w:space="0" w:color="auto"/>
            </w:tcBorders>
            <w:shd w:val="clear" w:color="auto" w:fill="auto"/>
          </w:tcPr>
          <w:p>
            <w:pPr>
              <w:pStyle w:val="NoSpacing"/>
              <w:tabs>
                <w:tab w:val="left" w:pos="947"/>
              </w:tabs>
              <w:ind w:right="541"/>
              <w:jc w:val="right"/>
              <w:rPr>
                <w:rFonts w:ascii="Times New Roman" w:eastAsia="Times New Roman" w:hAnsi="Times New Roman"/>
                <w:sz w:val="24"/>
                <w:szCs w:val="24"/>
                <w:lang w:eastAsia="en-PH"/>
              </w:rPr>
            </w:pPr>
            <w:r>
              <w:rPr>
                <w:rFonts w:ascii="Times New Roman" w:hAnsi="Times New Roman"/>
                <w:sz w:val="24"/>
                <w:szCs w:val="24"/>
              </w:rPr>
              <w:t>39</w:t>
            </w:r>
          </w:p>
        </w:tc>
      </w:tr>
      <w:tr>
        <w:tc>
          <w:tcPr>
            <w:tcW w:w="2238" w:type="dxa"/>
            <w:shd w:val="clear" w:color="auto" w:fill="auto"/>
          </w:tcPr>
          <w:p>
            <w:pPr>
              <w:pStyle w:val="NoSpacing"/>
              <w:jc w:val="both"/>
              <w:rPr>
                <w:rFonts w:ascii="Times New Roman" w:eastAsia="Times New Roman" w:hAnsi="Times New Roman"/>
                <w:sz w:val="24"/>
                <w:szCs w:val="24"/>
                <w:lang w:eastAsia="en-PH"/>
              </w:rPr>
            </w:pPr>
            <w:r>
              <w:rPr>
                <w:rFonts w:ascii="Times New Roman" w:eastAsia="Times New Roman" w:hAnsi="Times New Roman"/>
                <w:sz w:val="24"/>
                <w:szCs w:val="24"/>
                <w:lang w:eastAsia="en-PH"/>
              </w:rPr>
              <w:t>Permanent</w:t>
            </w:r>
          </w:p>
        </w:tc>
        <w:tc>
          <w:tcPr>
            <w:tcW w:w="2136" w:type="dxa"/>
            <w:shd w:val="clear" w:color="auto" w:fill="auto"/>
          </w:tcPr>
          <w:p>
            <w:pPr>
              <w:pStyle w:val="NoSpacing"/>
              <w:ind w:right="720"/>
              <w:jc w:val="right"/>
              <w:rPr>
                <w:rFonts w:ascii="Times New Roman" w:eastAsia="Times New Roman" w:hAnsi="Times New Roman"/>
                <w:sz w:val="24"/>
                <w:szCs w:val="24"/>
                <w:lang w:eastAsia="en-PH"/>
              </w:rPr>
            </w:pPr>
            <w:r>
              <w:rPr>
                <w:rFonts w:ascii="Times New Roman" w:eastAsia="Times New Roman" w:hAnsi="Times New Roman"/>
                <w:sz w:val="24"/>
                <w:szCs w:val="24"/>
                <w:lang w:eastAsia="en-PH"/>
              </w:rPr>
              <w:t>8,380</w:t>
            </w:r>
          </w:p>
        </w:tc>
        <w:tc>
          <w:tcPr>
            <w:tcW w:w="1926" w:type="dxa"/>
            <w:shd w:val="clear" w:color="auto" w:fill="auto"/>
          </w:tcPr>
          <w:p>
            <w:pPr>
              <w:pStyle w:val="NoSpacing"/>
              <w:ind w:right="720"/>
              <w:jc w:val="right"/>
              <w:rPr>
                <w:rFonts w:ascii="Times New Roman" w:eastAsia="Times New Roman" w:hAnsi="Times New Roman"/>
                <w:sz w:val="24"/>
                <w:szCs w:val="24"/>
                <w:lang w:eastAsia="en-PH"/>
              </w:rPr>
            </w:pPr>
            <w:r>
              <w:rPr>
                <w:rFonts w:ascii="Times New Roman" w:eastAsia="Times New Roman" w:hAnsi="Times New Roman"/>
                <w:sz w:val="24"/>
                <w:szCs w:val="24"/>
                <w:lang w:eastAsia="en-PH"/>
              </w:rPr>
              <w:t>125</w:t>
            </w:r>
          </w:p>
        </w:tc>
        <w:tc>
          <w:tcPr>
            <w:tcW w:w="1800" w:type="dxa"/>
            <w:shd w:val="clear" w:color="auto" w:fill="auto"/>
          </w:tcPr>
          <w:p>
            <w:pPr>
              <w:pStyle w:val="NoSpacing"/>
              <w:tabs>
                <w:tab w:val="left" w:pos="947"/>
              </w:tabs>
              <w:ind w:right="541"/>
              <w:jc w:val="right"/>
              <w:rPr>
                <w:rFonts w:ascii="Times New Roman" w:eastAsia="Times New Roman" w:hAnsi="Times New Roman"/>
                <w:sz w:val="24"/>
                <w:szCs w:val="24"/>
                <w:lang w:eastAsia="en-PH"/>
              </w:rPr>
            </w:pPr>
            <w:r>
              <w:rPr>
                <w:rFonts w:ascii="Times New Roman" w:hAnsi="Times New Roman"/>
                <w:sz w:val="24"/>
                <w:szCs w:val="24"/>
              </w:rPr>
              <w:t>8,505</w:t>
            </w:r>
          </w:p>
        </w:tc>
      </w:tr>
      <w:tr>
        <w:tc>
          <w:tcPr>
            <w:tcW w:w="2238" w:type="dxa"/>
            <w:shd w:val="clear" w:color="auto" w:fill="auto"/>
          </w:tcPr>
          <w:p>
            <w:pPr>
              <w:pStyle w:val="NoSpacing"/>
              <w:jc w:val="both"/>
              <w:rPr>
                <w:rFonts w:ascii="Times New Roman" w:eastAsia="Times New Roman" w:hAnsi="Times New Roman"/>
                <w:sz w:val="24"/>
                <w:szCs w:val="24"/>
                <w:lang w:eastAsia="en-PH"/>
              </w:rPr>
            </w:pPr>
            <w:r>
              <w:rPr>
                <w:rFonts w:ascii="Times New Roman" w:eastAsia="Times New Roman" w:hAnsi="Times New Roman"/>
                <w:sz w:val="24"/>
                <w:szCs w:val="24"/>
                <w:lang w:eastAsia="en-PH"/>
              </w:rPr>
              <w:t>Co-Terminus</w:t>
            </w:r>
          </w:p>
        </w:tc>
        <w:tc>
          <w:tcPr>
            <w:tcW w:w="2136" w:type="dxa"/>
            <w:shd w:val="clear" w:color="auto" w:fill="auto"/>
          </w:tcPr>
          <w:p>
            <w:pPr>
              <w:pStyle w:val="NoSpacing"/>
              <w:ind w:right="720"/>
              <w:jc w:val="right"/>
              <w:rPr>
                <w:rFonts w:ascii="Times New Roman" w:eastAsia="Times New Roman" w:hAnsi="Times New Roman"/>
                <w:sz w:val="24"/>
                <w:szCs w:val="24"/>
                <w:lang w:eastAsia="en-PH"/>
              </w:rPr>
            </w:pPr>
            <w:r>
              <w:rPr>
                <w:rFonts w:ascii="Times New Roman" w:eastAsia="Times New Roman" w:hAnsi="Times New Roman"/>
                <w:sz w:val="24"/>
                <w:szCs w:val="24"/>
                <w:lang w:eastAsia="en-PH"/>
              </w:rPr>
              <w:t>-</w:t>
            </w:r>
          </w:p>
        </w:tc>
        <w:tc>
          <w:tcPr>
            <w:tcW w:w="1926" w:type="dxa"/>
            <w:shd w:val="clear" w:color="auto" w:fill="auto"/>
          </w:tcPr>
          <w:p>
            <w:pPr>
              <w:pStyle w:val="NoSpacing"/>
              <w:ind w:right="720"/>
              <w:jc w:val="right"/>
              <w:rPr>
                <w:rFonts w:ascii="Times New Roman" w:eastAsia="Times New Roman" w:hAnsi="Times New Roman"/>
                <w:sz w:val="24"/>
                <w:szCs w:val="24"/>
                <w:lang w:eastAsia="en-PH"/>
              </w:rPr>
            </w:pPr>
            <w:r>
              <w:rPr>
                <w:rFonts w:ascii="Times New Roman" w:eastAsia="Times New Roman" w:hAnsi="Times New Roman"/>
                <w:sz w:val="24"/>
                <w:szCs w:val="24"/>
                <w:lang w:eastAsia="en-PH"/>
              </w:rPr>
              <w:t>462</w:t>
            </w:r>
          </w:p>
        </w:tc>
        <w:tc>
          <w:tcPr>
            <w:tcW w:w="1800" w:type="dxa"/>
            <w:shd w:val="clear" w:color="auto" w:fill="auto"/>
          </w:tcPr>
          <w:p>
            <w:pPr>
              <w:pStyle w:val="NoSpacing"/>
              <w:tabs>
                <w:tab w:val="left" w:pos="947"/>
              </w:tabs>
              <w:ind w:right="541"/>
              <w:jc w:val="right"/>
              <w:rPr>
                <w:rFonts w:ascii="Times New Roman" w:eastAsia="Times New Roman" w:hAnsi="Times New Roman"/>
                <w:sz w:val="24"/>
                <w:szCs w:val="24"/>
                <w:lang w:eastAsia="en-PH"/>
              </w:rPr>
            </w:pPr>
            <w:r>
              <w:rPr>
                <w:rFonts w:ascii="Times New Roman" w:hAnsi="Times New Roman"/>
                <w:sz w:val="24"/>
                <w:szCs w:val="24"/>
              </w:rPr>
              <w:t>462</w:t>
            </w:r>
          </w:p>
        </w:tc>
      </w:tr>
      <w:tr>
        <w:tc>
          <w:tcPr>
            <w:tcW w:w="2238" w:type="dxa"/>
            <w:shd w:val="clear" w:color="auto" w:fill="auto"/>
          </w:tcPr>
          <w:p>
            <w:pPr>
              <w:pStyle w:val="NoSpacing"/>
              <w:jc w:val="both"/>
              <w:rPr>
                <w:rFonts w:ascii="Times New Roman" w:eastAsia="Times New Roman" w:hAnsi="Times New Roman"/>
                <w:sz w:val="24"/>
                <w:szCs w:val="24"/>
                <w:lang w:eastAsia="en-PH"/>
              </w:rPr>
            </w:pPr>
            <w:r>
              <w:rPr>
                <w:rFonts w:ascii="Times New Roman" w:eastAsia="Times New Roman" w:hAnsi="Times New Roman"/>
                <w:sz w:val="24"/>
                <w:szCs w:val="24"/>
                <w:lang w:eastAsia="en-PH"/>
              </w:rPr>
              <w:t>Temporary/Casual</w:t>
            </w:r>
          </w:p>
        </w:tc>
        <w:tc>
          <w:tcPr>
            <w:tcW w:w="2136" w:type="dxa"/>
            <w:shd w:val="clear" w:color="auto" w:fill="auto"/>
          </w:tcPr>
          <w:p>
            <w:pPr>
              <w:pStyle w:val="NoSpacing"/>
              <w:ind w:right="720"/>
              <w:jc w:val="right"/>
              <w:rPr>
                <w:rFonts w:ascii="Times New Roman" w:eastAsia="Times New Roman" w:hAnsi="Times New Roman"/>
                <w:sz w:val="24"/>
                <w:szCs w:val="24"/>
                <w:lang w:eastAsia="en-PH"/>
              </w:rPr>
            </w:pPr>
            <w:r>
              <w:rPr>
                <w:rFonts w:ascii="Times New Roman" w:eastAsia="Times New Roman" w:hAnsi="Times New Roman"/>
                <w:sz w:val="24"/>
                <w:szCs w:val="24"/>
                <w:lang w:eastAsia="en-PH"/>
              </w:rPr>
              <w:t>66</w:t>
            </w:r>
          </w:p>
        </w:tc>
        <w:tc>
          <w:tcPr>
            <w:tcW w:w="1926" w:type="dxa"/>
            <w:shd w:val="clear" w:color="auto" w:fill="auto"/>
          </w:tcPr>
          <w:p>
            <w:pPr>
              <w:pStyle w:val="NoSpacing"/>
              <w:ind w:right="720"/>
              <w:jc w:val="right"/>
              <w:rPr>
                <w:rFonts w:ascii="Times New Roman" w:eastAsia="Times New Roman" w:hAnsi="Times New Roman"/>
                <w:sz w:val="24"/>
                <w:szCs w:val="24"/>
                <w:lang w:eastAsia="en-PH"/>
              </w:rPr>
            </w:pPr>
            <w:r>
              <w:rPr>
                <w:rFonts w:ascii="Times New Roman" w:eastAsia="Times New Roman" w:hAnsi="Times New Roman"/>
                <w:sz w:val="24"/>
                <w:szCs w:val="24"/>
                <w:lang w:eastAsia="en-PH"/>
              </w:rPr>
              <w:t>-</w:t>
            </w:r>
          </w:p>
        </w:tc>
        <w:tc>
          <w:tcPr>
            <w:tcW w:w="1800" w:type="dxa"/>
            <w:shd w:val="clear" w:color="auto" w:fill="auto"/>
          </w:tcPr>
          <w:p>
            <w:pPr>
              <w:pStyle w:val="NoSpacing"/>
              <w:tabs>
                <w:tab w:val="left" w:pos="947"/>
              </w:tabs>
              <w:ind w:right="541"/>
              <w:jc w:val="right"/>
              <w:rPr>
                <w:rFonts w:ascii="Times New Roman" w:eastAsia="Times New Roman" w:hAnsi="Times New Roman"/>
                <w:sz w:val="24"/>
                <w:szCs w:val="24"/>
                <w:lang w:eastAsia="en-PH"/>
              </w:rPr>
            </w:pPr>
            <w:r>
              <w:rPr>
                <w:rFonts w:ascii="Times New Roman" w:hAnsi="Times New Roman"/>
                <w:sz w:val="24"/>
                <w:szCs w:val="24"/>
              </w:rPr>
              <w:t>66</w:t>
            </w:r>
          </w:p>
        </w:tc>
      </w:tr>
      <w:tr>
        <w:tc>
          <w:tcPr>
            <w:tcW w:w="2238" w:type="dxa"/>
            <w:shd w:val="clear" w:color="auto" w:fill="auto"/>
          </w:tcPr>
          <w:p>
            <w:pPr>
              <w:pStyle w:val="NoSpacing"/>
              <w:jc w:val="both"/>
              <w:rPr>
                <w:rFonts w:ascii="Times New Roman" w:eastAsia="Times New Roman" w:hAnsi="Times New Roman"/>
                <w:sz w:val="24"/>
                <w:szCs w:val="24"/>
                <w:lang w:eastAsia="en-PH"/>
              </w:rPr>
            </w:pPr>
            <w:r>
              <w:rPr>
                <w:rFonts w:ascii="Times New Roman" w:eastAsia="Times New Roman" w:hAnsi="Times New Roman"/>
                <w:sz w:val="24"/>
                <w:szCs w:val="24"/>
                <w:lang w:eastAsia="en-PH"/>
              </w:rPr>
              <w:t>Consultant</w:t>
            </w:r>
          </w:p>
        </w:tc>
        <w:tc>
          <w:tcPr>
            <w:tcW w:w="2136" w:type="dxa"/>
            <w:shd w:val="clear" w:color="auto" w:fill="auto"/>
          </w:tcPr>
          <w:p>
            <w:pPr>
              <w:pStyle w:val="NoSpacing"/>
              <w:ind w:right="720"/>
              <w:jc w:val="right"/>
              <w:rPr>
                <w:rFonts w:ascii="Times New Roman" w:eastAsia="Times New Roman" w:hAnsi="Times New Roman"/>
                <w:sz w:val="24"/>
                <w:szCs w:val="24"/>
                <w:lang w:eastAsia="en-PH"/>
              </w:rPr>
            </w:pPr>
            <w:r>
              <w:rPr>
                <w:rFonts w:ascii="Times New Roman" w:eastAsia="Times New Roman" w:hAnsi="Times New Roman"/>
                <w:sz w:val="24"/>
                <w:szCs w:val="24"/>
                <w:lang w:eastAsia="en-PH"/>
              </w:rPr>
              <w:t>-</w:t>
            </w:r>
          </w:p>
        </w:tc>
        <w:tc>
          <w:tcPr>
            <w:tcW w:w="1926" w:type="dxa"/>
            <w:shd w:val="clear" w:color="auto" w:fill="auto"/>
          </w:tcPr>
          <w:p>
            <w:pPr>
              <w:pStyle w:val="NoSpacing"/>
              <w:ind w:right="720"/>
              <w:jc w:val="right"/>
              <w:rPr>
                <w:rFonts w:ascii="Times New Roman" w:eastAsia="Times New Roman" w:hAnsi="Times New Roman"/>
                <w:sz w:val="24"/>
                <w:szCs w:val="24"/>
                <w:lang w:eastAsia="en-PH"/>
              </w:rPr>
            </w:pPr>
            <w:r>
              <w:rPr>
                <w:rFonts w:ascii="Times New Roman" w:eastAsia="Times New Roman" w:hAnsi="Times New Roman"/>
                <w:sz w:val="24"/>
                <w:szCs w:val="24"/>
                <w:lang w:eastAsia="en-PH"/>
              </w:rPr>
              <w:t>40</w:t>
            </w:r>
          </w:p>
        </w:tc>
        <w:tc>
          <w:tcPr>
            <w:tcW w:w="1800" w:type="dxa"/>
            <w:shd w:val="clear" w:color="auto" w:fill="auto"/>
          </w:tcPr>
          <w:p>
            <w:pPr>
              <w:pStyle w:val="NoSpacing"/>
              <w:tabs>
                <w:tab w:val="left" w:pos="947"/>
              </w:tabs>
              <w:ind w:right="541"/>
              <w:jc w:val="right"/>
              <w:rPr>
                <w:rFonts w:ascii="Times New Roman" w:eastAsia="Times New Roman" w:hAnsi="Times New Roman"/>
                <w:sz w:val="24"/>
                <w:szCs w:val="24"/>
                <w:lang w:eastAsia="en-PH"/>
              </w:rPr>
            </w:pPr>
            <w:r>
              <w:rPr>
                <w:rFonts w:ascii="Times New Roman" w:hAnsi="Times New Roman"/>
                <w:sz w:val="24"/>
                <w:szCs w:val="24"/>
              </w:rPr>
              <w:t>40</w:t>
            </w:r>
          </w:p>
        </w:tc>
      </w:tr>
      <w:tr>
        <w:tc>
          <w:tcPr>
            <w:tcW w:w="2238" w:type="dxa"/>
            <w:shd w:val="clear" w:color="auto" w:fill="auto"/>
          </w:tcPr>
          <w:p>
            <w:pPr>
              <w:pStyle w:val="NoSpacing"/>
              <w:jc w:val="both"/>
              <w:rPr>
                <w:rFonts w:ascii="Times New Roman" w:eastAsia="Times New Roman" w:hAnsi="Times New Roman"/>
                <w:sz w:val="24"/>
                <w:szCs w:val="24"/>
                <w:lang w:eastAsia="en-PH"/>
              </w:rPr>
            </w:pPr>
            <w:r>
              <w:rPr>
                <w:rFonts w:ascii="Times New Roman" w:eastAsia="Times New Roman" w:hAnsi="Times New Roman"/>
                <w:sz w:val="24"/>
                <w:szCs w:val="24"/>
                <w:lang w:eastAsia="en-PH"/>
              </w:rPr>
              <w:t>Contractual</w:t>
            </w:r>
          </w:p>
        </w:tc>
        <w:tc>
          <w:tcPr>
            <w:tcW w:w="2136" w:type="dxa"/>
            <w:shd w:val="clear" w:color="auto" w:fill="auto"/>
          </w:tcPr>
          <w:p>
            <w:pPr>
              <w:pStyle w:val="NoSpacing"/>
              <w:ind w:right="720"/>
              <w:jc w:val="right"/>
              <w:rPr>
                <w:rFonts w:ascii="Times New Roman" w:eastAsia="Times New Roman" w:hAnsi="Times New Roman"/>
                <w:sz w:val="24"/>
                <w:szCs w:val="24"/>
                <w:lang w:eastAsia="en-PH"/>
              </w:rPr>
            </w:pPr>
            <w:r>
              <w:rPr>
                <w:rFonts w:ascii="Times New Roman" w:eastAsia="Times New Roman" w:hAnsi="Times New Roman"/>
                <w:sz w:val="24"/>
                <w:szCs w:val="24"/>
                <w:lang w:eastAsia="en-PH"/>
              </w:rPr>
              <w:t>82</w:t>
            </w:r>
          </w:p>
        </w:tc>
        <w:tc>
          <w:tcPr>
            <w:tcW w:w="1926" w:type="dxa"/>
            <w:shd w:val="clear" w:color="auto" w:fill="auto"/>
          </w:tcPr>
          <w:p>
            <w:pPr>
              <w:pStyle w:val="NoSpacing"/>
              <w:ind w:right="720"/>
              <w:jc w:val="right"/>
              <w:rPr>
                <w:rFonts w:ascii="Times New Roman" w:eastAsia="Times New Roman" w:hAnsi="Times New Roman"/>
                <w:bCs/>
                <w:sz w:val="24"/>
                <w:szCs w:val="24"/>
                <w:lang w:eastAsia="en-PH"/>
              </w:rPr>
            </w:pPr>
            <w:r>
              <w:rPr>
                <w:rFonts w:ascii="Times New Roman" w:eastAsia="Times New Roman" w:hAnsi="Times New Roman"/>
                <w:bCs/>
                <w:sz w:val="24"/>
                <w:szCs w:val="24"/>
                <w:lang w:eastAsia="en-PH"/>
              </w:rPr>
              <w:t>5</w:t>
            </w:r>
          </w:p>
        </w:tc>
        <w:tc>
          <w:tcPr>
            <w:tcW w:w="1800" w:type="dxa"/>
            <w:shd w:val="clear" w:color="auto" w:fill="auto"/>
          </w:tcPr>
          <w:p>
            <w:pPr>
              <w:pStyle w:val="NoSpacing"/>
              <w:tabs>
                <w:tab w:val="left" w:pos="947"/>
              </w:tabs>
              <w:ind w:right="541"/>
              <w:jc w:val="right"/>
              <w:rPr>
                <w:rFonts w:ascii="Times New Roman" w:eastAsia="Times New Roman" w:hAnsi="Times New Roman"/>
                <w:b/>
                <w:sz w:val="24"/>
                <w:szCs w:val="24"/>
                <w:lang w:eastAsia="en-PH"/>
              </w:rPr>
            </w:pPr>
            <w:r>
              <w:rPr>
                <w:rFonts w:ascii="Times New Roman" w:hAnsi="Times New Roman"/>
                <w:sz w:val="24"/>
                <w:szCs w:val="24"/>
              </w:rPr>
              <w:t>87</w:t>
            </w:r>
          </w:p>
        </w:tc>
      </w:tr>
      <w:tr>
        <w:tc>
          <w:tcPr>
            <w:tcW w:w="2238" w:type="dxa"/>
            <w:tcBorders>
              <w:bottom w:val="single" w:sz="2" w:space="0" w:color="auto"/>
            </w:tcBorders>
            <w:shd w:val="clear" w:color="auto" w:fill="auto"/>
          </w:tcPr>
          <w:p>
            <w:pPr>
              <w:pStyle w:val="NoSpacing"/>
              <w:jc w:val="both"/>
              <w:rPr>
                <w:rFonts w:ascii="Times New Roman" w:eastAsia="Times New Roman" w:hAnsi="Times New Roman"/>
                <w:sz w:val="24"/>
                <w:szCs w:val="24"/>
                <w:lang w:eastAsia="en-PH"/>
              </w:rPr>
            </w:pPr>
            <w:r>
              <w:rPr>
                <w:rFonts w:ascii="Times New Roman" w:eastAsia="Times New Roman" w:hAnsi="Times New Roman"/>
                <w:sz w:val="24"/>
                <w:szCs w:val="24"/>
                <w:lang w:eastAsia="en-PH"/>
              </w:rPr>
              <w:t>Job Order</w:t>
            </w:r>
          </w:p>
        </w:tc>
        <w:tc>
          <w:tcPr>
            <w:tcW w:w="2136" w:type="dxa"/>
            <w:tcBorders>
              <w:bottom w:val="single" w:sz="2" w:space="0" w:color="auto"/>
            </w:tcBorders>
            <w:shd w:val="clear" w:color="auto" w:fill="auto"/>
          </w:tcPr>
          <w:p>
            <w:pPr>
              <w:pStyle w:val="NoSpacing"/>
              <w:ind w:right="720"/>
              <w:jc w:val="right"/>
              <w:rPr>
                <w:rFonts w:ascii="Times New Roman" w:eastAsia="Times New Roman" w:hAnsi="Times New Roman"/>
                <w:sz w:val="24"/>
                <w:szCs w:val="24"/>
                <w:lang w:eastAsia="en-PH"/>
              </w:rPr>
            </w:pPr>
            <w:r>
              <w:rPr>
                <w:rFonts w:ascii="Times New Roman" w:eastAsia="Times New Roman" w:hAnsi="Times New Roman"/>
                <w:sz w:val="24"/>
                <w:szCs w:val="24"/>
                <w:lang w:eastAsia="en-PH"/>
              </w:rPr>
              <w:t>5,788</w:t>
            </w:r>
          </w:p>
        </w:tc>
        <w:tc>
          <w:tcPr>
            <w:tcW w:w="1926" w:type="dxa"/>
            <w:tcBorders>
              <w:bottom w:val="single" w:sz="2" w:space="0" w:color="auto"/>
            </w:tcBorders>
            <w:shd w:val="clear" w:color="auto" w:fill="auto"/>
          </w:tcPr>
          <w:p>
            <w:pPr>
              <w:pStyle w:val="NoSpacing"/>
              <w:ind w:right="720"/>
              <w:jc w:val="right"/>
              <w:rPr>
                <w:rFonts w:ascii="Times New Roman" w:eastAsia="Times New Roman" w:hAnsi="Times New Roman"/>
                <w:sz w:val="24"/>
                <w:szCs w:val="24"/>
                <w:lang w:eastAsia="en-PH"/>
              </w:rPr>
            </w:pPr>
            <w:r>
              <w:rPr>
                <w:rFonts w:ascii="Times New Roman" w:eastAsia="Times New Roman" w:hAnsi="Times New Roman"/>
                <w:sz w:val="24"/>
                <w:szCs w:val="24"/>
                <w:lang w:eastAsia="en-PH"/>
              </w:rPr>
              <w:t>1,585</w:t>
            </w:r>
          </w:p>
        </w:tc>
        <w:tc>
          <w:tcPr>
            <w:tcW w:w="1800" w:type="dxa"/>
            <w:tcBorders>
              <w:bottom w:val="single" w:sz="2" w:space="0" w:color="auto"/>
            </w:tcBorders>
            <w:shd w:val="clear" w:color="auto" w:fill="auto"/>
          </w:tcPr>
          <w:p>
            <w:pPr>
              <w:pStyle w:val="NoSpacing"/>
              <w:tabs>
                <w:tab w:val="left" w:pos="947"/>
              </w:tabs>
              <w:ind w:right="541"/>
              <w:jc w:val="right"/>
              <w:rPr>
                <w:rFonts w:ascii="Times New Roman" w:eastAsia="Times New Roman" w:hAnsi="Times New Roman"/>
                <w:sz w:val="24"/>
                <w:szCs w:val="24"/>
                <w:lang w:eastAsia="en-PH"/>
              </w:rPr>
            </w:pPr>
            <w:r>
              <w:rPr>
                <w:rFonts w:ascii="Times New Roman" w:hAnsi="Times New Roman"/>
                <w:sz w:val="24"/>
                <w:szCs w:val="24"/>
              </w:rPr>
              <w:t>7,373</w:t>
            </w:r>
          </w:p>
        </w:tc>
      </w:tr>
      <w:tr>
        <w:tc>
          <w:tcPr>
            <w:tcW w:w="2238" w:type="dxa"/>
            <w:tcBorders>
              <w:top w:val="single" w:sz="2" w:space="0" w:color="auto"/>
              <w:bottom w:val="single" w:sz="2" w:space="0" w:color="auto"/>
            </w:tcBorders>
            <w:shd w:val="clear" w:color="auto" w:fill="auto"/>
          </w:tcPr>
          <w:p>
            <w:pPr>
              <w:pStyle w:val="NoSpacing"/>
              <w:jc w:val="both"/>
              <w:rPr>
                <w:rFonts w:ascii="Times New Roman" w:eastAsia="Times New Roman" w:hAnsi="Times New Roman"/>
                <w:b/>
                <w:sz w:val="24"/>
                <w:szCs w:val="24"/>
                <w:lang w:eastAsia="en-PH"/>
              </w:rPr>
            </w:pPr>
            <w:r>
              <w:rPr>
                <w:rFonts w:ascii="Times New Roman" w:eastAsia="Times New Roman" w:hAnsi="Times New Roman"/>
                <w:b/>
                <w:sz w:val="24"/>
                <w:szCs w:val="24"/>
                <w:lang w:eastAsia="en-PH"/>
              </w:rPr>
              <w:t xml:space="preserve">         Total</w:t>
            </w:r>
          </w:p>
        </w:tc>
        <w:tc>
          <w:tcPr>
            <w:tcW w:w="2136" w:type="dxa"/>
            <w:tcBorders>
              <w:top w:val="single" w:sz="2" w:space="0" w:color="auto"/>
              <w:bottom w:val="single" w:sz="2" w:space="0" w:color="auto"/>
            </w:tcBorders>
            <w:shd w:val="clear" w:color="auto" w:fill="auto"/>
          </w:tcPr>
          <w:p>
            <w:pPr>
              <w:pStyle w:val="NoSpacing"/>
              <w:ind w:right="720"/>
              <w:jc w:val="right"/>
              <w:rPr>
                <w:rFonts w:ascii="Times New Roman" w:eastAsia="Times New Roman" w:hAnsi="Times New Roman"/>
                <w:b/>
                <w:sz w:val="24"/>
                <w:szCs w:val="24"/>
                <w:lang w:eastAsia="en-PH"/>
              </w:rPr>
            </w:pPr>
            <w:r>
              <w:rPr>
                <w:rFonts w:ascii="Times New Roman" w:eastAsia="Times New Roman" w:hAnsi="Times New Roman"/>
                <w:b/>
                <w:sz w:val="24"/>
                <w:szCs w:val="24"/>
                <w:lang w:eastAsia="en-PH"/>
              </w:rPr>
              <w:t>14,318</w:t>
            </w:r>
          </w:p>
        </w:tc>
        <w:tc>
          <w:tcPr>
            <w:tcW w:w="1926" w:type="dxa"/>
            <w:tcBorders>
              <w:top w:val="single" w:sz="2" w:space="0" w:color="auto"/>
              <w:bottom w:val="single" w:sz="2" w:space="0" w:color="auto"/>
            </w:tcBorders>
            <w:shd w:val="clear" w:color="auto" w:fill="auto"/>
          </w:tcPr>
          <w:p>
            <w:pPr>
              <w:pStyle w:val="NoSpacing"/>
              <w:ind w:right="720"/>
              <w:jc w:val="right"/>
              <w:rPr>
                <w:rFonts w:ascii="Times New Roman" w:eastAsia="Times New Roman" w:hAnsi="Times New Roman"/>
                <w:b/>
                <w:sz w:val="24"/>
                <w:szCs w:val="24"/>
                <w:lang w:eastAsia="en-PH"/>
              </w:rPr>
            </w:pPr>
            <w:r>
              <w:rPr>
                <w:rFonts w:ascii="Times New Roman" w:eastAsia="Times New Roman" w:hAnsi="Times New Roman"/>
                <w:b/>
                <w:sz w:val="24"/>
                <w:szCs w:val="24"/>
                <w:lang w:eastAsia="en-PH"/>
              </w:rPr>
              <w:t>2,254</w:t>
            </w:r>
          </w:p>
        </w:tc>
        <w:tc>
          <w:tcPr>
            <w:tcW w:w="1800" w:type="dxa"/>
            <w:tcBorders>
              <w:top w:val="single" w:sz="2" w:space="0" w:color="auto"/>
              <w:bottom w:val="single" w:sz="2" w:space="0" w:color="auto"/>
            </w:tcBorders>
            <w:shd w:val="clear" w:color="auto" w:fill="auto"/>
          </w:tcPr>
          <w:p>
            <w:pPr>
              <w:pStyle w:val="NoSpacing"/>
              <w:tabs>
                <w:tab w:val="left" w:pos="947"/>
              </w:tabs>
              <w:ind w:right="541"/>
              <w:jc w:val="right"/>
              <w:rPr>
                <w:rFonts w:ascii="Times New Roman" w:eastAsia="Times New Roman" w:hAnsi="Times New Roman"/>
                <w:b/>
                <w:bCs/>
                <w:sz w:val="24"/>
                <w:szCs w:val="24"/>
                <w:lang w:eastAsia="en-PH"/>
              </w:rPr>
            </w:pPr>
            <w:r>
              <w:rPr>
                <w:rFonts w:ascii="Times New Roman" w:hAnsi="Times New Roman"/>
                <w:b/>
                <w:bCs/>
                <w:sz w:val="24"/>
                <w:szCs w:val="24"/>
              </w:rPr>
              <w:t>16,572</w:t>
            </w:r>
          </w:p>
        </w:tc>
      </w:tr>
    </w:tbl>
    <w:p>
      <w:pPr>
        <w:jc w:val="both"/>
        <w:rPr>
          <w:b/>
        </w:rPr>
      </w:pPr>
    </w:p>
    <w:p>
      <w:pPr>
        <w:pStyle w:val="NoSpacing"/>
        <w:jc w:val="both"/>
        <w:rPr>
          <w:rFonts w:ascii="Times New Roman" w:hAnsi="Times New Roman"/>
          <w:sz w:val="24"/>
          <w:szCs w:val="24"/>
        </w:rPr>
      </w:pPr>
    </w:p>
    <w:p>
      <w:pPr>
        <w:pStyle w:val="ListParagraph"/>
        <w:numPr>
          <w:ilvl w:val="0"/>
          <w:numId w:val="1"/>
        </w:numPr>
        <w:ind w:left="540" w:hanging="540"/>
        <w:jc w:val="both"/>
        <w:rPr>
          <w:b/>
        </w:rPr>
      </w:pPr>
      <w:r>
        <w:rPr>
          <w:b/>
        </w:rPr>
        <w:t>Financial Highlights</w:t>
      </w:r>
    </w:p>
    <w:p>
      <w:pPr>
        <w:jc w:val="both"/>
        <w:rPr>
          <w:lang w:val="en-PH"/>
        </w:rPr>
      </w:pPr>
    </w:p>
    <w:tbl>
      <w:tblPr>
        <w:tblW w:w="8100" w:type="dxa"/>
        <w:tblInd w:w="648" w:type="dxa"/>
        <w:tblLayout w:type="fixed"/>
        <w:tblLook w:val="04A0" w:firstRow="1" w:lastRow="0" w:firstColumn="1" w:lastColumn="0" w:noHBand="0" w:noVBand="1"/>
      </w:tblPr>
      <w:tblGrid>
        <w:gridCol w:w="1710"/>
        <w:gridCol w:w="2070"/>
        <w:gridCol w:w="1980"/>
        <w:gridCol w:w="2340"/>
      </w:tblGrid>
      <w:tr>
        <w:tc>
          <w:tcPr>
            <w:tcW w:w="1710" w:type="dxa"/>
            <w:tcBorders>
              <w:top w:val="single" w:sz="2" w:space="0" w:color="auto"/>
              <w:bottom w:val="single" w:sz="2" w:space="0" w:color="auto"/>
            </w:tcBorders>
            <w:shd w:val="clear" w:color="auto" w:fill="auto"/>
          </w:tcPr>
          <w:p>
            <w:pPr>
              <w:jc w:val="both"/>
            </w:pPr>
          </w:p>
        </w:tc>
        <w:tc>
          <w:tcPr>
            <w:tcW w:w="2070" w:type="dxa"/>
            <w:tcBorders>
              <w:top w:val="single" w:sz="2" w:space="0" w:color="auto"/>
              <w:bottom w:val="single" w:sz="2" w:space="0" w:color="auto"/>
            </w:tcBorders>
            <w:shd w:val="clear" w:color="auto" w:fill="auto"/>
          </w:tcPr>
          <w:p>
            <w:pPr>
              <w:jc w:val="center"/>
              <w:rPr>
                <w:b/>
              </w:rPr>
            </w:pPr>
            <w:r>
              <w:rPr>
                <w:b/>
              </w:rPr>
              <w:t>2020</w:t>
            </w:r>
          </w:p>
        </w:tc>
        <w:tc>
          <w:tcPr>
            <w:tcW w:w="1980" w:type="dxa"/>
            <w:tcBorders>
              <w:top w:val="single" w:sz="2" w:space="0" w:color="auto"/>
              <w:bottom w:val="single" w:sz="2" w:space="0" w:color="auto"/>
            </w:tcBorders>
            <w:shd w:val="clear" w:color="auto" w:fill="auto"/>
          </w:tcPr>
          <w:p>
            <w:pPr>
              <w:jc w:val="center"/>
              <w:rPr>
                <w:b/>
              </w:rPr>
            </w:pPr>
            <w:r>
              <w:rPr>
                <w:b/>
              </w:rPr>
              <w:t>2019</w:t>
            </w:r>
          </w:p>
        </w:tc>
        <w:tc>
          <w:tcPr>
            <w:tcW w:w="2340" w:type="dxa"/>
            <w:tcBorders>
              <w:top w:val="single" w:sz="2" w:space="0" w:color="auto"/>
              <w:bottom w:val="single" w:sz="2" w:space="0" w:color="auto"/>
            </w:tcBorders>
            <w:shd w:val="clear" w:color="auto" w:fill="auto"/>
          </w:tcPr>
          <w:p>
            <w:pPr>
              <w:jc w:val="center"/>
              <w:rPr>
                <w:b/>
              </w:rPr>
            </w:pPr>
            <w:r>
              <w:rPr>
                <w:b/>
              </w:rPr>
              <w:t>Increase/(Decrease)</w:t>
            </w:r>
          </w:p>
        </w:tc>
      </w:tr>
      <w:tr>
        <w:trPr>
          <w:trHeight w:val="198"/>
        </w:trPr>
        <w:tc>
          <w:tcPr>
            <w:tcW w:w="1710" w:type="dxa"/>
            <w:tcBorders>
              <w:top w:val="single" w:sz="2" w:space="0" w:color="auto"/>
            </w:tcBorders>
            <w:shd w:val="clear" w:color="auto" w:fill="auto"/>
          </w:tcPr>
          <w:p>
            <w:pPr>
              <w:jc w:val="both"/>
            </w:pPr>
            <w:r>
              <w:t>Assets</w:t>
            </w:r>
          </w:p>
        </w:tc>
        <w:tc>
          <w:tcPr>
            <w:tcW w:w="2070" w:type="dxa"/>
            <w:tcBorders>
              <w:top w:val="single" w:sz="2" w:space="0" w:color="auto"/>
            </w:tcBorders>
            <w:shd w:val="clear" w:color="auto" w:fill="auto"/>
          </w:tcPr>
          <w:p>
            <w:pPr>
              <w:jc w:val="right"/>
            </w:pPr>
            <w:r>
              <w:t xml:space="preserve"> P74,464,757,574 </w:t>
            </w:r>
          </w:p>
        </w:tc>
        <w:tc>
          <w:tcPr>
            <w:tcW w:w="1980" w:type="dxa"/>
            <w:tcBorders>
              <w:top w:val="single" w:sz="2" w:space="0" w:color="auto"/>
            </w:tcBorders>
            <w:shd w:val="clear" w:color="auto" w:fill="auto"/>
          </w:tcPr>
          <w:p>
            <w:pPr>
              <w:jc w:val="right"/>
            </w:pPr>
            <w:r>
              <w:t xml:space="preserve"> P67,492,137,416 </w:t>
            </w:r>
          </w:p>
        </w:tc>
        <w:tc>
          <w:tcPr>
            <w:tcW w:w="2340" w:type="dxa"/>
            <w:tcBorders>
              <w:top w:val="single" w:sz="2" w:space="0" w:color="auto"/>
            </w:tcBorders>
            <w:shd w:val="clear" w:color="auto" w:fill="auto"/>
          </w:tcPr>
          <w:p>
            <w:pPr>
              <w:jc w:val="right"/>
            </w:pPr>
            <w:r>
              <w:t>P6,972,620,158</w:t>
            </w:r>
          </w:p>
        </w:tc>
      </w:tr>
      <w:tr>
        <w:tc>
          <w:tcPr>
            <w:tcW w:w="1710" w:type="dxa"/>
            <w:shd w:val="clear" w:color="auto" w:fill="auto"/>
          </w:tcPr>
          <w:p>
            <w:pPr>
              <w:jc w:val="both"/>
            </w:pPr>
            <w:r>
              <w:t>Liabilities</w:t>
            </w:r>
          </w:p>
        </w:tc>
        <w:tc>
          <w:tcPr>
            <w:tcW w:w="2070" w:type="dxa"/>
            <w:shd w:val="clear" w:color="auto" w:fill="auto"/>
          </w:tcPr>
          <w:p>
            <w:pPr>
              <w:jc w:val="right"/>
            </w:pPr>
            <w:r>
              <w:t xml:space="preserve"> 22,420,747,872 </w:t>
            </w:r>
          </w:p>
        </w:tc>
        <w:tc>
          <w:tcPr>
            <w:tcW w:w="1980" w:type="dxa"/>
            <w:shd w:val="clear" w:color="auto" w:fill="auto"/>
          </w:tcPr>
          <w:p>
            <w:pPr>
              <w:jc w:val="right"/>
            </w:pPr>
            <w:r>
              <w:t xml:space="preserve"> 16,182,961,583 </w:t>
            </w:r>
          </w:p>
        </w:tc>
        <w:tc>
          <w:tcPr>
            <w:tcW w:w="2340" w:type="dxa"/>
            <w:shd w:val="clear" w:color="auto" w:fill="auto"/>
          </w:tcPr>
          <w:p>
            <w:pPr>
              <w:jc w:val="right"/>
            </w:pPr>
            <w:r>
              <w:t>6,237,786,289</w:t>
            </w:r>
          </w:p>
        </w:tc>
      </w:tr>
      <w:tr>
        <w:tc>
          <w:tcPr>
            <w:tcW w:w="1710" w:type="dxa"/>
            <w:shd w:val="clear" w:color="auto" w:fill="auto"/>
          </w:tcPr>
          <w:p>
            <w:pPr>
              <w:jc w:val="both"/>
            </w:pPr>
            <w:r>
              <w:t>Equity</w:t>
            </w:r>
          </w:p>
        </w:tc>
        <w:tc>
          <w:tcPr>
            <w:tcW w:w="2070" w:type="dxa"/>
            <w:shd w:val="clear" w:color="auto" w:fill="auto"/>
          </w:tcPr>
          <w:p>
            <w:pPr>
              <w:jc w:val="right"/>
            </w:pPr>
            <w:r>
              <w:t xml:space="preserve"> 52,044,009,702 </w:t>
            </w:r>
          </w:p>
        </w:tc>
        <w:tc>
          <w:tcPr>
            <w:tcW w:w="1980" w:type="dxa"/>
            <w:shd w:val="clear" w:color="auto" w:fill="auto"/>
          </w:tcPr>
          <w:p>
            <w:pPr>
              <w:jc w:val="right"/>
            </w:pPr>
            <w:r>
              <w:t xml:space="preserve"> 51,309,175,833 </w:t>
            </w:r>
          </w:p>
        </w:tc>
        <w:tc>
          <w:tcPr>
            <w:tcW w:w="2340" w:type="dxa"/>
            <w:shd w:val="clear" w:color="auto" w:fill="auto"/>
          </w:tcPr>
          <w:p>
            <w:pPr>
              <w:jc w:val="right"/>
            </w:pPr>
            <w:r>
              <w:t>734,833,869</w:t>
            </w:r>
          </w:p>
        </w:tc>
      </w:tr>
      <w:tr>
        <w:tc>
          <w:tcPr>
            <w:tcW w:w="1710" w:type="dxa"/>
            <w:shd w:val="clear" w:color="auto" w:fill="auto"/>
          </w:tcPr>
          <w:p>
            <w:pPr>
              <w:jc w:val="both"/>
            </w:pPr>
            <w:r>
              <w:t>Income</w:t>
            </w:r>
          </w:p>
        </w:tc>
        <w:tc>
          <w:tcPr>
            <w:tcW w:w="2070" w:type="dxa"/>
            <w:shd w:val="clear" w:color="auto" w:fill="auto"/>
          </w:tcPr>
          <w:p>
            <w:pPr>
              <w:jc w:val="right"/>
            </w:pPr>
            <w:r>
              <w:t>15,888,791,653</w:t>
            </w:r>
          </w:p>
        </w:tc>
        <w:tc>
          <w:tcPr>
            <w:tcW w:w="1980" w:type="dxa"/>
            <w:shd w:val="clear" w:color="auto" w:fill="auto"/>
          </w:tcPr>
          <w:p>
            <w:pPr>
              <w:jc w:val="right"/>
            </w:pPr>
            <w:r>
              <w:t xml:space="preserve"> 16,556,924,350 </w:t>
            </w:r>
          </w:p>
        </w:tc>
        <w:tc>
          <w:tcPr>
            <w:tcW w:w="2340" w:type="dxa"/>
            <w:shd w:val="clear" w:color="auto" w:fill="auto"/>
          </w:tcPr>
          <w:p>
            <w:pPr>
              <w:jc w:val="right"/>
            </w:pPr>
            <w:r>
              <w:t>668,132,697</w:t>
            </w:r>
          </w:p>
        </w:tc>
      </w:tr>
      <w:tr>
        <w:tc>
          <w:tcPr>
            <w:tcW w:w="1710" w:type="dxa"/>
            <w:shd w:val="clear" w:color="auto" w:fill="auto"/>
          </w:tcPr>
          <w:p>
            <w:pPr>
              <w:jc w:val="both"/>
            </w:pPr>
            <w:r>
              <w:t>Expenses</w:t>
            </w:r>
          </w:p>
        </w:tc>
        <w:tc>
          <w:tcPr>
            <w:tcW w:w="2070" w:type="dxa"/>
            <w:shd w:val="clear" w:color="auto" w:fill="auto"/>
          </w:tcPr>
          <w:p>
            <w:pPr>
              <w:jc w:val="right"/>
            </w:pPr>
            <w:r>
              <w:t xml:space="preserve"> 17,874,675,033 </w:t>
            </w:r>
          </w:p>
        </w:tc>
        <w:tc>
          <w:tcPr>
            <w:tcW w:w="1980" w:type="dxa"/>
            <w:shd w:val="clear" w:color="auto" w:fill="auto"/>
          </w:tcPr>
          <w:p>
            <w:pPr>
              <w:jc w:val="right"/>
            </w:pPr>
            <w:r>
              <w:t xml:space="preserve"> 11,615,936,761 </w:t>
            </w:r>
          </w:p>
        </w:tc>
        <w:tc>
          <w:tcPr>
            <w:tcW w:w="2340" w:type="dxa"/>
            <w:shd w:val="clear" w:color="auto" w:fill="auto"/>
          </w:tcPr>
          <w:p>
            <w:pPr>
              <w:jc w:val="right"/>
            </w:pPr>
            <w:r>
              <w:t>6,258,738,272</w:t>
            </w:r>
          </w:p>
        </w:tc>
      </w:tr>
      <w:tr>
        <w:tc>
          <w:tcPr>
            <w:tcW w:w="1710" w:type="dxa"/>
            <w:shd w:val="clear" w:color="auto" w:fill="auto"/>
          </w:tcPr>
          <w:p>
            <w:pPr>
              <w:jc w:val="both"/>
            </w:pPr>
            <w:r>
              <w:t>Transfers, Assistance and Subsidy from</w:t>
            </w:r>
          </w:p>
        </w:tc>
        <w:tc>
          <w:tcPr>
            <w:tcW w:w="2070" w:type="dxa"/>
            <w:shd w:val="clear" w:color="auto" w:fill="auto"/>
          </w:tcPr>
          <w:p>
            <w:pPr>
              <w:jc w:val="right"/>
            </w:pPr>
            <w:r>
              <w:t>292,600,487</w:t>
            </w:r>
          </w:p>
        </w:tc>
        <w:tc>
          <w:tcPr>
            <w:tcW w:w="1980" w:type="dxa"/>
            <w:shd w:val="clear" w:color="auto" w:fill="auto"/>
          </w:tcPr>
          <w:p>
            <w:pPr>
              <w:jc w:val="right"/>
            </w:pPr>
            <w:r>
              <w:t xml:space="preserve">-   </w:t>
            </w:r>
          </w:p>
        </w:tc>
        <w:tc>
          <w:tcPr>
            <w:tcW w:w="2340" w:type="dxa"/>
            <w:shd w:val="clear" w:color="auto" w:fill="auto"/>
          </w:tcPr>
          <w:p>
            <w:pPr>
              <w:jc w:val="right"/>
            </w:pPr>
            <w:r>
              <w:t xml:space="preserve"> 292,600,487 </w:t>
            </w:r>
          </w:p>
        </w:tc>
      </w:tr>
      <w:tr>
        <w:tc>
          <w:tcPr>
            <w:tcW w:w="1710" w:type="dxa"/>
            <w:tcBorders>
              <w:bottom w:val="single" w:sz="2" w:space="0" w:color="auto"/>
            </w:tcBorders>
            <w:shd w:val="clear" w:color="auto" w:fill="auto"/>
          </w:tcPr>
          <w:p>
            <w:pPr>
              <w:jc w:val="both"/>
            </w:pPr>
            <w:r>
              <w:t>Transfers, Assistance and Subsidy to</w:t>
            </w:r>
          </w:p>
        </w:tc>
        <w:tc>
          <w:tcPr>
            <w:tcW w:w="2070" w:type="dxa"/>
            <w:tcBorders>
              <w:bottom w:val="single" w:sz="2" w:space="0" w:color="auto"/>
            </w:tcBorders>
            <w:shd w:val="clear" w:color="auto" w:fill="auto"/>
          </w:tcPr>
          <w:p>
            <w:pPr>
              <w:jc w:val="right"/>
            </w:pPr>
            <w:r>
              <w:t>325,724,179</w:t>
            </w:r>
          </w:p>
          <w:p>
            <w:pPr>
              <w:jc w:val="center"/>
            </w:pPr>
          </w:p>
        </w:tc>
        <w:tc>
          <w:tcPr>
            <w:tcW w:w="1980" w:type="dxa"/>
            <w:tcBorders>
              <w:bottom w:val="single" w:sz="2" w:space="0" w:color="auto"/>
            </w:tcBorders>
            <w:shd w:val="clear" w:color="auto" w:fill="auto"/>
          </w:tcPr>
          <w:p>
            <w:pPr>
              <w:jc w:val="right"/>
            </w:pPr>
            <w:r>
              <w:t>480,894,105</w:t>
            </w:r>
          </w:p>
        </w:tc>
        <w:tc>
          <w:tcPr>
            <w:tcW w:w="2340" w:type="dxa"/>
            <w:tcBorders>
              <w:bottom w:val="single" w:sz="2" w:space="0" w:color="auto"/>
            </w:tcBorders>
            <w:shd w:val="clear" w:color="auto" w:fill="auto"/>
          </w:tcPr>
          <w:p>
            <w:pPr>
              <w:jc w:val="right"/>
            </w:pPr>
            <w:r>
              <w:t>(155,169,926)</w:t>
            </w:r>
          </w:p>
        </w:tc>
      </w:tr>
    </w:tbl>
    <w:p>
      <w:pPr>
        <w:jc w:val="both"/>
      </w:pPr>
    </w:p>
    <w:p>
      <w:pPr>
        <w:pStyle w:val="NoSpacing"/>
        <w:ind w:left="540"/>
        <w:jc w:val="both"/>
        <w:rPr>
          <w:rFonts w:ascii="Times New Roman" w:hAnsi="Times New Roman"/>
          <w:sz w:val="24"/>
          <w:szCs w:val="24"/>
        </w:rPr>
      </w:pPr>
      <w:r>
        <w:rPr>
          <w:rFonts w:ascii="Times New Roman" w:hAnsi="Times New Roman"/>
          <w:sz w:val="24"/>
          <w:szCs w:val="24"/>
        </w:rPr>
        <w:t>The total appropriations for the General Fund (GF) and Special Education Fund (SEF) of the City for CY 2020 totaled P19.229 billion. The obligations charged against these appropriations amounted to P18.066 billion:</w:t>
      </w:r>
    </w:p>
    <w:p>
      <w:pPr>
        <w:jc w:val="both"/>
      </w:pPr>
    </w:p>
    <w:tbl>
      <w:tblPr>
        <w:tblW w:w="8208" w:type="dxa"/>
        <w:tblInd w:w="540" w:type="dxa"/>
        <w:tblLayout w:type="fixed"/>
        <w:tblCellMar>
          <w:left w:w="0" w:type="dxa"/>
          <w:right w:w="0" w:type="dxa"/>
        </w:tblCellMar>
        <w:tblLook w:val="04A0" w:firstRow="1" w:lastRow="0" w:firstColumn="1" w:lastColumn="0" w:noHBand="0" w:noVBand="1"/>
      </w:tblPr>
      <w:tblGrid>
        <w:gridCol w:w="2178"/>
        <w:gridCol w:w="1890"/>
        <w:gridCol w:w="1890"/>
        <w:gridCol w:w="2250"/>
      </w:tblGrid>
      <w:tr>
        <w:tc>
          <w:tcPr>
            <w:tcW w:w="2178" w:type="dxa"/>
            <w:tcBorders>
              <w:top w:val="single" w:sz="2" w:space="0" w:color="auto"/>
              <w:bottom w:val="single" w:sz="2" w:space="0" w:color="auto"/>
            </w:tcBorders>
            <w:shd w:val="clear" w:color="auto" w:fill="auto"/>
          </w:tcPr>
          <w:p>
            <w:pPr>
              <w:jc w:val="both"/>
              <w:rPr>
                <w:color w:val="000000" w:themeColor="text1"/>
              </w:rPr>
            </w:pPr>
            <w:r>
              <w:rPr>
                <w:color w:val="000000" w:themeColor="text1"/>
              </w:rPr>
              <w:t> </w:t>
            </w:r>
          </w:p>
        </w:tc>
        <w:tc>
          <w:tcPr>
            <w:tcW w:w="1890" w:type="dxa"/>
            <w:tcBorders>
              <w:top w:val="single" w:sz="2" w:space="0" w:color="auto"/>
              <w:bottom w:val="single" w:sz="2" w:space="0" w:color="auto"/>
            </w:tcBorders>
            <w:shd w:val="clear" w:color="auto" w:fill="auto"/>
          </w:tcPr>
          <w:p>
            <w:pPr>
              <w:jc w:val="center"/>
              <w:rPr>
                <w:b/>
                <w:color w:val="000000" w:themeColor="text1"/>
              </w:rPr>
            </w:pPr>
            <w:r>
              <w:rPr>
                <w:b/>
                <w:color w:val="000000" w:themeColor="text1"/>
              </w:rPr>
              <w:t>2020</w:t>
            </w:r>
          </w:p>
        </w:tc>
        <w:tc>
          <w:tcPr>
            <w:tcW w:w="1890" w:type="dxa"/>
            <w:tcBorders>
              <w:top w:val="single" w:sz="2" w:space="0" w:color="auto"/>
              <w:bottom w:val="single" w:sz="2" w:space="0" w:color="auto"/>
            </w:tcBorders>
            <w:shd w:val="clear" w:color="auto" w:fill="auto"/>
          </w:tcPr>
          <w:p>
            <w:pPr>
              <w:jc w:val="center"/>
              <w:rPr>
                <w:b/>
                <w:color w:val="000000" w:themeColor="text1"/>
              </w:rPr>
            </w:pPr>
            <w:r>
              <w:rPr>
                <w:b/>
                <w:color w:val="000000" w:themeColor="text1"/>
              </w:rPr>
              <w:t>2019</w:t>
            </w:r>
          </w:p>
        </w:tc>
        <w:tc>
          <w:tcPr>
            <w:tcW w:w="2250" w:type="dxa"/>
            <w:tcBorders>
              <w:top w:val="single" w:sz="2" w:space="0" w:color="auto"/>
              <w:bottom w:val="single" w:sz="2" w:space="0" w:color="auto"/>
            </w:tcBorders>
            <w:shd w:val="clear" w:color="auto" w:fill="auto"/>
          </w:tcPr>
          <w:p>
            <w:pPr>
              <w:jc w:val="center"/>
              <w:rPr>
                <w:b/>
                <w:color w:val="000000" w:themeColor="text1"/>
              </w:rPr>
            </w:pPr>
            <w:r>
              <w:rPr>
                <w:b/>
                <w:color w:val="000000" w:themeColor="text1"/>
              </w:rPr>
              <w:t>Increase/(Decrease)</w:t>
            </w:r>
          </w:p>
        </w:tc>
      </w:tr>
      <w:tr>
        <w:tc>
          <w:tcPr>
            <w:tcW w:w="2178" w:type="dxa"/>
            <w:tcBorders>
              <w:top w:val="single" w:sz="2" w:space="0" w:color="auto"/>
            </w:tcBorders>
            <w:shd w:val="clear" w:color="auto" w:fill="auto"/>
          </w:tcPr>
          <w:p>
            <w:pPr>
              <w:jc w:val="both"/>
              <w:rPr>
                <w:color w:val="000000" w:themeColor="text1"/>
              </w:rPr>
            </w:pPr>
            <w:r>
              <w:rPr>
                <w:color w:val="000000" w:themeColor="text1"/>
              </w:rPr>
              <w:t>Appropriations</w:t>
            </w:r>
          </w:p>
        </w:tc>
        <w:tc>
          <w:tcPr>
            <w:tcW w:w="1890" w:type="dxa"/>
            <w:tcBorders>
              <w:top w:val="single" w:sz="2" w:space="0" w:color="auto"/>
            </w:tcBorders>
            <w:shd w:val="clear" w:color="auto" w:fill="auto"/>
          </w:tcPr>
          <w:p>
            <w:pPr>
              <w:jc w:val="center"/>
              <w:rPr>
                <w:color w:val="000000" w:themeColor="text1"/>
              </w:rPr>
            </w:pPr>
            <w:r>
              <w:rPr>
                <w:color w:val="000000" w:themeColor="text1"/>
              </w:rPr>
              <w:t xml:space="preserve">    19,228,702,046</w:t>
            </w:r>
          </w:p>
        </w:tc>
        <w:tc>
          <w:tcPr>
            <w:tcW w:w="1890" w:type="dxa"/>
            <w:tcBorders>
              <w:top w:val="single" w:sz="2" w:space="0" w:color="auto"/>
            </w:tcBorders>
            <w:shd w:val="clear" w:color="auto" w:fill="auto"/>
          </w:tcPr>
          <w:p>
            <w:pPr>
              <w:jc w:val="center"/>
              <w:rPr>
                <w:color w:val="000000" w:themeColor="text1"/>
              </w:rPr>
            </w:pPr>
            <w:r>
              <w:rPr>
                <w:color w:val="000000" w:themeColor="text1"/>
              </w:rPr>
              <w:t xml:space="preserve">    22,232,284,289 </w:t>
            </w:r>
          </w:p>
        </w:tc>
        <w:tc>
          <w:tcPr>
            <w:tcW w:w="2250" w:type="dxa"/>
            <w:tcBorders>
              <w:top w:val="single" w:sz="2" w:space="0" w:color="auto"/>
            </w:tcBorders>
            <w:shd w:val="clear" w:color="auto" w:fill="auto"/>
          </w:tcPr>
          <w:p>
            <w:pPr>
              <w:jc w:val="center"/>
              <w:rPr>
                <w:color w:val="000000" w:themeColor="text1"/>
              </w:rPr>
            </w:pPr>
            <w:r>
              <w:rPr>
                <w:color w:val="000000" w:themeColor="text1"/>
              </w:rPr>
              <w:t xml:space="preserve">     (3,003,582,243)</w:t>
            </w:r>
          </w:p>
        </w:tc>
      </w:tr>
      <w:tr>
        <w:tc>
          <w:tcPr>
            <w:tcW w:w="2178" w:type="dxa"/>
            <w:tcBorders>
              <w:bottom w:val="single" w:sz="2" w:space="0" w:color="auto"/>
            </w:tcBorders>
            <w:shd w:val="clear" w:color="auto" w:fill="auto"/>
          </w:tcPr>
          <w:p>
            <w:pPr>
              <w:jc w:val="both"/>
              <w:rPr>
                <w:color w:val="000000" w:themeColor="text1"/>
              </w:rPr>
            </w:pPr>
            <w:r>
              <w:rPr>
                <w:color w:val="000000" w:themeColor="text1"/>
              </w:rPr>
              <w:t>Obligations</w:t>
            </w:r>
          </w:p>
        </w:tc>
        <w:tc>
          <w:tcPr>
            <w:tcW w:w="1890" w:type="dxa"/>
            <w:tcBorders>
              <w:bottom w:val="single" w:sz="2" w:space="0" w:color="auto"/>
            </w:tcBorders>
            <w:shd w:val="clear" w:color="auto" w:fill="auto"/>
          </w:tcPr>
          <w:p>
            <w:pPr>
              <w:jc w:val="center"/>
              <w:rPr>
                <w:color w:val="000000" w:themeColor="text1"/>
              </w:rPr>
            </w:pPr>
            <w:r>
              <w:rPr>
                <w:color w:val="000000" w:themeColor="text1"/>
              </w:rPr>
              <w:t xml:space="preserve">    18,066,127,058 </w:t>
            </w:r>
          </w:p>
        </w:tc>
        <w:tc>
          <w:tcPr>
            <w:tcW w:w="1890" w:type="dxa"/>
            <w:tcBorders>
              <w:bottom w:val="single" w:sz="2" w:space="0" w:color="auto"/>
            </w:tcBorders>
            <w:shd w:val="clear" w:color="auto" w:fill="auto"/>
          </w:tcPr>
          <w:p>
            <w:pPr>
              <w:jc w:val="center"/>
              <w:rPr>
                <w:color w:val="000000" w:themeColor="text1"/>
              </w:rPr>
            </w:pPr>
            <w:r>
              <w:rPr>
                <w:color w:val="000000" w:themeColor="text1"/>
              </w:rPr>
              <w:t xml:space="preserve">    10,062,320,227 </w:t>
            </w:r>
          </w:p>
        </w:tc>
        <w:tc>
          <w:tcPr>
            <w:tcW w:w="2250" w:type="dxa"/>
            <w:tcBorders>
              <w:bottom w:val="single" w:sz="2" w:space="0" w:color="auto"/>
            </w:tcBorders>
            <w:shd w:val="clear" w:color="auto" w:fill="auto"/>
          </w:tcPr>
          <w:p>
            <w:pPr>
              <w:jc w:val="center"/>
              <w:rPr>
                <w:color w:val="000000" w:themeColor="text1"/>
              </w:rPr>
            </w:pPr>
            <w:r>
              <w:rPr>
                <w:color w:val="000000" w:themeColor="text1"/>
              </w:rPr>
              <w:t xml:space="preserve">      8,003,806,831 </w:t>
            </w:r>
          </w:p>
        </w:tc>
      </w:tr>
    </w:tbl>
    <w:p>
      <w:pPr>
        <w:pStyle w:val="NoSpacing"/>
        <w:ind w:left="540"/>
        <w:jc w:val="both"/>
        <w:rPr>
          <w:rFonts w:ascii="Times New Roman" w:hAnsi="Times New Roman"/>
          <w:sz w:val="24"/>
          <w:szCs w:val="24"/>
        </w:rPr>
      </w:pPr>
    </w:p>
    <w:p>
      <w:pPr>
        <w:pStyle w:val="NoSpacing"/>
        <w:ind w:left="540"/>
        <w:jc w:val="both"/>
        <w:rPr>
          <w:rFonts w:ascii="Times New Roman" w:hAnsi="Times New Roman"/>
          <w:sz w:val="24"/>
          <w:szCs w:val="24"/>
        </w:rPr>
      </w:pPr>
      <w:r>
        <w:rPr>
          <w:rFonts w:ascii="Times New Roman" w:hAnsi="Times New Roman"/>
          <w:sz w:val="24"/>
          <w:szCs w:val="24"/>
        </w:rPr>
        <w:t>The total income of P18.215 billion collected during the year was sourced from the following:</w:t>
      </w:r>
    </w:p>
    <w:p>
      <w:pPr>
        <w:pStyle w:val="NoSpacing"/>
        <w:ind w:left="540"/>
        <w:jc w:val="both"/>
        <w:rPr>
          <w:rFonts w:ascii="Times New Roman" w:hAnsi="Times New Roman"/>
          <w:sz w:val="24"/>
          <w:szCs w:val="24"/>
        </w:rPr>
      </w:pPr>
    </w:p>
    <w:tbl>
      <w:tblPr>
        <w:tblW w:w="8190" w:type="dxa"/>
        <w:tblInd w:w="540" w:type="dxa"/>
        <w:tblLayout w:type="fixed"/>
        <w:tblLook w:val="04A0" w:firstRow="1" w:lastRow="0" w:firstColumn="1" w:lastColumn="0" w:noHBand="0" w:noVBand="1"/>
      </w:tblPr>
      <w:tblGrid>
        <w:gridCol w:w="2430"/>
        <w:gridCol w:w="1890"/>
        <w:gridCol w:w="1890"/>
        <w:gridCol w:w="1980"/>
      </w:tblGrid>
      <w:tr>
        <w:trPr>
          <w:trHeight w:val="290"/>
        </w:trPr>
        <w:tc>
          <w:tcPr>
            <w:tcW w:w="2430" w:type="dxa"/>
            <w:tcBorders>
              <w:top w:val="single" w:sz="2" w:space="0" w:color="auto"/>
              <w:bottom w:val="single" w:sz="2" w:space="0" w:color="auto"/>
            </w:tcBorders>
            <w:shd w:val="clear" w:color="auto" w:fill="auto"/>
          </w:tcPr>
          <w:p>
            <w:pPr>
              <w:tabs>
                <w:tab w:val="left" w:pos="3240"/>
              </w:tabs>
              <w:jc w:val="center"/>
              <w:rPr>
                <w:b/>
              </w:rPr>
            </w:pPr>
            <w:bookmarkStart w:id="1" w:name="_Hlk79946469"/>
            <w:r>
              <w:rPr>
                <w:b/>
              </w:rPr>
              <w:t>Particulars</w:t>
            </w:r>
          </w:p>
        </w:tc>
        <w:tc>
          <w:tcPr>
            <w:tcW w:w="1890" w:type="dxa"/>
            <w:tcBorders>
              <w:top w:val="single" w:sz="2" w:space="0" w:color="auto"/>
              <w:bottom w:val="single" w:sz="2" w:space="0" w:color="auto"/>
            </w:tcBorders>
            <w:shd w:val="clear" w:color="auto" w:fill="auto"/>
          </w:tcPr>
          <w:p>
            <w:pPr>
              <w:tabs>
                <w:tab w:val="left" w:pos="3240"/>
              </w:tabs>
              <w:jc w:val="center"/>
              <w:rPr>
                <w:b/>
              </w:rPr>
            </w:pPr>
            <w:r>
              <w:rPr>
                <w:b/>
              </w:rPr>
              <w:t>GF</w:t>
            </w:r>
          </w:p>
        </w:tc>
        <w:tc>
          <w:tcPr>
            <w:tcW w:w="1890" w:type="dxa"/>
            <w:tcBorders>
              <w:top w:val="single" w:sz="2" w:space="0" w:color="auto"/>
              <w:bottom w:val="single" w:sz="2" w:space="0" w:color="auto"/>
            </w:tcBorders>
            <w:shd w:val="clear" w:color="auto" w:fill="auto"/>
          </w:tcPr>
          <w:p>
            <w:pPr>
              <w:tabs>
                <w:tab w:val="left" w:pos="3240"/>
              </w:tabs>
              <w:jc w:val="center"/>
              <w:rPr>
                <w:b/>
              </w:rPr>
            </w:pPr>
            <w:r>
              <w:rPr>
                <w:b/>
              </w:rPr>
              <w:t>SEF</w:t>
            </w:r>
          </w:p>
        </w:tc>
        <w:tc>
          <w:tcPr>
            <w:tcW w:w="1980" w:type="dxa"/>
            <w:tcBorders>
              <w:top w:val="single" w:sz="2" w:space="0" w:color="auto"/>
              <w:bottom w:val="single" w:sz="2" w:space="0" w:color="auto"/>
            </w:tcBorders>
            <w:shd w:val="clear" w:color="auto" w:fill="auto"/>
          </w:tcPr>
          <w:p>
            <w:pPr>
              <w:tabs>
                <w:tab w:val="left" w:pos="3240"/>
              </w:tabs>
              <w:jc w:val="center"/>
              <w:rPr>
                <w:b/>
              </w:rPr>
            </w:pPr>
            <w:r>
              <w:rPr>
                <w:b/>
              </w:rPr>
              <w:t>Total</w:t>
            </w:r>
          </w:p>
        </w:tc>
      </w:tr>
      <w:tr>
        <w:trPr>
          <w:trHeight w:val="290"/>
        </w:trPr>
        <w:tc>
          <w:tcPr>
            <w:tcW w:w="2430" w:type="dxa"/>
            <w:tcBorders>
              <w:top w:val="single" w:sz="2" w:space="0" w:color="auto"/>
            </w:tcBorders>
            <w:shd w:val="clear" w:color="auto" w:fill="auto"/>
          </w:tcPr>
          <w:p>
            <w:pPr>
              <w:ind w:left="159" w:hanging="159"/>
            </w:pPr>
            <w:r>
              <w:t>Tax Revenue</w:t>
            </w:r>
          </w:p>
        </w:tc>
        <w:tc>
          <w:tcPr>
            <w:tcW w:w="1890" w:type="dxa"/>
            <w:tcBorders>
              <w:top w:val="single" w:sz="2" w:space="0" w:color="auto"/>
            </w:tcBorders>
            <w:shd w:val="clear" w:color="auto" w:fill="auto"/>
          </w:tcPr>
          <w:p>
            <w:pPr>
              <w:jc w:val="right"/>
            </w:pPr>
            <w:r>
              <w:t>P7,721,427,819</w:t>
            </w:r>
          </w:p>
        </w:tc>
        <w:tc>
          <w:tcPr>
            <w:tcW w:w="1890" w:type="dxa"/>
            <w:tcBorders>
              <w:top w:val="single" w:sz="2" w:space="0" w:color="auto"/>
            </w:tcBorders>
            <w:shd w:val="clear" w:color="auto" w:fill="auto"/>
          </w:tcPr>
          <w:p>
            <w:pPr>
              <w:jc w:val="right"/>
            </w:pPr>
            <w:r>
              <w:t>P2,024,544,291</w:t>
            </w:r>
          </w:p>
        </w:tc>
        <w:tc>
          <w:tcPr>
            <w:tcW w:w="1980" w:type="dxa"/>
            <w:tcBorders>
              <w:top w:val="single" w:sz="2" w:space="0" w:color="auto"/>
            </w:tcBorders>
            <w:shd w:val="clear" w:color="auto" w:fill="auto"/>
          </w:tcPr>
          <w:p>
            <w:pPr>
              <w:tabs>
                <w:tab w:val="left" w:pos="3240"/>
              </w:tabs>
              <w:jc w:val="right"/>
            </w:pPr>
            <w:r>
              <w:t xml:space="preserve"> P9,745,972,110 </w:t>
            </w:r>
          </w:p>
        </w:tc>
      </w:tr>
      <w:tr>
        <w:trPr>
          <w:trHeight w:val="290"/>
        </w:trPr>
        <w:tc>
          <w:tcPr>
            <w:tcW w:w="2430" w:type="dxa"/>
            <w:shd w:val="clear" w:color="auto" w:fill="auto"/>
          </w:tcPr>
          <w:p>
            <w:pPr>
              <w:tabs>
                <w:tab w:val="left" w:pos="3240"/>
              </w:tabs>
              <w:ind w:left="159" w:hanging="159"/>
            </w:pPr>
            <w:r>
              <w:t>Share from National Taxes</w:t>
            </w:r>
          </w:p>
        </w:tc>
        <w:tc>
          <w:tcPr>
            <w:tcW w:w="1890" w:type="dxa"/>
            <w:shd w:val="clear" w:color="auto" w:fill="auto"/>
          </w:tcPr>
          <w:p>
            <w:pPr>
              <w:tabs>
                <w:tab w:val="left" w:pos="3240"/>
              </w:tabs>
              <w:jc w:val="right"/>
            </w:pPr>
            <w:r>
              <w:t>3,511,205,844</w:t>
            </w:r>
          </w:p>
        </w:tc>
        <w:tc>
          <w:tcPr>
            <w:tcW w:w="1890" w:type="dxa"/>
            <w:shd w:val="clear" w:color="auto" w:fill="auto"/>
          </w:tcPr>
          <w:p>
            <w:pPr>
              <w:jc w:val="right"/>
            </w:pPr>
            <w:r>
              <w:t xml:space="preserve">-   </w:t>
            </w:r>
          </w:p>
        </w:tc>
        <w:tc>
          <w:tcPr>
            <w:tcW w:w="1980" w:type="dxa"/>
            <w:shd w:val="clear" w:color="auto" w:fill="auto"/>
          </w:tcPr>
          <w:p>
            <w:pPr>
              <w:tabs>
                <w:tab w:val="left" w:pos="3240"/>
              </w:tabs>
              <w:jc w:val="right"/>
            </w:pPr>
            <w:r>
              <w:t xml:space="preserve"> 3,511,205,844 </w:t>
            </w:r>
          </w:p>
        </w:tc>
      </w:tr>
      <w:tr>
        <w:trPr>
          <w:trHeight w:val="290"/>
        </w:trPr>
        <w:tc>
          <w:tcPr>
            <w:tcW w:w="2430" w:type="dxa"/>
            <w:shd w:val="clear" w:color="auto" w:fill="auto"/>
          </w:tcPr>
          <w:p>
            <w:pPr>
              <w:tabs>
                <w:tab w:val="left" w:pos="3240"/>
              </w:tabs>
              <w:ind w:left="159" w:hanging="159"/>
            </w:pPr>
            <w:r>
              <w:t>Service and Business Income</w:t>
            </w:r>
          </w:p>
        </w:tc>
        <w:tc>
          <w:tcPr>
            <w:tcW w:w="1890" w:type="dxa"/>
            <w:shd w:val="clear" w:color="auto" w:fill="auto"/>
          </w:tcPr>
          <w:p>
            <w:pPr>
              <w:tabs>
                <w:tab w:val="left" w:pos="3240"/>
              </w:tabs>
              <w:jc w:val="right"/>
            </w:pPr>
            <w:r>
              <w:t>1,440,139,411</w:t>
            </w:r>
          </w:p>
        </w:tc>
        <w:tc>
          <w:tcPr>
            <w:tcW w:w="1890" w:type="dxa"/>
            <w:shd w:val="clear" w:color="auto" w:fill="auto"/>
          </w:tcPr>
          <w:p>
            <w:pPr>
              <w:tabs>
                <w:tab w:val="left" w:pos="3240"/>
              </w:tabs>
              <w:jc w:val="right"/>
            </w:pPr>
            <w:r>
              <w:t>9,469,556</w:t>
            </w:r>
          </w:p>
        </w:tc>
        <w:tc>
          <w:tcPr>
            <w:tcW w:w="1980" w:type="dxa"/>
            <w:shd w:val="clear" w:color="auto" w:fill="auto"/>
          </w:tcPr>
          <w:p>
            <w:pPr>
              <w:tabs>
                <w:tab w:val="left" w:pos="3240"/>
              </w:tabs>
              <w:jc w:val="right"/>
            </w:pPr>
            <w:r>
              <w:t xml:space="preserve"> 1,449,608,967 </w:t>
            </w:r>
          </w:p>
        </w:tc>
      </w:tr>
      <w:tr>
        <w:trPr>
          <w:trHeight w:val="290"/>
        </w:trPr>
        <w:tc>
          <w:tcPr>
            <w:tcW w:w="2430" w:type="dxa"/>
            <w:shd w:val="clear" w:color="auto" w:fill="auto"/>
          </w:tcPr>
          <w:p>
            <w:pPr>
              <w:tabs>
                <w:tab w:val="left" w:pos="3240"/>
              </w:tabs>
              <w:ind w:left="159" w:hanging="159"/>
            </w:pPr>
            <w:r>
              <w:t>Shares, Grants and Donations</w:t>
            </w:r>
          </w:p>
        </w:tc>
        <w:tc>
          <w:tcPr>
            <w:tcW w:w="1890" w:type="dxa"/>
            <w:shd w:val="clear" w:color="auto" w:fill="auto"/>
          </w:tcPr>
          <w:p>
            <w:pPr>
              <w:tabs>
                <w:tab w:val="left" w:pos="3240"/>
              </w:tabs>
              <w:jc w:val="right"/>
            </w:pPr>
            <w:r>
              <w:t>338,733,000</w:t>
            </w:r>
          </w:p>
        </w:tc>
        <w:tc>
          <w:tcPr>
            <w:tcW w:w="1890" w:type="dxa"/>
            <w:shd w:val="clear" w:color="auto" w:fill="auto"/>
          </w:tcPr>
          <w:p>
            <w:pPr>
              <w:tabs>
                <w:tab w:val="left" w:pos="3240"/>
              </w:tabs>
              <w:jc w:val="right"/>
            </w:pPr>
            <w:r>
              <w:t xml:space="preserve">-   </w:t>
            </w:r>
          </w:p>
        </w:tc>
        <w:tc>
          <w:tcPr>
            <w:tcW w:w="1980" w:type="dxa"/>
            <w:shd w:val="clear" w:color="auto" w:fill="auto"/>
          </w:tcPr>
          <w:p>
            <w:pPr>
              <w:tabs>
                <w:tab w:val="left" w:pos="3240"/>
              </w:tabs>
              <w:jc w:val="right"/>
            </w:pPr>
            <w:r>
              <w:t xml:space="preserve"> 338,733,000 </w:t>
            </w:r>
          </w:p>
        </w:tc>
      </w:tr>
      <w:tr>
        <w:trPr>
          <w:trHeight w:val="290"/>
        </w:trPr>
        <w:tc>
          <w:tcPr>
            <w:tcW w:w="2430" w:type="dxa"/>
            <w:shd w:val="clear" w:color="auto" w:fill="auto"/>
          </w:tcPr>
          <w:p>
            <w:pPr>
              <w:tabs>
                <w:tab w:val="left" w:pos="3240"/>
              </w:tabs>
              <w:ind w:left="159" w:hanging="159"/>
            </w:pPr>
            <w:r>
              <w:t>Gains</w:t>
            </w:r>
          </w:p>
        </w:tc>
        <w:tc>
          <w:tcPr>
            <w:tcW w:w="1890" w:type="dxa"/>
            <w:shd w:val="clear" w:color="auto" w:fill="auto"/>
          </w:tcPr>
          <w:p>
            <w:pPr>
              <w:tabs>
                <w:tab w:val="left" w:pos="3240"/>
              </w:tabs>
              <w:jc w:val="right"/>
            </w:pPr>
            <w:r>
              <w:t>2,877,256,677</w:t>
            </w:r>
          </w:p>
        </w:tc>
        <w:tc>
          <w:tcPr>
            <w:tcW w:w="1890" w:type="dxa"/>
            <w:shd w:val="clear" w:color="auto" w:fill="auto"/>
          </w:tcPr>
          <w:p>
            <w:pPr>
              <w:tabs>
                <w:tab w:val="left" w:pos="3240"/>
              </w:tabs>
              <w:jc w:val="right"/>
            </w:pPr>
            <w:r>
              <w:t xml:space="preserve">-   </w:t>
            </w:r>
          </w:p>
        </w:tc>
        <w:tc>
          <w:tcPr>
            <w:tcW w:w="1980" w:type="dxa"/>
            <w:shd w:val="clear" w:color="auto" w:fill="auto"/>
          </w:tcPr>
          <w:p>
            <w:pPr>
              <w:tabs>
                <w:tab w:val="left" w:pos="3240"/>
              </w:tabs>
              <w:jc w:val="right"/>
            </w:pPr>
            <w:r>
              <w:t xml:space="preserve"> 2,877,256,677 </w:t>
            </w:r>
          </w:p>
        </w:tc>
      </w:tr>
      <w:tr>
        <w:trPr>
          <w:trHeight w:val="290"/>
        </w:trPr>
        <w:tc>
          <w:tcPr>
            <w:tcW w:w="2430" w:type="dxa"/>
            <w:tcBorders>
              <w:bottom w:val="single" w:sz="2" w:space="0" w:color="auto"/>
            </w:tcBorders>
            <w:shd w:val="clear" w:color="auto" w:fill="auto"/>
          </w:tcPr>
          <w:p>
            <w:pPr>
              <w:tabs>
                <w:tab w:val="left" w:pos="3240"/>
              </w:tabs>
              <w:ind w:left="159" w:hanging="159"/>
            </w:pPr>
            <w:r>
              <w:t>Miscellaneous Income</w:t>
            </w:r>
          </w:p>
        </w:tc>
        <w:tc>
          <w:tcPr>
            <w:tcW w:w="1890" w:type="dxa"/>
            <w:tcBorders>
              <w:bottom w:val="single" w:sz="2" w:space="0" w:color="auto"/>
            </w:tcBorders>
            <w:shd w:val="clear" w:color="auto" w:fill="auto"/>
          </w:tcPr>
          <w:p>
            <w:pPr>
              <w:tabs>
                <w:tab w:val="left" w:pos="3240"/>
              </w:tabs>
              <w:jc w:val="right"/>
            </w:pPr>
            <w:r>
              <w:t>28,902</w:t>
            </w:r>
          </w:p>
        </w:tc>
        <w:tc>
          <w:tcPr>
            <w:tcW w:w="1890" w:type="dxa"/>
            <w:tcBorders>
              <w:bottom w:val="single" w:sz="2" w:space="0" w:color="auto"/>
            </w:tcBorders>
            <w:shd w:val="clear" w:color="auto" w:fill="auto"/>
          </w:tcPr>
          <w:p>
            <w:pPr>
              <w:tabs>
                <w:tab w:val="left" w:pos="3240"/>
              </w:tabs>
              <w:jc w:val="right"/>
            </w:pPr>
          </w:p>
        </w:tc>
        <w:tc>
          <w:tcPr>
            <w:tcW w:w="1980" w:type="dxa"/>
            <w:tcBorders>
              <w:bottom w:val="single" w:sz="2" w:space="0" w:color="auto"/>
            </w:tcBorders>
            <w:shd w:val="clear" w:color="auto" w:fill="auto"/>
          </w:tcPr>
          <w:p>
            <w:pPr>
              <w:tabs>
                <w:tab w:val="left" w:pos="3240"/>
              </w:tabs>
              <w:jc w:val="right"/>
            </w:pPr>
            <w:r>
              <w:t xml:space="preserve"> 28,902 </w:t>
            </w:r>
          </w:p>
        </w:tc>
      </w:tr>
      <w:tr>
        <w:trPr>
          <w:trHeight w:val="290"/>
        </w:trPr>
        <w:tc>
          <w:tcPr>
            <w:tcW w:w="2430" w:type="dxa"/>
            <w:tcBorders>
              <w:top w:val="single" w:sz="2" w:space="0" w:color="auto"/>
              <w:bottom w:val="single" w:sz="2" w:space="0" w:color="auto"/>
            </w:tcBorders>
            <w:shd w:val="clear" w:color="auto" w:fill="auto"/>
          </w:tcPr>
          <w:p>
            <w:pPr>
              <w:tabs>
                <w:tab w:val="left" w:pos="3240"/>
              </w:tabs>
              <w:jc w:val="both"/>
              <w:rPr>
                <w:b/>
              </w:rPr>
            </w:pPr>
            <w:r>
              <w:rPr>
                <w:b/>
              </w:rPr>
              <w:t>Total Income</w:t>
            </w:r>
          </w:p>
        </w:tc>
        <w:tc>
          <w:tcPr>
            <w:tcW w:w="1890" w:type="dxa"/>
            <w:tcBorders>
              <w:top w:val="single" w:sz="2" w:space="0" w:color="auto"/>
              <w:bottom w:val="single" w:sz="2" w:space="0" w:color="auto"/>
            </w:tcBorders>
            <w:shd w:val="clear" w:color="auto" w:fill="auto"/>
          </w:tcPr>
          <w:p>
            <w:pPr>
              <w:tabs>
                <w:tab w:val="left" w:pos="3240"/>
              </w:tabs>
              <w:jc w:val="right"/>
              <w:rPr>
                <w:b/>
                <w:bCs/>
              </w:rPr>
            </w:pPr>
            <w:r>
              <w:rPr>
                <w:b/>
                <w:bCs/>
              </w:rPr>
              <w:t>P16,181,392,140</w:t>
            </w:r>
          </w:p>
        </w:tc>
        <w:tc>
          <w:tcPr>
            <w:tcW w:w="1890" w:type="dxa"/>
            <w:tcBorders>
              <w:top w:val="single" w:sz="2" w:space="0" w:color="auto"/>
              <w:bottom w:val="single" w:sz="2" w:space="0" w:color="auto"/>
            </w:tcBorders>
            <w:shd w:val="clear" w:color="auto" w:fill="auto"/>
          </w:tcPr>
          <w:p>
            <w:pPr>
              <w:tabs>
                <w:tab w:val="left" w:pos="3240"/>
              </w:tabs>
              <w:jc w:val="right"/>
              <w:rPr>
                <w:b/>
                <w:bCs/>
              </w:rPr>
            </w:pPr>
            <w:r>
              <w:rPr>
                <w:b/>
                <w:bCs/>
              </w:rPr>
              <w:t>P2,034,013,847</w:t>
            </w:r>
          </w:p>
        </w:tc>
        <w:tc>
          <w:tcPr>
            <w:tcW w:w="1980" w:type="dxa"/>
            <w:tcBorders>
              <w:top w:val="single" w:sz="2" w:space="0" w:color="auto"/>
              <w:bottom w:val="single" w:sz="2" w:space="0" w:color="auto"/>
            </w:tcBorders>
            <w:shd w:val="clear" w:color="auto" w:fill="auto"/>
          </w:tcPr>
          <w:p>
            <w:pPr>
              <w:tabs>
                <w:tab w:val="left" w:pos="3240"/>
              </w:tabs>
              <w:jc w:val="right"/>
              <w:rPr>
                <w:b/>
                <w:bCs/>
              </w:rPr>
            </w:pPr>
            <w:r>
              <w:t xml:space="preserve"> </w:t>
            </w:r>
            <w:r>
              <w:rPr>
                <w:b/>
                <w:bCs/>
              </w:rPr>
              <w:t xml:space="preserve">P18,215,405,987 </w:t>
            </w:r>
          </w:p>
        </w:tc>
      </w:tr>
      <w:bookmarkEnd w:id="1"/>
    </w:tbl>
    <w:p>
      <w:pPr>
        <w:pStyle w:val="NoSpacing"/>
        <w:ind w:left="450"/>
        <w:jc w:val="both"/>
        <w:rPr>
          <w:rFonts w:ascii="Times New Roman" w:hAnsi="Times New Roman"/>
          <w:sz w:val="24"/>
          <w:szCs w:val="24"/>
        </w:rPr>
      </w:pPr>
    </w:p>
    <w:p>
      <w:pPr>
        <w:pStyle w:val="NoSpacing"/>
        <w:ind w:left="450"/>
        <w:jc w:val="both"/>
        <w:rPr>
          <w:rFonts w:ascii="Times New Roman" w:hAnsi="Times New Roman"/>
          <w:sz w:val="24"/>
          <w:szCs w:val="24"/>
          <w:highlight w:val="yellow"/>
        </w:rPr>
      </w:pPr>
    </w:p>
    <w:p>
      <w:pPr>
        <w:pStyle w:val="ListParagraph"/>
        <w:numPr>
          <w:ilvl w:val="0"/>
          <w:numId w:val="1"/>
        </w:numPr>
        <w:ind w:left="540" w:hanging="540"/>
        <w:jc w:val="both"/>
        <w:rPr>
          <w:b/>
        </w:rPr>
      </w:pPr>
      <w:r>
        <w:rPr>
          <w:b/>
        </w:rPr>
        <w:t>Operational Highlights</w:t>
      </w:r>
    </w:p>
    <w:p>
      <w:pPr>
        <w:pStyle w:val="NoSpacing"/>
        <w:ind w:left="450"/>
        <w:jc w:val="both"/>
        <w:rPr>
          <w:rFonts w:ascii="Times New Roman" w:hAnsi="Times New Roman"/>
          <w:sz w:val="24"/>
          <w:szCs w:val="24"/>
        </w:rPr>
      </w:pPr>
    </w:p>
    <w:p>
      <w:pPr>
        <w:pStyle w:val="NoSpacing"/>
        <w:ind w:left="540"/>
        <w:jc w:val="both"/>
        <w:rPr>
          <w:rFonts w:ascii="Times New Roman" w:hAnsi="Times New Roman"/>
          <w:sz w:val="24"/>
          <w:szCs w:val="24"/>
        </w:rPr>
      </w:pPr>
      <w:r>
        <w:rPr>
          <w:rFonts w:ascii="Times New Roman" w:hAnsi="Times New Roman"/>
          <w:sz w:val="24"/>
          <w:szCs w:val="24"/>
          <w:lang w:val="en-PH"/>
        </w:rPr>
        <w:t>The City reported, among others, the following s</w:t>
      </w:r>
      <w:proofErr w:type="spellStart"/>
      <w:r>
        <w:rPr>
          <w:rFonts w:ascii="Times New Roman" w:hAnsi="Times New Roman"/>
          <w:sz w:val="24"/>
          <w:szCs w:val="24"/>
        </w:rPr>
        <w:t>ignificant</w:t>
      </w:r>
      <w:proofErr w:type="spellEnd"/>
      <w:r>
        <w:rPr>
          <w:rFonts w:ascii="Times New Roman" w:hAnsi="Times New Roman"/>
          <w:sz w:val="24"/>
          <w:szCs w:val="24"/>
        </w:rPr>
        <w:t xml:space="preserve"> accomplishments</w:t>
      </w:r>
      <w:r>
        <w:rPr>
          <w:rFonts w:ascii="Times New Roman" w:hAnsi="Times New Roman"/>
          <w:sz w:val="24"/>
          <w:szCs w:val="24"/>
          <w:lang w:val="en-PH"/>
        </w:rPr>
        <w:t>:</w:t>
      </w:r>
    </w:p>
    <w:p>
      <w:pPr>
        <w:pStyle w:val="NoSpacing"/>
        <w:ind w:left="1260"/>
        <w:jc w:val="both"/>
        <w:rPr>
          <w:rFonts w:ascii="Times New Roman" w:hAnsi="Times New Roman"/>
          <w:sz w:val="24"/>
          <w:szCs w:val="24"/>
        </w:rPr>
      </w:pPr>
    </w:p>
    <w:p>
      <w:pPr>
        <w:pStyle w:val="NoSpacing"/>
        <w:numPr>
          <w:ilvl w:val="0"/>
          <w:numId w:val="2"/>
        </w:numPr>
        <w:ind w:left="900" w:hanging="360"/>
        <w:jc w:val="both"/>
        <w:rPr>
          <w:rFonts w:ascii="Times New Roman" w:hAnsi="Times New Roman"/>
          <w:sz w:val="24"/>
          <w:szCs w:val="24"/>
        </w:rPr>
      </w:pPr>
      <w:r>
        <w:rPr>
          <w:rFonts w:ascii="Times New Roman" w:hAnsi="Times New Roman"/>
          <w:sz w:val="24"/>
          <w:szCs w:val="24"/>
        </w:rPr>
        <w:t>Coronavirus Disease 2019 (COVID-19) Response:</w:t>
      </w: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Provided 12 quarantine facilities with a total bed capacity of 545;</w:t>
      </w: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 xml:space="preserve">Converted the </w:t>
      </w:r>
      <w:proofErr w:type="spellStart"/>
      <w:r>
        <w:rPr>
          <w:rFonts w:ascii="Times New Roman" w:hAnsi="Times New Roman"/>
          <w:sz w:val="24"/>
          <w:szCs w:val="24"/>
        </w:rPr>
        <w:t>Canonigo</w:t>
      </w:r>
      <w:proofErr w:type="spellEnd"/>
      <w:r>
        <w:rPr>
          <w:rFonts w:ascii="Times New Roman" w:hAnsi="Times New Roman"/>
          <w:sz w:val="24"/>
          <w:szCs w:val="24"/>
        </w:rPr>
        <w:t xml:space="preserve"> covered court and </w:t>
      </w:r>
      <w:proofErr w:type="spellStart"/>
      <w:r>
        <w:rPr>
          <w:rFonts w:ascii="Times New Roman" w:hAnsi="Times New Roman"/>
          <w:sz w:val="24"/>
          <w:szCs w:val="24"/>
        </w:rPr>
        <w:t>Fugoso</w:t>
      </w:r>
      <w:proofErr w:type="spellEnd"/>
      <w:r>
        <w:rPr>
          <w:rFonts w:ascii="Times New Roman" w:hAnsi="Times New Roman"/>
          <w:sz w:val="24"/>
          <w:szCs w:val="24"/>
        </w:rPr>
        <w:t xml:space="preserve"> </w:t>
      </w:r>
      <w:proofErr w:type="spellStart"/>
      <w:r>
        <w:rPr>
          <w:rFonts w:ascii="Times New Roman" w:hAnsi="Times New Roman"/>
          <w:sz w:val="24"/>
          <w:szCs w:val="24"/>
        </w:rPr>
        <w:t>Delpan</w:t>
      </w:r>
      <w:proofErr w:type="spellEnd"/>
      <w:r>
        <w:rPr>
          <w:rFonts w:ascii="Times New Roman" w:hAnsi="Times New Roman"/>
          <w:sz w:val="24"/>
          <w:szCs w:val="24"/>
        </w:rPr>
        <w:t xml:space="preserve"> Complex as temporary shelters for street dwellers;</w:t>
      </w: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Installed washroom and comfort rooms at RASAC covered court for the locally stranded individuals;</w:t>
      </w: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Conducted mass swab testing for 22,207 market vendors, mall workers, hotel employees and public transport drivers;</w:t>
      </w: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Opened the Manila Drive-Thru Testing Area;</w:t>
      </w: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Distributed 453,917 food packs from March 22 to May 31, 2020;</w:t>
      </w: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Distributed Social Amelioration Program/Monthly Monetary Allowance to 149,566 senior citizens (SCs) from September 11 to  December 4, 2020; and</w:t>
      </w: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Distributed tablets, 25,084 laptop tables and 21,588 school supplies to the students of 117 barangays.</w:t>
      </w:r>
    </w:p>
    <w:p>
      <w:pPr>
        <w:pStyle w:val="NoSpacing"/>
        <w:jc w:val="both"/>
        <w:rPr>
          <w:rFonts w:ascii="Times New Roman" w:hAnsi="Times New Roman"/>
          <w:sz w:val="24"/>
          <w:szCs w:val="24"/>
        </w:rPr>
      </w:pPr>
    </w:p>
    <w:p>
      <w:pPr>
        <w:pStyle w:val="NoSpacing"/>
        <w:numPr>
          <w:ilvl w:val="0"/>
          <w:numId w:val="2"/>
        </w:numPr>
        <w:ind w:left="900" w:hanging="360"/>
        <w:jc w:val="both"/>
        <w:rPr>
          <w:rFonts w:ascii="Times New Roman" w:hAnsi="Times New Roman"/>
          <w:sz w:val="24"/>
          <w:szCs w:val="24"/>
        </w:rPr>
      </w:pPr>
      <w:r>
        <w:rPr>
          <w:rFonts w:ascii="Times New Roman" w:hAnsi="Times New Roman"/>
          <w:sz w:val="24"/>
          <w:szCs w:val="24"/>
        </w:rPr>
        <w:t>Awarded lot located at Havana Estate (</w:t>
      </w:r>
      <w:proofErr w:type="spellStart"/>
      <w:r>
        <w:rPr>
          <w:rFonts w:ascii="Times New Roman" w:hAnsi="Times New Roman"/>
          <w:sz w:val="24"/>
          <w:szCs w:val="24"/>
        </w:rPr>
        <w:t>Yutivo</w:t>
      </w:r>
      <w:proofErr w:type="spellEnd"/>
      <w:r>
        <w:rPr>
          <w:rFonts w:ascii="Times New Roman" w:hAnsi="Times New Roman"/>
          <w:sz w:val="24"/>
          <w:szCs w:val="24"/>
        </w:rPr>
        <w:t>), Sta. Ana, Manila to 34 families through the Land-for -the-Landless Program;</w:t>
      </w:r>
    </w:p>
    <w:p>
      <w:pPr>
        <w:pStyle w:val="NoSpacing"/>
        <w:ind w:left="900"/>
        <w:jc w:val="both"/>
        <w:rPr>
          <w:rFonts w:ascii="Times New Roman" w:hAnsi="Times New Roman"/>
          <w:sz w:val="24"/>
          <w:szCs w:val="24"/>
        </w:rPr>
      </w:pPr>
    </w:p>
    <w:p>
      <w:pPr>
        <w:pStyle w:val="NoSpacing"/>
        <w:numPr>
          <w:ilvl w:val="0"/>
          <w:numId w:val="2"/>
        </w:numPr>
        <w:ind w:left="900" w:hanging="360"/>
        <w:jc w:val="both"/>
        <w:rPr>
          <w:rFonts w:ascii="Times New Roman" w:hAnsi="Times New Roman"/>
          <w:sz w:val="24"/>
          <w:szCs w:val="24"/>
        </w:rPr>
      </w:pPr>
      <w:r>
        <w:rPr>
          <w:rFonts w:ascii="Times New Roman" w:hAnsi="Times New Roman"/>
          <w:sz w:val="24"/>
          <w:szCs w:val="24"/>
          <w:lang w:val="en-PH"/>
        </w:rPr>
        <w:t>E</w:t>
      </w:r>
      <w:proofErr w:type="spellStart"/>
      <w:r>
        <w:rPr>
          <w:rFonts w:ascii="Times New Roman" w:hAnsi="Times New Roman"/>
          <w:sz w:val="24"/>
          <w:szCs w:val="24"/>
        </w:rPr>
        <w:t>ntered</w:t>
      </w:r>
      <w:proofErr w:type="spellEnd"/>
      <w:r>
        <w:rPr>
          <w:rFonts w:ascii="Times New Roman" w:hAnsi="Times New Roman"/>
          <w:sz w:val="24"/>
          <w:szCs w:val="24"/>
        </w:rPr>
        <w:t xml:space="preserve"> into a Memorandum of Agreement (MOA) with various food companies to provide careers for 335 SCs and 82 persons with disabilities (PWDs);</w:t>
      </w:r>
    </w:p>
    <w:p>
      <w:pPr>
        <w:pStyle w:val="NoSpacing"/>
        <w:ind w:left="900" w:hanging="360"/>
        <w:jc w:val="both"/>
        <w:rPr>
          <w:rFonts w:ascii="Times New Roman" w:hAnsi="Times New Roman"/>
          <w:sz w:val="24"/>
          <w:szCs w:val="24"/>
        </w:rPr>
      </w:pPr>
    </w:p>
    <w:p>
      <w:pPr>
        <w:pStyle w:val="NoSpacing"/>
        <w:numPr>
          <w:ilvl w:val="0"/>
          <w:numId w:val="2"/>
        </w:numPr>
        <w:ind w:left="900" w:hanging="360"/>
        <w:jc w:val="both"/>
        <w:rPr>
          <w:rFonts w:ascii="Times New Roman" w:hAnsi="Times New Roman"/>
          <w:sz w:val="24"/>
          <w:szCs w:val="24"/>
        </w:rPr>
      </w:pPr>
      <w:r>
        <w:rPr>
          <w:rFonts w:ascii="Times New Roman" w:hAnsi="Times New Roman"/>
          <w:sz w:val="24"/>
          <w:szCs w:val="24"/>
          <w:lang w:val="en-PH"/>
        </w:rPr>
        <w:t>E</w:t>
      </w:r>
      <w:proofErr w:type="spellStart"/>
      <w:r>
        <w:rPr>
          <w:rFonts w:ascii="Times New Roman" w:hAnsi="Times New Roman"/>
          <w:sz w:val="24"/>
          <w:szCs w:val="24"/>
        </w:rPr>
        <w:t>ntered</w:t>
      </w:r>
      <w:proofErr w:type="spellEnd"/>
      <w:r>
        <w:rPr>
          <w:rFonts w:ascii="Times New Roman" w:hAnsi="Times New Roman"/>
          <w:sz w:val="24"/>
          <w:szCs w:val="24"/>
        </w:rPr>
        <w:t xml:space="preserve"> into a MOA with </w:t>
      </w:r>
      <w:proofErr w:type="spellStart"/>
      <w:r>
        <w:rPr>
          <w:rFonts w:ascii="Times New Roman" w:hAnsi="Times New Roman"/>
          <w:sz w:val="24"/>
          <w:szCs w:val="24"/>
        </w:rPr>
        <w:t>Foodpanda</w:t>
      </w:r>
      <w:proofErr w:type="spellEnd"/>
      <w:r>
        <w:rPr>
          <w:rFonts w:ascii="Times New Roman" w:hAnsi="Times New Roman"/>
          <w:sz w:val="24"/>
          <w:szCs w:val="24"/>
        </w:rPr>
        <w:t xml:space="preserve"> and Grab to provide livelihood to 753 and 571 tricycle divers, respectively, who have lost jobs due to enhanced community quarantine;</w:t>
      </w:r>
    </w:p>
    <w:p>
      <w:pPr>
        <w:pStyle w:val="ListParagraph"/>
      </w:pPr>
    </w:p>
    <w:p>
      <w:pPr>
        <w:pStyle w:val="NoSpacing"/>
        <w:numPr>
          <w:ilvl w:val="0"/>
          <w:numId w:val="2"/>
        </w:numPr>
        <w:ind w:left="900" w:hanging="360"/>
        <w:jc w:val="both"/>
        <w:rPr>
          <w:rFonts w:ascii="Times New Roman" w:hAnsi="Times New Roman"/>
          <w:sz w:val="24"/>
          <w:szCs w:val="24"/>
        </w:rPr>
      </w:pPr>
      <w:r>
        <w:rPr>
          <w:rFonts w:ascii="Times New Roman" w:hAnsi="Times New Roman"/>
          <w:sz w:val="24"/>
          <w:szCs w:val="24"/>
        </w:rPr>
        <w:lastRenderedPageBreak/>
        <w:t>Granted P100,000.00 cash gift for eighteen centenarians;</w:t>
      </w:r>
    </w:p>
    <w:p>
      <w:pPr>
        <w:pStyle w:val="NoSpacing"/>
        <w:ind w:left="900"/>
        <w:jc w:val="both"/>
        <w:rPr>
          <w:rFonts w:ascii="Times New Roman" w:hAnsi="Times New Roman"/>
          <w:sz w:val="24"/>
          <w:szCs w:val="24"/>
        </w:rPr>
      </w:pPr>
    </w:p>
    <w:p>
      <w:pPr>
        <w:pStyle w:val="NoSpacing"/>
        <w:numPr>
          <w:ilvl w:val="0"/>
          <w:numId w:val="2"/>
        </w:numPr>
        <w:ind w:left="900" w:hanging="360"/>
        <w:jc w:val="both"/>
        <w:rPr>
          <w:rFonts w:ascii="Times New Roman" w:hAnsi="Times New Roman"/>
          <w:sz w:val="24"/>
          <w:szCs w:val="24"/>
        </w:rPr>
      </w:pPr>
      <w:r>
        <w:rPr>
          <w:rFonts w:ascii="Times New Roman" w:hAnsi="Times New Roman"/>
          <w:sz w:val="24"/>
          <w:szCs w:val="24"/>
        </w:rPr>
        <w:t xml:space="preserve">Installed real time Air Quality Monitoring Station at </w:t>
      </w:r>
      <w:proofErr w:type="spellStart"/>
      <w:r>
        <w:rPr>
          <w:rFonts w:ascii="Times New Roman" w:hAnsi="Times New Roman"/>
          <w:sz w:val="24"/>
          <w:szCs w:val="24"/>
        </w:rPr>
        <w:t>Mehan</w:t>
      </w:r>
      <w:proofErr w:type="spellEnd"/>
      <w:r>
        <w:rPr>
          <w:rFonts w:ascii="Times New Roman" w:hAnsi="Times New Roman"/>
          <w:sz w:val="24"/>
          <w:szCs w:val="24"/>
        </w:rPr>
        <w:t xml:space="preserve"> Garden;</w:t>
      </w:r>
    </w:p>
    <w:p>
      <w:pPr>
        <w:pStyle w:val="NoSpacing"/>
        <w:jc w:val="both"/>
        <w:rPr>
          <w:rFonts w:ascii="Times New Roman" w:hAnsi="Times New Roman"/>
          <w:sz w:val="24"/>
          <w:szCs w:val="24"/>
        </w:rPr>
      </w:pPr>
    </w:p>
    <w:p>
      <w:pPr>
        <w:pStyle w:val="NoSpacing"/>
        <w:numPr>
          <w:ilvl w:val="0"/>
          <w:numId w:val="2"/>
        </w:numPr>
        <w:ind w:left="900" w:hanging="360"/>
        <w:jc w:val="both"/>
        <w:rPr>
          <w:rFonts w:ascii="Times New Roman" w:hAnsi="Times New Roman"/>
          <w:sz w:val="24"/>
          <w:szCs w:val="24"/>
        </w:rPr>
      </w:pPr>
      <w:r>
        <w:rPr>
          <w:rFonts w:ascii="Times New Roman" w:hAnsi="Times New Roman"/>
          <w:sz w:val="24"/>
          <w:szCs w:val="24"/>
          <w:lang w:val="en-PH"/>
        </w:rPr>
        <w:t xml:space="preserve">Construction/ </w:t>
      </w:r>
      <w:r>
        <w:rPr>
          <w:rFonts w:ascii="Times New Roman" w:hAnsi="Times New Roman"/>
          <w:sz w:val="24"/>
          <w:szCs w:val="24"/>
        </w:rPr>
        <w:t>Repair/</w:t>
      </w:r>
      <w:r>
        <w:rPr>
          <w:rFonts w:ascii="Times New Roman" w:hAnsi="Times New Roman"/>
          <w:sz w:val="24"/>
          <w:szCs w:val="24"/>
          <w:lang w:val="en-PH"/>
        </w:rPr>
        <w:t xml:space="preserve"> </w:t>
      </w:r>
      <w:r>
        <w:rPr>
          <w:rFonts w:ascii="Times New Roman" w:hAnsi="Times New Roman"/>
          <w:sz w:val="24"/>
          <w:szCs w:val="24"/>
        </w:rPr>
        <w:t>rehabilitation/</w:t>
      </w:r>
      <w:r>
        <w:rPr>
          <w:rFonts w:ascii="Times New Roman" w:hAnsi="Times New Roman"/>
          <w:sz w:val="24"/>
          <w:szCs w:val="24"/>
          <w:lang w:val="en-PH"/>
        </w:rPr>
        <w:t xml:space="preserve"> </w:t>
      </w:r>
      <w:r>
        <w:rPr>
          <w:rFonts w:ascii="Times New Roman" w:hAnsi="Times New Roman"/>
          <w:sz w:val="24"/>
          <w:szCs w:val="24"/>
        </w:rPr>
        <w:t>improvement/</w:t>
      </w:r>
      <w:r>
        <w:rPr>
          <w:rFonts w:ascii="Times New Roman" w:hAnsi="Times New Roman"/>
          <w:sz w:val="24"/>
          <w:szCs w:val="24"/>
          <w:lang w:val="en-PH"/>
        </w:rPr>
        <w:t xml:space="preserve"> </w:t>
      </w:r>
      <w:r>
        <w:rPr>
          <w:rFonts w:ascii="Times New Roman" w:hAnsi="Times New Roman"/>
          <w:sz w:val="24"/>
          <w:szCs w:val="24"/>
        </w:rPr>
        <w:t>upgrading</w:t>
      </w:r>
      <w:r>
        <w:rPr>
          <w:rFonts w:ascii="Times New Roman" w:hAnsi="Times New Roman"/>
          <w:sz w:val="24"/>
          <w:szCs w:val="24"/>
          <w:lang w:val="en-PH"/>
        </w:rPr>
        <w:t>/ installation</w:t>
      </w:r>
      <w:r>
        <w:rPr>
          <w:rFonts w:ascii="Times New Roman" w:hAnsi="Times New Roman"/>
          <w:sz w:val="24"/>
          <w:szCs w:val="24"/>
        </w:rPr>
        <w:t xml:space="preserve"> of various structures and facilities</w:t>
      </w:r>
      <w:r>
        <w:rPr>
          <w:rFonts w:ascii="Times New Roman" w:hAnsi="Times New Roman"/>
          <w:sz w:val="24"/>
          <w:szCs w:val="24"/>
          <w:lang w:val="en-PH"/>
        </w:rPr>
        <w:t xml:space="preserve">: </w:t>
      </w: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 xml:space="preserve">Construction of 15-storey housing project – </w:t>
      </w:r>
      <w:proofErr w:type="spellStart"/>
      <w:r>
        <w:rPr>
          <w:rFonts w:ascii="Times New Roman" w:hAnsi="Times New Roman"/>
          <w:sz w:val="24"/>
          <w:szCs w:val="24"/>
        </w:rPr>
        <w:t>Tondominium</w:t>
      </w:r>
      <w:proofErr w:type="spellEnd"/>
      <w:r>
        <w:rPr>
          <w:rFonts w:ascii="Times New Roman" w:hAnsi="Times New Roman"/>
          <w:sz w:val="24"/>
          <w:szCs w:val="24"/>
        </w:rPr>
        <w:t xml:space="preserve"> 1 &amp; 2;</w:t>
      </w:r>
    </w:p>
    <w:p>
      <w:pPr>
        <w:pStyle w:val="ListParagraph"/>
        <w:numPr>
          <w:ilvl w:val="0"/>
          <w:numId w:val="3"/>
        </w:numPr>
        <w:ind w:left="1260"/>
        <w:jc w:val="both"/>
        <w:rPr>
          <w:rFonts w:eastAsia="Calibri"/>
        </w:rPr>
      </w:pPr>
      <w:r>
        <w:rPr>
          <w:rFonts w:eastAsia="Calibri"/>
        </w:rPr>
        <w:t xml:space="preserve">Construction of 15-storey housing project – </w:t>
      </w:r>
      <w:proofErr w:type="spellStart"/>
      <w:r>
        <w:rPr>
          <w:rFonts w:eastAsia="Calibri"/>
        </w:rPr>
        <w:t>Binondominium</w:t>
      </w:r>
      <w:proofErr w:type="spellEnd"/>
      <w:r>
        <w:rPr>
          <w:rFonts w:eastAsia="Calibri"/>
        </w:rPr>
        <w:t xml:space="preserve"> 1;</w:t>
      </w:r>
    </w:p>
    <w:p>
      <w:pPr>
        <w:pStyle w:val="ListParagraph"/>
        <w:numPr>
          <w:ilvl w:val="0"/>
          <w:numId w:val="3"/>
        </w:numPr>
        <w:ind w:left="1260"/>
        <w:jc w:val="both"/>
        <w:rPr>
          <w:rFonts w:eastAsia="Calibri"/>
        </w:rPr>
      </w:pPr>
      <w:r>
        <w:rPr>
          <w:rFonts w:eastAsia="Calibri"/>
        </w:rPr>
        <w:t xml:space="preserve">Construction of 10-storey </w:t>
      </w:r>
      <w:proofErr w:type="spellStart"/>
      <w:r>
        <w:rPr>
          <w:rFonts w:eastAsia="Calibri"/>
        </w:rPr>
        <w:t>Ospital</w:t>
      </w:r>
      <w:proofErr w:type="spellEnd"/>
      <w:r>
        <w:rPr>
          <w:rFonts w:eastAsia="Calibri"/>
        </w:rPr>
        <w:t xml:space="preserve"> ng </w:t>
      </w:r>
      <w:proofErr w:type="spellStart"/>
      <w:r>
        <w:rPr>
          <w:rFonts w:eastAsia="Calibri"/>
        </w:rPr>
        <w:t>Maynila</w:t>
      </w:r>
      <w:proofErr w:type="spellEnd"/>
      <w:r>
        <w:rPr>
          <w:rFonts w:eastAsia="Calibri"/>
        </w:rPr>
        <w:t xml:space="preserve"> Medical Center;</w:t>
      </w: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 xml:space="preserve">Renovation of 2nd Floor Dialysis Building at Gat Andres </w:t>
      </w:r>
      <w:proofErr w:type="spellStart"/>
      <w:r>
        <w:rPr>
          <w:rFonts w:ascii="Times New Roman" w:hAnsi="Times New Roman"/>
          <w:sz w:val="24"/>
          <w:szCs w:val="24"/>
        </w:rPr>
        <w:t>Bonifacio</w:t>
      </w:r>
      <w:proofErr w:type="spellEnd"/>
      <w:r>
        <w:rPr>
          <w:rFonts w:ascii="Times New Roman" w:hAnsi="Times New Roman"/>
          <w:sz w:val="24"/>
          <w:szCs w:val="24"/>
        </w:rPr>
        <w:t xml:space="preserve"> Memorial Medical Center;</w:t>
      </w: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 xml:space="preserve">Opening of the New Foreshore Super Health Centre and Lying-In Clinic in </w:t>
      </w:r>
      <w:proofErr w:type="spellStart"/>
      <w:r>
        <w:rPr>
          <w:rFonts w:ascii="Times New Roman" w:hAnsi="Times New Roman"/>
          <w:sz w:val="24"/>
          <w:szCs w:val="24"/>
        </w:rPr>
        <w:t>Tondo</w:t>
      </w:r>
      <w:proofErr w:type="spellEnd"/>
      <w:r>
        <w:rPr>
          <w:rFonts w:ascii="Times New Roman" w:hAnsi="Times New Roman"/>
          <w:sz w:val="24"/>
          <w:szCs w:val="24"/>
        </w:rPr>
        <w:t>, Manila with the help of SM Foundation;</w:t>
      </w:r>
    </w:p>
    <w:p>
      <w:pPr>
        <w:pStyle w:val="ListParagraph"/>
        <w:numPr>
          <w:ilvl w:val="0"/>
          <w:numId w:val="3"/>
        </w:numPr>
        <w:ind w:left="1260"/>
        <w:jc w:val="both"/>
        <w:rPr>
          <w:rFonts w:eastAsia="Calibri"/>
        </w:rPr>
      </w:pPr>
      <w:r>
        <w:rPr>
          <w:rFonts w:eastAsia="Calibri"/>
        </w:rPr>
        <w:t>Redevelopment of the five-hectare Manila Zoological and Botanical Garden;</w:t>
      </w: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Rehabilitation of twelve projects/1,833 square meters government facilities and offices, three parks and playgrounds, and two sports complex;</w:t>
      </w: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Installation of 22,000 LED solar-powered road studs on five streets;</w:t>
      </w: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Installation of solar roofing panel on 19 high school and elementary schools;</w:t>
      </w: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 xml:space="preserve">Installation and repair of 2,390 streetlights; and </w:t>
      </w:r>
    </w:p>
    <w:p>
      <w:pPr>
        <w:pStyle w:val="ListParagraph"/>
        <w:numPr>
          <w:ilvl w:val="0"/>
          <w:numId w:val="3"/>
        </w:numPr>
        <w:ind w:left="1260"/>
        <w:rPr>
          <w:rFonts w:eastAsia="Calibri"/>
        </w:rPr>
      </w:pPr>
      <w:r>
        <w:rPr>
          <w:rFonts w:eastAsia="Calibri"/>
        </w:rPr>
        <w:t>Bundling of wires and cable operations on 30 major streets.</w:t>
      </w:r>
    </w:p>
    <w:p>
      <w:pPr>
        <w:pStyle w:val="NoSpacing"/>
        <w:ind w:left="1260"/>
        <w:jc w:val="both"/>
        <w:rPr>
          <w:rFonts w:ascii="Times New Roman" w:hAnsi="Times New Roman"/>
          <w:sz w:val="24"/>
          <w:szCs w:val="24"/>
        </w:rPr>
      </w:pPr>
    </w:p>
    <w:p>
      <w:pPr>
        <w:pStyle w:val="NoSpacing"/>
        <w:numPr>
          <w:ilvl w:val="0"/>
          <w:numId w:val="2"/>
        </w:numPr>
        <w:ind w:left="900" w:hanging="360"/>
        <w:jc w:val="both"/>
        <w:rPr>
          <w:rFonts w:ascii="Times New Roman" w:hAnsi="Times New Roman"/>
          <w:sz w:val="24"/>
          <w:szCs w:val="24"/>
        </w:rPr>
      </w:pPr>
      <w:r>
        <w:rPr>
          <w:rFonts w:ascii="Times New Roman" w:hAnsi="Times New Roman"/>
          <w:sz w:val="24"/>
          <w:szCs w:val="24"/>
        </w:rPr>
        <w:t>The City received the following awards/recognitions during the year:</w:t>
      </w:r>
    </w:p>
    <w:p>
      <w:pPr>
        <w:pStyle w:val="NoSpacing"/>
        <w:ind w:left="900"/>
        <w:jc w:val="both"/>
        <w:rPr>
          <w:rFonts w:ascii="Times New Roman" w:hAnsi="Times New Roman"/>
          <w:sz w:val="24"/>
          <w:szCs w:val="24"/>
        </w:rPr>
      </w:pP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Asia Leaders Awards 2020</w:t>
      </w:r>
    </w:p>
    <w:p>
      <w:pPr>
        <w:pStyle w:val="NoSpacing"/>
        <w:ind w:left="1260"/>
        <w:jc w:val="both"/>
        <w:rPr>
          <w:rFonts w:ascii="Times New Roman" w:hAnsi="Times New Roman"/>
          <w:sz w:val="24"/>
          <w:szCs w:val="24"/>
        </w:rPr>
      </w:pPr>
      <w:r>
        <w:rPr>
          <w:rFonts w:ascii="Times New Roman" w:hAnsi="Times New Roman"/>
          <w:sz w:val="24"/>
          <w:szCs w:val="24"/>
        </w:rPr>
        <w:t>Honorable City Mayor Francisco “</w:t>
      </w:r>
      <w:proofErr w:type="spellStart"/>
      <w:r>
        <w:rPr>
          <w:rFonts w:ascii="Times New Roman" w:hAnsi="Times New Roman"/>
          <w:sz w:val="24"/>
          <w:szCs w:val="24"/>
        </w:rPr>
        <w:t>Isko</w:t>
      </w:r>
      <w:proofErr w:type="spellEnd"/>
      <w:r>
        <w:rPr>
          <w:rFonts w:ascii="Times New Roman" w:hAnsi="Times New Roman"/>
          <w:sz w:val="24"/>
          <w:szCs w:val="24"/>
        </w:rPr>
        <w:t xml:space="preserve"> Moreno” </w:t>
      </w:r>
      <w:proofErr w:type="spellStart"/>
      <w:r>
        <w:rPr>
          <w:rFonts w:ascii="Times New Roman" w:hAnsi="Times New Roman"/>
          <w:sz w:val="24"/>
          <w:szCs w:val="24"/>
        </w:rPr>
        <w:t>Domagoso</w:t>
      </w:r>
      <w:proofErr w:type="spellEnd"/>
      <w:r>
        <w:rPr>
          <w:rFonts w:ascii="Times New Roman" w:hAnsi="Times New Roman"/>
          <w:sz w:val="24"/>
          <w:szCs w:val="24"/>
        </w:rPr>
        <w:t xml:space="preserve"> as Man of the Year </w:t>
      </w:r>
    </w:p>
    <w:p>
      <w:pPr>
        <w:pStyle w:val="NoSpacing"/>
        <w:ind w:left="1260"/>
        <w:jc w:val="both"/>
        <w:rPr>
          <w:rFonts w:ascii="Times New Roman" w:hAnsi="Times New Roman"/>
          <w:sz w:val="24"/>
          <w:szCs w:val="24"/>
        </w:rPr>
      </w:pP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City and Municipalities Competitiveness Index 2020</w:t>
      </w:r>
    </w:p>
    <w:p>
      <w:pPr>
        <w:pStyle w:val="NoSpacing"/>
        <w:ind w:left="1260"/>
        <w:jc w:val="both"/>
        <w:rPr>
          <w:rFonts w:ascii="Times New Roman" w:hAnsi="Times New Roman"/>
          <w:i/>
          <w:iCs/>
          <w:sz w:val="24"/>
          <w:szCs w:val="24"/>
        </w:rPr>
      </w:pPr>
      <w:r>
        <w:rPr>
          <w:rFonts w:ascii="Times New Roman" w:hAnsi="Times New Roman"/>
          <w:i/>
          <w:iCs/>
          <w:sz w:val="24"/>
          <w:szCs w:val="24"/>
        </w:rPr>
        <w:t>For Highly Urbanized Cities Category:</w:t>
      </w:r>
    </w:p>
    <w:p>
      <w:pPr>
        <w:pStyle w:val="NoSpacing"/>
        <w:ind w:left="1260"/>
        <w:jc w:val="both"/>
        <w:rPr>
          <w:rFonts w:ascii="Times New Roman" w:hAnsi="Times New Roman"/>
          <w:sz w:val="24"/>
          <w:szCs w:val="24"/>
        </w:rPr>
      </w:pPr>
      <w:r>
        <w:rPr>
          <w:rFonts w:ascii="Times New Roman" w:hAnsi="Times New Roman"/>
          <w:sz w:val="24"/>
          <w:szCs w:val="24"/>
        </w:rPr>
        <w:t>1</w:t>
      </w:r>
      <w:r>
        <w:rPr>
          <w:rFonts w:ascii="Times New Roman" w:hAnsi="Times New Roman"/>
          <w:sz w:val="24"/>
          <w:szCs w:val="24"/>
          <w:vertAlign w:val="superscript"/>
        </w:rPr>
        <w:t>st</w:t>
      </w:r>
      <w:r>
        <w:rPr>
          <w:rFonts w:ascii="Times New Roman" w:hAnsi="Times New Roman"/>
          <w:sz w:val="24"/>
          <w:szCs w:val="24"/>
        </w:rPr>
        <w:t xml:space="preserve"> Place – Overall Competitiveness Award </w:t>
      </w:r>
    </w:p>
    <w:p>
      <w:pPr>
        <w:pStyle w:val="NoSpacing"/>
        <w:ind w:left="1260"/>
        <w:jc w:val="both"/>
        <w:rPr>
          <w:rFonts w:ascii="Times New Roman" w:hAnsi="Times New Roman"/>
          <w:sz w:val="24"/>
          <w:szCs w:val="24"/>
        </w:rPr>
      </w:pPr>
      <w:r>
        <w:rPr>
          <w:rFonts w:ascii="Times New Roman" w:hAnsi="Times New Roman"/>
          <w:sz w:val="24"/>
          <w:szCs w:val="24"/>
        </w:rPr>
        <w:t>1</w:t>
      </w:r>
      <w:r>
        <w:rPr>
          <w:rFonts w:ascii="Times New Roman" w:hAnsi="Times New Roman"/>
          <w:sz w:val="24"/>
          <w:szCs w:val="24"/>
          <w:vertAlign w:val="superscript"/>
        </w:rPr>
        <w:t>st</w:t>
      </w:r>
      <w:r>
        <w:rPr>
          <w:rFonts w:ascii="Times New Roman" w:hAnsi="Times New Roman"/>
          <w:sz w:val="24"/>
          <w:szCs w:val="24"/>
        </w:rPr>
        <w:t xml:space="preserve"> Place – Most Competitive in Government Efficiency Award </w:t>
      </w:r>
    </w:p>
    <w:p>
      <w:pPr>
        <w:pStyle w:val="NoSpacing"/>
        <w:ind w:left="1260"/>
        <w:jc w:val="both"/>
        <w:rPr>
          <w:rFonts w:ascii="Times New Roman" w:hAnsi="Times New Roman"/>
          <w:sz w:val="24"/>
          <w:szCs w:val="24"/>
        </w:rPr>
      </w:pPr>
      <w:r>
        <w:rPr>
          <w:rFonts w:ascii="Times New Roman" w:hAnsi="Times New Roman"/>
          <w:sz w:val="24"/>
          <w:szCs w:val="24"/>
        </w:rPr>
        <w:t>1</w:t>
      </w:r>
      <w:r>
        <w:rPr>
          <w:rFonts w:ascii="Times New Roman" w:hAnsi="Times New Roman"/>
          <w:sz w:val="24"/>
          <w:szCs w:val="24"/>
          <w:vertAlign w:val="superscript"/>
        </w:rPr>
        <w:t>st</w:t>
      </w:r>
      <w:r>
        <w:rPr>
          <w:rFonts w:ascii="Times New Roman" w:hAnsi="Times New Roman"/>
          <w:sz w:val="24"/>
          <w:szCs w:val="24"/>
        </w:rPr>
        <w:t xml:space="preserve"> Place – Most Competitive in Infrastructure Award</w:t>
      </w:r>
    </w:p>
    <w:p>
      <w:pPr>
        <w:pStyle w:val="NoSpacing"/>
        <w:ind w:left="1260"/>
        <w:jc w:val="both"/>
        <w:rPr>
          <w:rFonts w:ascii="Times New Roman" w:hAnsi="Times New Roman"/>
          <w:sz w:val="24"/>
          <w:szCs w:val="24"/>
        </w:rPr>
      </w:pPr>
      <w:r>
        <w:rPr>
          <w:rFonts w:ascii="Times New Roman" w:hAnsi="Times New Roman"/>
          <w:sz w:val="24"/>
          <w:szCs w:val="24"/>
        </w:rPr>
        <w:t>3</w:t>
      </w:r>
      <w:r>
        <w:rPr>
          <w:rFonts w:ascii="Times New Roman" w:hAnsi="Times New Roman"/>
          <w:sz w:val="24"/>
          <w:szCs w:val="24"/>
          <w:vertAlign w:val="superscript"/>
        </w:rPr>
        <w:t>rd</w:t>
      </w:r>
      <w:r>
        <w:rPr>
          <w:rFonts w:ascii="Times New Roman" w:hAnsi="Times New Roman"/>
          <w:sz w:val="24"/>
          <w:szCs w:val="24"/>
        </w:rPr>
        <w:t xml:space="preserve"> Place – Most Competitive in Economic Dynamism</w:t>
      </w:r>
    </w:p>
    <w:p>
      <w:pPr>
        <w:pStyle w:val="NoSpacing"/>
        <w:ind w:left="1260"/>
        <w:jc w:val="both"/>
        <w:rPr>
          <w:rFonts w:ascii="Times New Roman" w:hAnsi="Times New Roman"/>
          <w:sz w:val="24"/>
          <w:szCs w:val="24"/>
        </w:rPr>
      </w:pPr>
      <w:r>
        <w:rPr>
          <w:rFonts w:ascii="Times New Roman" w:hAnsi="Times New Roman"/>
          <w:sz w:val="24"/>
          <w:szCs w:val="24"/>
        </w:rPr>
        <w:t>3</w:t>
      </w:r>
      <w:r>
        <w:rPr>
          <w:rFonts w:ascii="Times New Roman" w:hAnsi="Times New Roman"/>
          <w:sz w:val="24"/>
          <w:szCs w:val="24"/>
          <w:vertAlign w:val="superscript"/>
        </w:rPr>
        <w:t>rd</w:t>
      </w:r>
      <w:r>
        <w:rPr>
          <w:rFonts w:ascii="Times New Roman" w:hAnsi="Times New Roman"/>
          <w:sz w:val="24"/>
          <w:szCs w:val="24"/>
        </w:rPr>
        <w:t xml:space="preserve"> Place – Most Competitive in Resiliency</w:t>
      </w:r>
    </w:p>
    <w:p>
      <w:pPr>
        <w:pStyle w:val="NoSpacing"/>
        <w:ind w:left="1260"/>
        <w:jc w:val="both"/>
        <w:rPr>
          <w:rFonts w:ascii="Times New Roman" w:hAnsi="Times New Roman"/>
          <w:sz w:val="24"/>
          <w:szCs w:val="24"/>
        </w:rPr>
      </w:pP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9</w:t>
      </w:r>
      <w:r>
        <w:rPr>
          <w:rFonts w:ascii="Times New Roman" w:hAnsi="Times New Roman"/>
          <w:sz w:val="24"/>
          <w:szCs w:val="24"/>
          <w:vertAlign w:val="superscript"/>
        </w:rPr>
        <w:t>th</w:t>
      </w:r>
      <w:r>
        <w:rPr>
          <w:rFonts w:ascii="Times New Roman" w:hAnsi="Times New Roman"/>
          <w:sz w:val="24"/>
          <w:szCs w:val="24"/>
        </w:rPr>
        <w:t xml:space="preserve"> Digital Governance Award 2020</w:t>
      </w:r>
    </w:p>
    <w:p>
      <w:pPr>
        <w:pStyle w:val="NoSpacing"/>
        <w:ind w:left="1620" w:hanging="360"/>
        <w:jc w:val="both"/>
        <w:rPr>
          <w:rFonts w:ascii="Times New Roman" w:hAnsi="Times New Roman"/>
          <w:sz w:val="24"/>
          <w:szCs w:val="24"/>
        </w:rPr>
      </w:pPr>
      <w:r>
        <w:rPr>
          <w:rFonts w:ascii="Times New Roman" w:hAnsi="Times New Roman"/>
          <w:sz w:val="24"/>
          <w:szCs w:val="24"/>
        </w:rPr>
        <w:t>2</w:t>
      </w:r>
      <w:r>
        <w:rPr>
          <w:rFonts w:ascii="Times New Roman" w:hAnsi="Times New Roman"/>
          <w:sz w:val="24"/>
          <w:szCs w:val="24"/>
          <w:vertAlign w:val="superscript"/>
        </w:rPr>
        <w:t>nd</w:t>
      </w:r>
      <w:r>
        <w:rPr>
          <w:rFonts w:ascii="Times New Roman" w:hAnsi="Times New Roman"/>
          <w:sz w:val="24"/>
          <w:szCs w:val="24"/>
        </w:rPr>
        <w:t xml:space="preserve"> Place – Best in Government Internal Process – Go! Manila mobile application</w:t>
      </w:r>
    </w:p>
    <w:p>
      <w:pPr>
        <w:pStyle w:val="NoSpacing"/>
        <w:ind w:left="1260"/>
        <w:jc w:val="both"/>
        <w:rPr>
          <w:rFonts w:ascii="Times New Roman" w:hAnsi="Times New Roman"/>
          <w:sz w:val="24"/>
          <w:szCs w:val="24"/>
        </w:rPr>
      </w:pPr>
      <w:r>
        <w:rPr>
          <w:rFonts w:ascii="Times New Roman" w:hAnsi="Times New Roman"/>
          <w:sz w:val="24"/>
          <w:szCs w:val="24"/>
        </w:rPr>
        <w:t>2</w:t>
      </w:r>
      <w:r>
        <w:rPr>
          <w:rFonts w:ascii="Times New Roman" w:hAnsi="Times New Roman"/>
          <w:sz w:val="24"/>
          <w:szCs w:val="24"/>
          <w:vertAlign w:val="superscript"/>
        </w:rPr>
        <w:t>nd</w:t>
      </w:r>
      <w:r>
        <w:rPr>
          <w:rFonts w:ascii="Times New Roman" w:hAnsi="Times New Roman"/>
          <w:sz w:val="24"/>
          <w:szCs w:val="24"/>
        </w:rPr>
        <w:t xml:space="preserve"> Place – Best in Customer Empowerment – Go! Manila mobile application</w:t>
      </w:r>
    </w:p>
    <w:p>
      <w:pPr>
        <w:pStyle w:val="NoSpacing"/>
        <w:ind w:left="1260"/>
        <w:jc w:val="both"/>
        <w:rPr>
          <w:rFonts w:ascii="Times New Roman" w:hAnsi="Times New Roman"/>
          <w:sz w:val="24"/>
          <w:szCs w:val="24"/>
        </w:rPr>
      </w:pPr>
      <w:r>
        <w:rPr>
          <w:rFonts w:ascii="Times New Roman" w:hAnsi="Times New Roman"/>
          <w:sz w:val="24"/>
          <w:szCs w:val="24"/>
        </w:rPr>
        <w:t>2</w:t>
      </w:r>
      <w:r>
        <w:rPr>
          <w:rFonts w:ascii="Times New Roman" w:hAnsi="Times New Roman"/>
          <w:sz w:val="24"/>
          <w:szCs w:val="24"/>
          <w:vertAlign w:val="superscript"/>
        </w:rPr>
        <w:t>nd</w:t>
      </w:r>
      <w:r>
        <w:rPr>
          <w:rFonts w:ascii="Times New Roman" w:hAnsi="Times New Roman"/>
          <w:sz w:val="24"/>
          <w:szCs w:val="24"/>
        </w:rPr>
        <w:t xml:space="preserve"> Place – Best in LGU Internal Processes </w:t>
      </w:r>
    </w:p>
    <w:p>
      <w:pPr>
        <w:pStyle w:val="NoSpacing"/>
        <w:ind w:left="1260"/>
        <w:jc w:val="both"/>
        <w:rPr>
          <w:rFonts w:ascii="Times New Roman" w:hAnsi="Times New Roman"/>
          <w:sz w:val="24"/>
          <w:szCs w:val="24"/>
        </w:rPr>
      </w:pP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t>Association of Tourism Officers of the Philippines – 21</w:t>
      </w:r>
      <w:r>
        <w:rPr>
          <w:rFonts w:ascii="Times New Roman" w:hAnsi="Times New Roman"/>
          <w:sz w:val="24"/>
          <w:szCs w:val="24"/>
          <w:vertAlign w:val="superscript"/>
        </w:rPr>
        <w:t>st</w:t>
      </w:r>
      <w:r>
        <w:rPr>
          <w:rFonts w:ascii="Times New Roman" w:hAnsi="Times New Roman"/>
          <w:sz w:val="24"/>
          <w:szCs w:val="24"/>
        </w:rPr>
        <w:t xml:space="preserve"> Annual National Convention</w:t>
      </w:r>
    </w:p>
    <w:p>
      <w:pPr>
        <w:pStyle w:val="NoSpacing"/>
        <w:ind w:left="1260"/>
        <w:jc w:val="both"/>
        <w:rPr>
          <w:rFonts w:ascii="Times New Roman" w:hAnsi="Times New Roman"/>
          <w:sz w:val="24"/>
          <w:szCs w:val="24"/>
        </w:rPr>
      </w:pPr>
      <w:r>
        <w:rPr>
          <w:rFonts w:ascii="Times New Roman" w:hAnsi="Times New Roman"/>
          <w:sz w:val="24"/>
          <w:szCs w:val="24"/>
        </w:rPr>
        <w:t xml:space="preserve">Grand Winner – Move Your Destination Forward! </w:t>
      </w:r>
      <w:proofErr w:type="gramStart"/>
      <w:r>
        <w:rPr>
          <w:rFonts w:ascii="Times New Roman" w:hAnsi="Times New Roman"/>
          <w:sz w:val="24"/>
          <w:szCs w:val="24"/>
        </w:rPr>
        <w:t>video</w:t>
      </w:r>
      <w:proofErr w:type="gramEnd"/>
      <w:r>
        <w:rPr>
          <w:rFonts w:ascii="Times New Roman" w:hAnsi="Times New Roman"/>
          <w:sz w:val="24"/>
          <w:szCs w:val="24"/>
        </w:rPr>
        <w:t xml:space="preserve"> contest</w:t>
      </w:r>
    </w:p>
    <w:p>
      <w:pPr>
        <w:pStyle w:val="NoSpacing"/>
        <w:numPr>
          <w:ilvl w:val="0"/>
          <w:numId w:val="3"/>
        </w:numPr>
        <w:ind w:left="1260"/>
        <w:jc w:val="both"/>
        <w:rPr>
          <w:rFonts w:ascii="Times New Roman" w:hAnsi="Times New Roman"/>
          <w:sz w:val="24"/>
          <w:szCs w:val="24"/>
        </w:rPr>
      </w:pPr>
      <w:r>
        <w:rPr>
          <w:rFonts w:ascii="Times New Roman" w:hAnsi="Times New Roman"/>
          <w:sz w:val="24"/>
          <w:szCs w:val="24"/>
        </w:rPr>
        <w:lastRenderedPageBreak/>
        <w:t xml:space="preserve">Philippine Chamber of Commerce and Industry: </w:t>
      </w:r>
      <w:proofErr w:type="spellStart"/>
      <w:r>
        <w:rPr>
          <w:rFonts w:ascii="Times New Roman" w:hAnsi="Times New Roman"/>
          <w:sz w:val="24"/>
          <w:szCs w:val="24"/>
        </w:rPr>
        <w:t>Gawad</w:t>
      </w:r>
      <w:proofErr w:type="spellEnd"/>
      <w:r>
        <w:rPr>
          <w:rFonts w:ascii="Times New Roman" w:hAnsi="Times New Roman"/>
          <w:sz w:val="24"/>
          <w:szCs w:val="24"/>
        </w:rPr>
        <w:t xml:space="preserve"> </w:t>
      </w:r>
      <w:proofErr w:type="spellStart"/>
      <w:r>
        <w:rPr>
          <w:rFonts w:ascii="Times New Roman" w:hAnsi="Times New Roman"/>
          <w:sz w:val="24"/>
          <w:szCs w:val="24"/>
        </w:rPr>
        <w:t>Bayaning</w:t>
      </w:r>
      <w:proofErr w:type="spellEnd"/>
      <w:r>
        <w:rPr>
          <w:rFonts w:ascii="Times New Roman" w:hAnsi="Times New Roman"/>
          <w:sz w:val="24"/>
          <w:szCs w:val="24"/>
        </w:rPr>
        <w:t xml:space="preserve"> </w:t>
      </w:r>
      <w:proofErr w:type="spellStart"/>
      <w:r>
        <w:rPr>
          <w:rFonts w:ascii="Times New Roman" w:hAnsi="Times New Roman"/>
          <w:sz w:val="24"/>
          <w:szCs w:val="24"/>
        </w:rPr>
        <w:t>Kalusugan</w:t>
      </w:r>
      <w:proofErr w:type="spellEnd"/>
      <w:r>
        <w:rPr>
          <w:rFonts w:ascii="Times New Roman" w:hAnsi="Times New Roman"/>
          <w:sz w:val="24"/>
          <w:szCs w:val="24"/>
          <w:lang w:val="en-PH"/>
        </w:rPr>
        <w:t xml:space="preserve"> -</w:t>
      </w:r>
      <w:r>
        <w:rPr>
          <w:rFonts w:ascii="Times New Roman" w:hAnsi="Times New Roman"/>
          <w:sz w:val="24"/>
          <w:szCs w:val="24"/>
        </w:rPr>
        <w:t xml:space="preserve"> Sta. Ana Hospital Manila COVID Warriors</w:t>
      </w:r>
    </w:p>
    <w:p>
      <w:pPr>
        <w:rPr>
          <w:rFonts w:eastAsia="Calibri"/>
        </w:rPr>
      </w:pPr>
    </w:p>
    <w:p>
      <w:pPr>
        <w:rPr>
          <w:rFonts w:eastAsia="Calibri"/>
        </w:rPr>
      </w:pPr>
    </w:p>
    <w:p>
      <w:pPr>
        <w:pStyle w:val="ListParagraph"/>
        <w:numPr>
          <w:ilvl w:val="0"/>
          <w:numId w:val="1"/>
        </w:numPr>
        <w:ind w:left="540" w:hanging="540"/>
        <w:jc w:val="both"/>
        <w:rPr>
          <w:b/>
        </w:rPr>
      </w:pPr>
      <w:r>
        <w:rPr>
          <w:b/>
        </w:rPr>
        <w:t>Scope and Objectives of Audit</w:t>
      </w:r>
    </w:p>
    <w:p>
      <w:pPr>
        <w:pStyle w:val="NoSpacing"/>
        <w:ind w:left="540"/>
        <w:jc w:val="both"/>
        <w:rPr>
          <w:rFonts w:ascii="Times New Roman" w:hAnsi="Times New Roman"/>
          <w:sz w:val="24"/>
          <w:szCs w:val="24"/>
        </w:rPr>
      </w:pPr>
    </w:p>
    <w:p>
      <w:pPr>
        <w:ind w:left="540"/>
        <w:jc w:val="both"/>
      </w:pPr>
      <w:r>
        <w:t>The audit covered the accounts and operations of the City of Manila for the period January 1 to December 31, 2020. The objectives of the audit are to: (a) be able to lend credence to Management’s assertions on the financial statements; (b) recommend agency improvement opportunities; (c) determine compliance with existing laws, rules and regulations; and (d) determine the extent of implementation of prior years’ audit recommendations.</w:t>
      </w:r>
    </w:p>
    <w:p>
      <w:pPr>
        <w:jc w:val="both"/>
      </w:pPr>
    </w:p>
    <w:p>
      <w:pPr>
        <w:jc w:val="both"/>
      </w:pPr>
    </w:p>
    <w:p>
      <w:pPr>
        <w:pStyle w:val="ListParagraph"/>
        <w:numPr>
          <w:ilvl w:val="0"/>
          <w:numId w:val="1"/>
        </w:numPr>
        <w:ind w:left="540" w:hanging="540"/>
        <w:jc w:val="both"/>
      </w:pPr>
      <w:r>
        <w:rPr>
          <w:b/>
        </w:rPr>
        <w:t>Independent Auditor’s Report on the Financial Statements</w:t>
      </w:r>
    </w:p>
    <w:p>
      <w:pPr>
        <w:jc w:val="both"/>
      </w:pPr>
    </w:p>
    <w:p>
      <w:pPr>
        <w:pStyle w:val="ListParagraph"/>
        <w:ind w:left="540"/>
        <w:jc w:val="both"/>
      </w:pPr>
      <w:r>
        <w:t xml:space="preserve">The Auditor rendered a </w:t>
      </w:r>
      <w:r>
        <w:rPr>
          <w:lang w:val="en-PH"/>
        </w:rPr>
        <w:t>qualified</w:t>
      </w:r>
      <w:r>
        <w:t xml:space="preserve"> opinion on the fairness of presentation of the financial statements </w:t>
      </w:r>
      <w:r>
        <w:rPr>
          <w:lang w:val="en-PH"/>
        </w:rPr>
        <w:t xml:space="preserve">(FS) </w:t>
      </w:r>
      <w:r>
        <w:t>as of December 31, 2020 due to</w:t>
      </w:r>
      <w:r>
        <w:rPr>
          <w:lang w:val="en-PH"/>
        </w:rPr>
        <w:t>: (a)</w:t>
      </w:r>
      <w:r>
        <w:t xml:space="preserve"> </w:t>
      </w:r>
      <w:r>
        <w:rPr>
          <w:lang w:val="en-PH"/>
        </w:rPr>
        <w:t xml:space="preserve">the accounting </w:t>
      </w:r>
      <w:r>
        <w:t xml:space="preserve">errors that misstated the affected </w:t>
      </w:r>
      <w:r>
        <w:rPr>
          <w:color w:val="000000"/>
          <w:lang w:val="en-PH"/>
        </w:rPr>
        <w:t xml:space="preserve">cash-in-bank </w:t>
      </w:r>
      <w:r>
        <w:t>account balances</w:t>
      </w:r>
      <w:r>
        <w:rPr>
          <w:lang w:val="en-PH"/>
        </w:rPr>
        <w:t xml:space="preserve">; and (b) the accounting deficiencies that weigh on the quality of information presented in these FS. These accounting errors and deficiencies are </w:t>
      </w:r>
      <w:r>
        <w:t>discussed in detail in Part II of the report, and summarized as follows:</w:t>
      </w:r>
    </w:p>
    <w:p>
      <w:pPr>
        <w:widowControl w:val="0"/>
        <w:overflowPunct w:val="0"/>
        <w:autoSpaceDE w:val="0"/>
        <w:autoSpaceDN w:val="0"/>
        <w:adjustRightInd w:val="0"/>
        <w:contextualSpacing/>
        <w:jc w:val="both"/>
        <w:rPr>
          <w:bCs/>
          <w:iCs/>
        </w:rPr>
      </w:pPr>
      <w:bookmarkStart w:id="2" w:name="_Hlk10107470"/>
    </w:p>
    <w:bookmarkEnd w:id="2"/>
    <w:p>
      <w:pPr>
        <w:pStyle w:val="ListParagraph"/>
        <w:numPr>
          <w:ilvl w:val="0"/>
          <w:numId w:val="4"/>
        </w:numPr>
        <w:ind w:left="900"/>
        <w:jc w:val="both"/>
        <w:rPr>
          <w:color w:val="000000"/>
          <w:lang w:val="en-PH"/>
        </w:rPr>
      </w:pPr>
      <w:r>
        <w:rPr>
          <w:color w:val="000000"/>
          <w:lang w:val="en-PH"/>
        </w:rPr>
        <w:t>Accounting errors in recording cash-in-bank (</w:t>
      </w:r>
      <w:proofErr w:type="spellStart"/>
      <w:r>
        <w:rPr>
          <w:color w:val="000000"/>
          <w:lang w:val="en-PH"/>
        </w:rPr>
        <w:t>CiB</w:t>
      </w:r>
      <w:proofErr w:type="spellEnd"/>
      <w:r>
        <w:rPr>
          <w:color w:val="000000"/>
          <w:lang w:val="en-PH"/>
        </w:rPr>
        <w:t>) transactions amounting to P66</w:t>
      </w:r>
      <w:proofErr w:type="gramStart"/>
      <w:r>
        <w:rPr>
          <w:color w:val="000000"/>
          <w:lang w:val="en-PH"/>
        </w:rPr>
        <w:t>,815,141.99</w:t>
      </w:r>
      <w:proofErr w:type="gramEnd"/>
      <w:r>
        <w:rPr>
          <w:color w:val="000000"/>
          <w:lang w:val="en-PH"/>
        </w:rPr>
        <w:t xml:space="preserve"> resulted in the misstatement of affected </w:t>
      </w:r>
      <w:proofErr w:type="spellStart"/>
      <w:r>
        <w:rPr>
          <w:color w:val="000000"/>
          <w:lang w:val="en-PH"/>
        </w:rPr>
        <w:t>CiB</w:t>
      </w:r>
      <w:proofErr w:type="spellEnd"/>
      <w:r>
        <w:rPr>
          <w:color w:val="000000"/>
          <w:lang w:val="en-PH"/>
        </w:rPr>
        <w:t xml:space="preserve"> accounts and weighed on the fair presentation of these accounts in the City’s FS.</w:t>
      </w:r>
    </w:p>
    <w:p>
      <w:pPr>
        <w:pStyle w:val="ListParagraph"/>
        <w:ind w:left="1080"/>
        <w:jc w:val="both"/>
        <w:rPr>
          <w:color w:val="000000"/>
          <w:lang w:val="en-PH"/>
        </w:rPr>
      </w:pPr>
    </w:p>
    <w:p>
      <w:pPr>
        <w:pStyle w:val="ListParagraph"/>
        <w:ind w:left="900"/>
        <w:jc w:val="both"/>
        <w:rPr>
          <w:color w:val="000000"/>
          <w:lang w:val="en-PH"/>
        </w:rPr>
      </w:pPr>
      <w:r>
        <w:rPr>
          <w:color w:val="000000"/>
          <w:lang w:val="en-PH"/>
        </w:rPr>
        <w:t xml:space="preserve">We recommended that Management: </w:t>
      </w:r>
    </w:p>
    <w:p>
      <w:pPr>
        <w:pStyle w:val="ListParagraph"/>
        <w:ind w:left="900"/>
        <w:jc w:val="both"/>
        <w:rPr>
          <w:color w:val="000000"/>
          <w:lang w:val="en-PH"/>
        </w:rPr>
      </w:pPr>
    </w:p>
    <w:p>
      <w:pPr>
        <w:pStyle w:val="ListParagraph"/>
        <w:numPr>
          <w:ilvl w:val="2"/>
          <w:numId w:val="5"/>
        </w:numPr>
        <w:ind w:left="1260" w:hanging="360"/>
        <w:contextualSpacing/>
        <w:jc w:val="both"/>
        <w:rPr>
          <w:bCs/>
          <w:iCs/>
          <w:lang w:val="en-PH"/>
        </w:rPr>
      </w:pPr>
      <w:r>
        <w:rPr>
          <w:bCs/>
          <w:iCs/>
          <w:lang w:val="en-PH"/>
        </w:rPr>
        <w:t xml:space="preserve">Prepare </w:t>
      </w:r>
      <w:r>
        <w:rPr>
          <w:bCs/>
          <w:iCs/>
        </w:rPr>
        <w:t xml:space="preserve">the </w:t>
      </w:r>
      <w:r>
        <w:rPr>
          <w:bCs/>
          <w:iCs/>
          <w:lang w:val="en-PH"/>
        </w:rPr>
        <w:t>adjusting entry to record the 6,169 checks with a total amount of P5,912,799.87 in the Check Disbursements Journal;</w:t>
      </w:r>
    </w:p>
    <w:p>
      <w:pPr>
        <w:pStyle w:val="ListParagraph"/>
        <w:tabs>
          <w:tab w:val="left" w:pos="1200"/>
        </w:tabs>
        <w:ind w:left="1800"/>
        <w:jc w:val="both"/>
        <w:rPr>
          <w:bCs/>
          <w:iCs/>
          <w:lang w:val="en-PH"/>
        </w:rPr>
      </w:pPr>
    </w:p>
    <w:p>
      <w:pPr>
        <w:pStyle w:val="ListParagraph"/>
        <w:numPr>
          <w:ilvl w:val="2"/>
          <w:numId w:val="5"/>
        </w:numPr>
        <w:ind w:left="1260" w:hanging="360"/>
        <w:contextualSpacing/>
        <w:jc w:val="both"/>
        <w:rPr>
          <w:bCs/>
          <w:iCs/>
          <w:lang w:val="en-PH"/>
        </w:rPr>
      </w:pPr>
      <w:r>
        <w:rPr>
          <w:bCs/>
          <w:iCs/>
          <w:lang w:val="en-PH"/>
        </w:rPr>
        <w:t xml:space="preserve">Adopt preventive and corrective measures to address the deficiencies </w:t>
      </w:r>
      <w:r>
        <w:rPr>
          <w:bCs/>
          <w:iCs/>
        </w:rPr>
        <w:t xml:space="preserve">in accounting for the </w:t>
      </w:r>
      <w:proofErr w:type="spellStart"/>
      <w:r>
        <w:rPr>
          <w:bCs/>
          <w:iCs/>
        </w:rPr>
        <w:t>CiB</w:t>
      </w:r>
      <w:proofErr w:type="spellEnd"/>
      <w:r>
        <w:rPr>
          <w:bCs/>
          <w:iCs/>
          <w:lang w:val="en-PH"/>
        </w:rPr>
        <w:t>; and</w:t>
      </w:r>
    </w:p>
    <w:p>
      <w:pPr>
        <w:pStyle w:val="ListParagraph"/>
        <w:ind w:left="900"/>
        <w:jc w:val="both"/>
        <w:rPr>
          <w:bCs/>
          <w:color w:val="000000"/>
          <w:lang w:val="en-PH"/>
        </w:rPr>
      </w:pPr>
    </w:p>
    <w:p>
      <w:pPr>
        <w:pStyle w:val="ListParagraph"/>
        <w:numPr>
          <w:ilvl w:val="2"/>
          <w:numId w:val="5"/>
        </w:numPr>
        <w:ind w:left="1260" w:hanging="360"/>
        <w:contextualSpacing/>
        <w:jc w:val="both"/>
        <w:rPr>
          <w:bCs/>
        </w:rPr>
      </w:pPr>
      <w:proofErr w:type="gramStart"/>
      <w:r>
        <w:rPr>
          <w:bCs/>
        </w:rPr>
        <w:t>submit</w:t>
      </w:r>
      <w:proofErr w:type="gramEnd"/>
      <w:r>
        <w:rPr>
          <w:bCs/>
        </w:rPr>
        <w:t xml:space="preserve"> supporting documents as basis for recording of the transactions from CYs 2014 to CY 2020 in the amount of P</w:t>
      </w:r>
      <w:r>
        <w:rPr>
          <w:bCs/>
          <w:iCs/>
        </w:rPr>
        <w:t>60,902,342.12.</w:t>
      </w:r>
    </w:p>
    <w:p>
      <w:pPr>
        <w:contextualSpacing/>
        <w:jc w:val="both"/>
        <w:rPr>
          <w:color w:val="000000"/>
          <w:lang w:val="en-PH"/>
        </w:rPr>
      </w:pPr>
    </w:p>
    <w:p>
      <w:pPr>
        <w:pStyle w:val="ListParagraph"/>
        <w:numPr>
          <w:ilvl w:val="0"/>
          <w:numId w:val="4"/>
        </w:numPr>
        <w:ind w:left="900"/>
        <w:jc w:val="both"/>
        <w:rPr>
          <w:bCs/>
          <w:iCs/>
          <w:lang w:val="en-PH"/>
        </w:rPr>
      </w:pPr>
      <w:r>
        <w:rPr>
          <w:bCs/>
          <w:iCs/>
          <w:lang w:val="en-PH"/>
        </w:rPr>
        <w:t xml:space="preserve">Deficiencies in accounting for property, plant and equipment (PPE) undermine the quality of PPE information presented in the City’s FS. </w:t>
      </w:r>
    </w:p>
    <w:p>
      <w:pPr>
        <w:rPr>
          <w:color w:val="000000"/>
          <w:lang w:val="en-PH"/>
        </w:rPr>
      </w:pPr>
    </w:p>
    <w:p>
      <w:pPr>
        <w:ind w:left="810"/>
        <w:rPr>
          <w:color w:val="000000"/>
          <w:lang w:val="en-PH"/>
        </w:rPr>
      </w:pPr>
      <w:r>
        <w:rPr>
          <w:color w:val="000000"/>
          <w:lang w:val="en-PH"/>
        </w:rPr>
        <w:t xml:space="preserve">We recommended that Management: </w:t>
      </w:r>
    </w:p>
    <w:p>
      <w:pPr>
        <w:ind w:left="900"/>
        <w:jc w:val="both"/>
        <w:rPr>
          <w:color w:val="000000"/>
          <w:lang w:val="en-PH"/>
        </w:rPr>
      </w:pPr>
    </w:p>
    <w:p>
      <w:pPr>
        <w:pStyle w:val="ListParagraph"/>
        <w:numPr>
          <w:ilvl w:val="2"/>
          <w:numId w:val="6"/>
        </w:numPr>
        <w:ind w:left="1260" w:hanging="360"/>
        <w:contextualSpacing/>
        <w:jc w:val="both"/>
        <w:rPr>
          <w:color w:val="000000"/>
          <w:lang w:val="en-PH"/>
        </w:rPr>
      </w:pPr>
      <w:r>
        <w:rPr>
          <w:color w:val="000000"/>
          <w:lang w:val="en-PH"/>
        </w:rPr>
        <w:t xml:space="preserve">Provide depreciation for the </w:t>
      </w:r>
      <w:r>
        <w:rPr>
          <w:color w:val="000000"/>
          <w:lang w:val="en-PH" w:eastAsia="en-PH"/>
        </w:rPr>
        <w:t>4,087</w:t>
      </w:r>
      <w:r>
        <w:rPr>
          <w:color w:val="000000"/>
          <w:lang w:val="en-PH"/>
        </w:rPr>
        <w:t xml:space="preserve"> depreciable PPE items totaling </w:t>
      </w:r>
      <w:r>
        <w:rPr>
          <w:color w:val="000000"/>
          <w:lang w:val="en-PH" w:eastAsia="en-PH"/>
        </w:rPr>
        <w:t>P10,262,638,264.46;</w:t>
      </w:r>
    </w:p>
    <w:p>
      <w:pPr>
        <w:pStyle w:val="ListParagraph"/>
        <w:tabs>
          <w:tab w:val="left" w:pos="425"/>
          <w:tab w:val="left" w:pos="709"/>
        </w:tabs>
        <w:ind w:left="1440"/>
        <w:jc w:val="both"/>
        <w:rPr>
          <w:b/>
          <w:bCs/>
        </w:rPr>
      </w:pPr>
    </w:p>
    <w:p>
      <w:pPr>
        <w:pStyle w:val="ListParagraph"/>
        <w:numPr>
          <w:ilvl w:val="2"/>
          <w:numId w:val="6"/>
        </w:numPr>
        <w:ind w:left="1260" w:hanging="360"/>
        <w:contextualSpacing/>
        <w:jc w:val="both"/>
        <w:rPr>
          <w:color w:val="000000"/>
          <w:lang w:val="en-PH"/>
        </w:rPr>
      </w:pPr>
      <w:r>
        <w:rPr>
          <w:color w:val="000000"/>
          <w:lang w:val="en-PH"/>
        </w:rPr>
        <w:lastRenderedPageBreak/>
        <w:t xml:space="preserve">In the </w:t>
      </w:r>
      <w:r>
        <w:rPr>
          <w:color w:val="000000"/>
          <w:lang w:val="en-PH" w:eastAsia="zh-CN"/>
        </w:rPr>
        <w:t>absence</w:t>
      </w:r>
      <w:r>
        <w:rPr>
          <w:color w:val="000000"/>
          <w:lang w:val="en-PH"/>
        </w:rPr>
        <w:t xml:space="preserve"> of documents establishing the acquisition cost of four PPE items with nominal costs totaling P20,061.43, measure these PPE using their fair value and disclose the valuation in the Notes to FS;</w:t>
      </w:r>
    </w:p>
    <w:p>
      <w:pPr>
        <w:pStyle w:val="ListParagraph"/>
        <w:ind w:left="900"/>
        <w:contextualSpacing/>
        <w:jc w:val="both"/>
        <w:rPr>
          <w:color w:val="000000"/>
          <w:lang w:val="en-PH"/>
        </w:rPr>
      </w:pPr>
    </w:p>
    <w:p>
      <w:pPr>
        <w:pStyle w:val="ListParagraph"/>
        <w:numPr>
          <w:ilvl w:val="2"/>
          <w:numId w:val="6"/>
        </w:numPr>
        <w:ind w:left="1260" w:hanging="360"/>
        <w:contextualSpacing/>
        <w:jc w:val="both"/>
        <w:rPr>
          <w:color w:val="000000"/>
          <w:lang w:val="en-PH"/>
        </w:rPr>
      </w:pPr>
      <w:r>
        <w:rPr>
          <w:color w:val="000000"/>
          <w:lang w:val="en-PH"/>
        </w:rPr>
        <w:t>Record PPE individually in the PPE records; and</w:t>
      </w:r>
    </w:p>
    <w:p>
      <w:pPr>
        <w:ind w:left="900"/>
        <w:jc w:val="both"/>
        <w:rPr>
          <w:color w:val="000000"/>
          <w:lang w:val="en-PH"/>
        </w:rPr>
      </w:pPr>
    </w:p>
    <w:p>
      <w:pPr>
        <w:pStyle w:val="ListParagraph"/>
        <w:numPr>
          <w:ilvl w:val="2"/>
          <w:numId w:val="6"/>
        </w:numPr>
        <w:ind w:left="1260" w:hanging="360"/>
        <w:contextualSpacing/>
        <w:jc w:val="both"/>
        <w:rPr>
          <w:color w:val="000000"/>
          <w:lang w:val="en-PH"/>
        </w:rPr>
      </w:pPr>
      <w:r>
        <w:rPr>
          <w:iCs/>
          <w:lang w:val="en-PH"/>
        </w:rPr>
        <w:t>Instruct</w:t>
      </w:r>
      <w:r>
        <w:rPr>
          <w:color w:val="000000"/>
          <w:lang w:val="en-PH"/>
        </w:rPr>
        <w:t xml:space="preserve"> the Office of the City Accountant and City General Services Office to indicate in their PPE records the condition of the PPE using common condition codes as well as the information listed in paragraph </w:t>
      </w:r>
      <w:r>
        <w:rPr>
          <w:color w:val="000000"/>
        </w:rPr>
        <w:t>2</w:t>
      </w:r>
      <w:r>
        <w:rPr>
          <w:color w:val="000000"/>
          <w:lang w:val="en-PH"/>
        </w:rPr>
        <w:t>.</w:t>
      </w:r>
      <w:r>
        <w:rPr>
          <w:color w:val="000000"/>
        </w:rPr>
        <w:t>3</w:t>
      </w:r>
      <w:r>
        <w:rPr>
          <w:color w:val="000000"/>
          <w:lang w:val="en-PH"/>
        </w:rPr>
        <w:t>.2</w:t>
      </w:r>
      <w:r>
        <w:rPr>
          <w:color w:val="000000"/>
        </w:rPr>
        <w:t>,</w:t>
      </w:r>
      <w:r>
        <w:rPr>
          <w:color w:val="000000"/>
          <w:lang w:val="en-PH"/>
        </w:rPr>
        <w:t xml:space="preserve"> Part II of </w:t>
      </w:r>
      <w:proofErr w:type="spellStart"/>
      <w:r>
        <w:rPr>
          <w:color w:val="000000"/>
          <w:lang w:val="en-PH"/>
        </w:rPr>
        <w:t>th</w:t>
      </w:r>
      <w:proofErr w:type="spellEnd"/>
      <w:r>
        <w:rPr>
          <w:color w:val="000000"/>
        </w:rPr>
        <w:t>is</w:t>
      </w:r>
      <w:r>
        <w:rPr>
          <w:color w:val="000000"/>
          <w:lang w:val="en-PH"/>
        </w:rPr>
        <w:t xml:space="preserve"> report.</w:t>
      </w:r>
    </w:p>
    <w:p>
      <w:pPr>
        <w:jc w:val="both"/>
      </w:pPr>
    </w:p>
    <w:p>
      <w:pPr>
        <w:jc w:val="both"/>
      </w:pPr>
    </w:p>
    <w:p>
      <w:pPr>
        <w:pStyle w:val="NoSpacing"/>
        <w:numPr>
          <w:ilvl w:val="0"/>
          <w:numId w:val="1"/>
        </w:numPr>
        <w:ind w:left="540" w:hanging="540"/>
        <w:jc w:val="both"/>
        <w:rPr>
          <w:rFonts w:ascii="Times New Roman" w:hAnsi="Times New Roman"/>
          <w:b/>
          <w:sz w:val="24"/>
          <w:szCs w:val="24"/>
        </w:rPr>
      </w:pPr>
      <w:r>
        <w:rPr>
          <w:rFonts w:ascii="Times New Roman" w:hAnsi="Times New Roman"/>
          <w:b/>
          <w:sz w:val="24"/>
          <w:szCs w:val="24"/>
        </w:rPr>
        <w:t>Other Significant Observations and Recommendations</w:t>
      </w:r>
    </w:p>
    <w:p>
      <w:pPr>
        <w:pStyle w:val="NoSpacing"/>
        <w:jc w:val="both"/>
        <w:rPr>
          <w:rFonts w:ascii="Times New Roman" w:hAnsi="Times New Roman"/>
          <w:b/>
          <w:sz w:val="24"/>
          <w:szCs w:val="24"/>
        </w:rPr>
      </w:pPr>
    </w:p>
    <w:p>
      <w:pPr>
        <w:pStyle w:val="ListParagraph"/>
        <w:numPr>
          <w:ilvl w:val="0"/>
          <w:numId w:val="7"/>
        </w:numPr>
        <w:ind w:left="900"/>
        <w:jc w:val="both"/>
        <w:rPr>
          <w:rFonts w:eastAsiaTheme="minorHAnsi"/>
          <w:bCs/>
        </w:rPr>
      </w:pPr>
      <w:r>
        <w:rPr>
          <w:bCs/>
          <w:kern w:val="28"/>
        </w:rPr>
        <w:t>The</w:t>
      </w:r>
      <w:r>
        <w:rPr>
          <w:rFonts w:eastAsiaTheme="minorHAnsi"/>
          <w:bCs/>
        </w:rPr>
        <w:t xml:space="preserve"> Joint Venture Agreement (JVA) entered into by the City of Manila with          B. Braun </w:t>
      </w:r>
      <w:proofErr w:type="spellStart"/>
      <w:r>
        <w:rPr>
          <w:rFonts w:eastAsiaTheme="minorHAnsi"/>
          <w:bCs/>
        </w:rPr>
        <w:t>Avitum</w:t>
      </w:r>
      <w:proofErr w:type="spellEnd"/>
      <w:r>
        <w:rPr>
          <w:rFonts w:eastAsiaTheme="minorHAnsi"/>
          <w:bCs/>
        </w:rPr>
        <w:t xml:space="preserve"> Philippines, Inc. (BBAPI) does not have certain provisions prescribed in City Ordinance No. 8346 and has unclear and inadequate stipulations which are disadvantageous to the interest of the City.</w:t>
      </w:r>
    </w:p>
    <w:p>
      <w:pPr>
        <w:pStyle w:val="ListParagraph"/>
        <w:ind w:left="900"/>
        <w:jc w:val="both"/>
        <w:rPr>
          <w:bCs/>
          <w:iCs/>
          <w:lang w:val="en-PH"/>
        </w:rPr>
      </w:pPr>
    </w:p>
    <w:p>
      <w:pPr>
        <w:pStyle w:val="ListParagraph"/>
        <w:ind w:left="900"/>
        <w:jc w:val="both"/>
        <w:rPr>
          <w:bCs/>
          <w:iCs/>
          <w:lang w:val="en-PH"/>
        </w:rPr>
      </w:pPr>
      <w:r>
        <w:rPr>
          <w:bCs/>
          <w:iCs/>
          <w:lang w:val="en-PH"/>
        </w:rPr>
        <w:t>Pursuant to paragraph 10 of the JVA, we recommended that Management come up with JVA addendum/amendments or similar binding document to correct the provisions and deficiencies therein that work against the interest of the City with the end view of, among others:</w:t>
      </w:r>
    </w:p>
    <w:p>
      <w:pPr>
        <w:pStyle w:val="ListParagraph"/>
        <w:ind w:left="900"/>
        <w:jc w:val="both"/>
        <w:rPr>
          <w:bCs/>
          <w:iCs/>
          <w:lang w:val="en-PH"/>
        </w:rPr>
      </w:pPr>
    </w:p>
    <w:p>
      <w:pPr>
        <w:pStyle w:val="ListParagraph"/>
        <w:numPr>
          <w:ilvl w:val="0"/>
          <w:numId w:val="8"/>
        </w:numPr>
        <w:ind w:left="1260"/>
        <w:contextualSpacing/>
        <w:jc w:val="both"/>
        <w:rPr>
          <w:bCs/>
          <w:iCs/>
          <w:lang w:val="en-PH"/>
        </w:rPr>
      </w:pPr>
      <w:r>
        <w:rPr>
          <w:iCs/>
          <w:lang w:val="en-PH"/>
        </w:rPr>
        <w:t>increasing</w:t>
      </w:r>
      <w:r>
        <w:rPr>
          <w:bCs/>
          <w:iCs/>
          <w:lang w:val="en-PH"/>
        </w:rPr>
        <w:t xml:space="preserve"> the City share in the revenue of the </w:t>
      </w:r>
      <w:r>
        <w:rPr>
          <w:bCs/>
          <w:kern w:val="28"/>
        </w:rPr>
        <w:t>joint venture (</w:t>
      </w:r>
      <w:r>
        <w:rPr>
          <w:bCs/>
          <w:iCs/>
          <w:lang w:val="en-PH"/>
        </w:rPr>
        <w:t>JV) commensurate to the City’s contribution/investment therein; and</w:t>
      </w:r>
    </w:p>
    <w:p>
      <w:pPr>
        <w:pStyle w:val="ListParagraph"/>
        <w:ind w:left="900"/>
        <w:jc w:val="both"/>
        <w:rPr>
          <w:bCs/>
          <w:iCs/>
          <w:lang w:val="en-PH"/>
        </w:rPr>
      </w:pPr>
    </w:p>
    <w:p>
      <w:pPr>
        <w:pStyle w:val="ListParagraph"/>
        <w:numPr>
          <w:ilvl w:val="0"/>
          <w:numId w:val="8"/>
        </w:numPr>
        <w:ind w:left="1260"/>
        <w:contextualSpacing/>
        <w:jc w:val="both"/>
        <w:rPr>
          <w:bCs/>
          <w:iCs/>
          <w:lang w:val="en-PH"/>
        </w:rPr>
      </w:pPr>
      <w:proofErr w:type="gramStart"/>
      <w:r>
        <w:rPr>
          <w:bCs/>
          <w:iCs/>
          <w:lang w:val="en-PH"/>
        </w:rPr>
        <w:t>taking-over</w:t>
      </w:r>
      <w:proofErr w:type="gramEnd"/>
      <w:r>
        <w:rPr>
          <w:bCs/>
          <w:iCs/>
          <w:lang w:val="en-PH"/>
        </w:rPr>
        <w:t xml:space="preserve"> the procurement of pharmaceuticals and other consumable items utilized in the dialysis of patients to: (</w:t>
      </w:r>
      <w:proofErr w:type="spellStart"/>
      <w:r>
        <w:rPr>
          <w:bCs/>
          <w:iCs/>
          <w:lang w:val="en-PH"/>
        </w:rPr>
        <w:t>i</w:t>
      </w:r>
      <w:proofErr w:type="spellEnd"/>
      <w:r>
        <w:rPr>
          <w:bCs/>
          <w:iCs/>
          <w:lang w:val="en-PH"/>
        </w:rPr>
        <w:t>) conform with the relevant provisions of RA No. 9184; and (ii) ensure reasonable pricing and compliance to quality standards of these items.</w:t>
      </w:r>
    </w:p>
    <w:p>
      <w:pPr>
        <w:pStyle w:val="ListParagraph"/>
        <w:ind w:left="900"/>
        <w:jc w:val="both"/>
        <w:rPr>
          <w:bCs/>
          <w:iCs/>
          <w:lang w:val="en-PH"/>
        </w:rPr>
      </w:pPr>
    </w:p>
    <w:p>
      <w:pPr>
        <w:pStyle w:val="ListParagraph"/>
        <w:ind w:left="900"/>
        <w:jc w:val="both"/>
        <w:rPr>
          <w:bCs/>
          <w:iCs/>
          <w:lang w:val="en-PH"/>
        </w:rPr>
      </w:pPr>
      <w:r>
        <w:rPr>
          <w:bCs/>
          <w:iCs/>
          <w:lang w:val="en-PH"/>
        </w:rPr>
        <w:t>If BBAPI refuses the correction of the foregoing provisions and deficiencies therein that work against the interest of the City, terminate the JVA but ensuring in the process the uninterrupted dialysis treatment services by the City.</w:t>
      </w:r>
    </w:p>
    <w:p>
      <w:pPr>
        <w:pStyle w:val="ListParagraph"/>
        <w:ind w:left="900"/>
        <w:jc w:val="both"/>
        <w:rPr>
          <w:bCs/>
          <w:iCs/>
        </w:rPr>
      </w:pPr>
    </w:p>
    <w:p>
      <w:pPr>
        <w:pStyle w:val="ListParagraph"/>
        <w:numPr>
          <w:ilvl w:val="0"/>
          <w:numId w:val="7"/>
        </w:numPr>
        <w:ind w:left="900"/>
        <w:jc w:val="both"/>
        <w:rPr>
          <w:lang w:val="en-PH"/>
        </w:rPr>
      </w:pPr>
      <w:proofErr w:type="spellStart"/>
      <w:r>
        <w:rPr>
          <w:lang w:val="en-PH"/>
        </w:rPr>
        <w:t>Unsubmitted</w:t>
      </w:r>
      <w:proofErr w:type="spellEnd"/>
      <w:r>
        <w:rPr>
          <w:lang w:val="en-PH"/>
        </w:rPr>
        <w:t xml:space="preserve"> documents supporting the JVA with JBROS Construction Corporation for the </w:t>
      </w:r>
      <w:proofErr w:type="spellStart"/>
      <w:r>
        <w:rPr>
          <w:lang w:val="en-PH"/>
        </w:rPr>
        <w:t>Arroceros</w:t>
      </w:r>
      <w:proofErr w:type="spellEnd"/>
      <w:r>
        <w:rPr>
          <w:lang w:val="en-PH"/>
        </w:rPr>
        <w:t xml:space="preserve"> Compound Mixed-Use Development prevented the full evaluation of and casts doubt on the validity of the Swiss Challenge to which such JV project was subjected.</w:t>
      </w:r>
      <w:r>
        <w:t xml:space="preserve"> Further, t</w:t>
      </w:r>
      <w:r>
        <w:rPr>
          <w:lang w:val="en-PH"/>
        </w:rPr>
        <w:t xml:space="preserve">he continuing failure of the JBROS to perform its obligations under the JVA deprives the City beneficial use of the </w:t>
      </w:r>
      <w:proofErr w:type="spellStart"/>
      <w:r>
        <w:rPr>
          <w:lang w:val="en-PH"/>
        </w:rPr>
        <w:t>Arroceros</w:t>
      </w:r>
      <w:proofErr w:type="spellEnd"/>
      <w:r>
        <w:rPr>
          <w:lang w:val="en-PH"/>
        </w:rPr>
        <w:t xml:space="preserve"> Compound</w:t>
      </w:r>
      <w:r>
        <w:t>; and t</w:t>
      </w:r>
      <w:r>
        <w:rPr>
          <w:lang w:val="en-PH"/>
        </w:rPr>
        <w:t>he City has not fully protected its interest by its failure to require JBROS to post performance bond covering the period within which the latter is obligated to complete the joint venture project.</w:t>
      </w:r>
    </w:p>
    <w:p>
      <w:pPr>
        <w:pStyle w:val="ListParagraph"/>
        <w:ind w:left="900"/>
        <w:jc w:val="both"/>
        <w:rPr>
          <w:bCs/>
          <w:iCs/>
        </w:rPr>
      </w:pPr>
    </w:p>
    <w:p>
      <w:pPr>
        <w:pStyle w:val="ListParagraph"/>
        <w:ind w:left="900"/>
        <w:jc w:val="both"/>
        <w:rPr>
          <w:bCs/>
          <w:iCs/>
        </w:rPr>
      </w:pPr>
    </w:p>
    <w:p>
      <w:pPr>
        <w:pStyle w:val="ListParagraph"/>
        <w:ind w:left="900"/>
        <w:contextualSpacing/>
        <w:jc w:val="both"/>
        <w:rPr>
          <w:lang w:val="en-PH"/>
        </w:rPr>
      </w:pPr>
      <w:r>
        <w:rPr>
          <w:lang w:val="en-PH"/>
        </w:rPr>
        <w:lastRenderedPageBreak/>
        <w:t xml:space="preserve">We recommended that the City: </w:t>
      </w:r>
    </w:p>
    <w:p>
      <w:pPr>
        <w:pStyle w:val="ListParagraph"/>
        <w:ind w:left="900"/>
        <w:contextualSpacing/>
        <w:jc w:val="both"/>
        <w:rPr>
          <w:lang w:val="en-PH"/>
        </w:rPr>
      </w:pPr>
    </w:p>
    <w:p>
      <w:pPr>
        <w:pStyle w:val="ListParagraph"/>
        <w:numPr>
          <w:ilvl w:val="0"/>
          <w:numId w:val="9"/>
        </w:numPr>
        <w:ind w:left="1260"/>
        <w:contextualSpacing/>
        <w:jc w:val="both"/>
        <w:rPr>
          <w:lang w:val="en-PH"/>
        </w:rPr>
      </w:pPr>
      <w:r>
        <w:rPr>
          <w:lang w:val="en-PH"/>
        </w:rPr>
        <w:t>Submit the documents enumerated in paragraph 4.7 to establish the validity of the Swiss Challenge;</w:t>
      </w:r>
    </w:p>
    <w:p>
      <w:pPr>
        <w:pStyle w:val="ListParagraph"/>
        <w:ind w:left="900"/>
        <w:contextualSpacing/>
        <w:jc w:val="both"/>
        <w:rPr>
          <w:lang w:val="en-PH"/>
        </w:rPr>
      </w:pPr>
    </w:p>
    <w:p>
      <w:pPr>
        <w:pStyle w:val="ListParagraph"/>
        <w:numPr>
          <w:ilvl w:val="0"/>
          <w:numId w:val="9"/>
        </w:numPr>
        <w:ind w:left="1260"/>
        <w:contextualSpacing/>
        <w:jc w:val="both"/>
        <w:rPr>
          <w:lang w:val="en-PH"/>
        </w:rPr>
      </w:pPr>
      <w:r>
        <w:rPr>
          <w:lang w:val="en-PH"/>
        </w:rPr>
        <w:t xml:space="preserve">Rescind the JVA in view of the continuing failure of the JBROS to perform its obligations under this JVA and in order to realize beneficial gain from the herein </w:t>
      </w:r>
      <w:proofErr w:type="spellStart"/>
      <w:r>
        <w:rPr>
          <w:lang w:val="en-PH"/>
        </w:rPr>
        <w:t>Arroceros</w:t>
      </w:r>
      <w:proofErr w:type="spellEnd"/>
      <w:r>
        <w:rPr>
          <w:lang w:val="en-PH"/>
        </w:rPr>
        <w:t xml:space="preserve"> Compound; and</w:t>
      </w:r>
    </w:p>
    <w:p>
      <w:pPr>
        <w:pStyle w:val="ListParagraph"/>
        <w:ind w:left="900"/>
        <w:contextualSpacing/>
        <w:jc w:val="both"/>
        <w:rPr>
          <w:lang w:val="en-PH"/>
        </w:rPr>
      </w:pPr>
    </w:p>
    <w:p>
      <w:pPr>
        <w:pStyle w:val="ListParagraph"/>
        <w:numPr>
          <w:ilvl w:val="0"/>
          <w:numId w:val="9"/>
        </w:numPr>
        <w:ind w:left="1260"/>
        <w:contextualSpacing/>
        <w:jc w:val="both"/>
        <w:rPr>
          <w:lang w:val="en-PH"/>
        </w:rPr>
      </w:pPr>
      <w:r>
        <w:rPr>
          <w:lang w:val="en-PH"/>
        </w:rPr>
        <w:t>Prospectively, protect reasonably the interest of the City by ensuring that JVAs are adequately bonded</w:t>
      </w:r>
      <w:r>
        <w:t>.</w:t>
      </w:r>
    </w:p>
    <w:p>
      <w:pPr>
        <w:ind w:left="540"/>
        <w:jc w:val="both"/>
        <w:rPr>
          <w:bCs/>
          <w:iCs/>
        </w:rPr>
      </w:pPr>
    </w:p>
    <w:p>
      <w:pPr>
        <w:ind w:left="540"/>
        <w:jc w:val="both"/>
      </w:pPr>
      <w:r>
        <w:t xml:space="preserve">The aforementioned observations together with the corresponding recommendations were discussed with Management officials concerned during the exit conference on </w:t>
      </w:r>
      <w:r>
        <w:rPr>
          <w:lang w:val="en-PH"/>
        </w:rPr>
        <w:t>August 5,</w:t>
      </w:r>
      <w:r>
        <w:t xml:space="preserve"> 2021. Management views and comments were incorporated in the report, where appropriate. </w:t>
      </w:r>
    </w:p>
    <w:p>
      <w:pPr>
        <w:pStyle w:val="ListParagraph"/>
        <w:widowControl w:val="0"/>
        <w:tabs>
          <w:tab w:val="left" w:pos="6075"/>
        </w:tabs>
        <w:overflowPunct w:val="0"/>
        <w:autoSpaceDE w:val="0"/>
        <w:autoSpaceDN w:val="0"/>
        <w:adjustRightInd w:val="0"/>
        <w:ind w:left="1260"/>
        <w:contextualSpacing/>
        <w:jc w:val="both"/>
        <w:rPr>
          <w:shd w:val="clear" w:color="auto" w:fill="FFFFFF"/>
        </w:rPr>
      </w:pPr>
      <w:r>
        <w:rPr>
          <w:shd w:val="clear" w:color="auto" w:fill="FFFFFF"/>
        </w:rPr>
        <w:tab/>
      </w:r>
    </w:p>
    <w:p>
      <w:pPr>
        <w:pStyle w:val="NoSpacing"/>
        <w:jc w:val="both"/>
        <w:rPr>
          <w:rFonts w:ascii="Times New Roman" w:hAnsi="Times New Roman"/>
          <w:b/>
          <w:sz w:val="24"/>
          <w:szCs w:val="24"/>
        </w:rPr>
      </w:pPr>
    </w:p>
    <w:p>
      <w:pPr>
        <w:pStyle w:val="NoSpacing"/>
        <w:numPr>
          <w:ilvl w:val="0"/>
          <w:numId w:val="1"/>
        </w:numPr>
        <w:ind w:left="540" w:hanging="540"/>
        <w:jc w:val="both"/>
        <w:rPr>
          <w:rFonts w:ascii="Times New Roman" w:hAnsi="Times New Roman"/>
          <w:b/>
          <w:sz w:val="24"/>
          <w:szCs w:val="24"/>
        </w:rPr>
      </w:pPr>
      <w:r>
        <w:rPr>
          <w:rFonts w:ascii="Times New Roman" w:hAnsi="Times New Roman"/>
          <w:b/>
          <w:sz w:val="24"/>
          <w:szCs w:val="24"/>
        </w:rPr>
        <w:t>Summary of Suspensions, Disallowances and Charges as of year-end</w:t>
      </w:r>
    </w:p>
    <w:p>
      <w:pPr>
        <w:ind w:left="540" w:hanging="540"/>
        <w:rPr>
          <w:b/>
          <w:i/>
        </w:rPr>
      </w:pPr>
    </w:p>
    <w:p>
      <w:pPr>
        <w:ind w:left="540"/>
        <w:jc w:val="both"/>
      </w:pPr>
      <w:r>
        <w:t>The audit suspensions, disallowances and charges amounting to P42.538 million, P67.166 million and P31.317 million, respectively, remained unsettled by the concerned officers/employees and third parties determined to be liable thereto due to the inability of the Management to fully enforce settlement of the same as required under Section 7.1.1 of COA Circular No. 2009-006 dated</w:t>
      </w:r>
      <w:r>
        <w:rPr>
          <w:lang w:val="en-PH"/>
        </w:rPr>
        <w:t xml:space="preserve"> </w:t>
      </w:r>
      <w:r>
        <w:t>September 15, 2009.</w:t>
      </w:r>
    </w:p>
    <w:p>
      <w:pPr>
        <w:rPr>
          <w:b/>
        </w:rPr>
      </w:pPr>
    </w:p>
    <w:p>
      <w:pPr>
        <w:rPr>
          <w:b/>
        </w:rPr>
      </w:pPr>
    </w:p>
    <w:p>
      <w:pPr>
        <w:pStyle w:val="NoSpacing"/>
        <w:numPr>
          <w:ilvl w:val="0"/>
          <w:numId w:val="1"/>
        </w:numPr>
        <w:ind w:left="540" w:hanging="540"/>
        <w:jc w:val="both"/>
        <w:rPr>
          <w:rFonts w:ascii="Times New Roman" w:hAnsi="Times New Roman"/>
          <w:b/>
          <w:sz w:val="24"/>
          <w:szCs w:val="24"/>
        </w:rPr>
      </w:pPr>
      <w:r>
        <w:rPr>
          <w:rFonts w:ascii="Times New Roman" w:hAnsi="Times New Roman"/>
          <w:b/>
          <w:sz w:val="24"/>
          <w:szCs w:val="24"/>
        </w:rPr>
        <w:t>Status of Implementation of Prior Years’ Audit Recommendations</w:t>
      </w:r>
    </w:p>
    <w:p>
      <w:pPr>
        <w:tabs>
          <w:tab w:val="left" w:pos="360"/>
        </w:tabs>
        <w:rPr>
          <w:b/>
        </w:rPr>
      </w:pPr>
    </w:p>
    <w:p>
      <w:pPr>
        <w:ind w:left="540"/>
        <w:jc w:val="both"/>
      </w:pPr>
      <w:bookmarkStart w:id="3" w:name="_Hlk79945479"/>
      <w:r>
        <w:t>Of the 79 prior years’ audit recommendations contained in the 2017, 2018 and 2019 Annual Audit Reports, 23 or 29.11 percent were fully implemented, 32 or                40.51 percent were partially implemented and 24 or 30.38 percent were unimplemented.</w:t>
      </w:r>
      <w:bookmarkEnd w:id="3"/>
    </w:p>
    <w:p>
      <w:pPr>
        <w:ind w:left="540"/>
        <w:jc w:val="both"/>
      </w:pPr>
    </w:p>
    <w:p>
      <w:pPr>
        <w:ind w:left="540"/>
        <w:jc w:val="both"/>
      </w:pPr>
    </w:p>
    <w:p>
      <w:pPr>
        <w:ind w:left="540"/>
        <w:jc w:val="both"/>
      </w:pPr>
    </w:p>
    <w:sectPr>
      <w:footerReference w:type="even" r:id="rId9"/>
      <w:footerReference w:type="default" r:id="rId10"/>
      <w:pgSz w:w="12240" w:h="15840"/>
      <w:pgMar w:top="1440" w:right="1440" w:bottom="1440" w:left="2160" w:header="720" w:footer="720" w:gutter="0"/>
      <w:pgNumType w:fmt="lowerRoman"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4</w:t>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Footer"/>
      <w:jc w:val="cente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PAGE   \* MERGEFORMAT </w:instrText>
    </w:r>
    <w:r>
      <w:rPr>
        <w:rFonts w:ascii="Arial" w:hAnsi="Arial" w:cs="Arial"/>
        <w:sz w:val="20"/>
        <w:szCs w:val="20"/>
      </w:rPr>
      <w:fldChar w:fldCharType="separate"/>
    </w:r>
    <w:r>
      <w:rPr>
        <w:rFonts w:ascii="Arial" w:hAnsi="Arial" w:cs="Arial"/>
        <w:noProof/>
        <w:sz w:val="20"/>
        <w:szCs w:val="20"/>
      </w:rPr>
      <w:t>vi</w:t>
    </w:r>
    <w:r>
      <w:rPr>
        <w:rFonts w:ascii="Arial" w:hAnsi="Arial" w:cs="Arial"/>
        <w:sz w:val="20"/>
        <w:szCs w:val="20"/>
      </w:rPr>
      <w:fldChar w:fldCharType="end"/>
    </w:r>
  </w:p>
  <w:p>
    <w:pPr>
      <w:pStyle w:val="Footer"/>
      <w:jc w:val="center"/>
      <w:rPr>
        <w:rFonts w:ascii="Arial" w:hAnsi="Arial" w:cs="Arial"/>
        <w:b/>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4271F5"/>
    <w:multiLevelType w:val="multilevel"/>
    <w:tmpl w:val="224271F5"/>
    <w:lvl w:ilvl="0">
      <w:start w:val="1"/>
      <w:numFmt w:val="bullet"/>
      <w:lvlText w:val=""/>
      <w:lvlJc w:val="left"/>
      <w:pPr>
        <w:ind w:left="720" w:hanging="360"/>
      </w:pPr>
      <w:rPr>
        <w:rFonts w:ascii="Symbol" w:hAnsi="Symbol"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3955345"/>
    <w:multiLevelType w:val="multilevel"/>
    <w:tmpl w:val="23955345"/>
    <w:lvl w:ilvl="0">
      <w:start w:val="1"/>
      <w:numFmt w:val="decimal"/>
      <w:lvlText w:val="%1."/>
      <w:lvlJc w:val="right"/>
      <w:pPr>
        <w:ind w:left="1440" w:hanging="360"/>
      </w:pPr>
      <w:rPr>
        <w:rFonts w:hint="default"/>
      </w:rPr>
    </w:lvl>
    <w:lvl w:ilvl="1">
      <w:start w:val="1"/>
      <w:numFmt w:val="lowerLetter"/>
      <w:lvlText w:val="%2."/>
      <w:lvlJc w:val="left"/>
      <w:pPr>
        <w:ind w:left="2160" w:hanging="360"/>
      </w:pPr>
    </w:lvl>
    <w:lvl w:ilvl="2">
      <w:start w:val="1"/>
      <w:numFmt w:val="lowerLetter"/>
      <w:lvlText w:val="%3."/>
      <w:lvlJc w:val="lef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24A46DD1"/>
    <w:multiLevelType w:val="multilevel"/>
    <w:tmpl w:val="24A46DD1"/>
    <w:lvl w:ilvl="0">
      <w:start w:val="1"/>
      <w:numFmt w:val="decimal"/>
      <w:lvlText w:val="%1."/>
      <w:lvlJc w:val="left"/>
      <w:pPr>
        <w:ind w:left="720" w:hanging="360"/>
      </w:pPr>
      <w:rPr>
        <w:rFonts w:hint="default"/>
        <w:b w:val="0"/>
        <w:bCs w:val="0"/>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0D0503F"/>
    <w:multiLevelType w:val="multilevel"/>
    <w:tmpl w:val="30D0503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D69142D"/>
    <w:multiLevelType w:val="multilevel"/>
    <w:tmpl w:val="3D69142D"/>
    <w:lvl w:ilvl="0">
      <w:start w:val="1"/>
      <w:numFmt w:val="upperLetter"/>
      <w:lvlText w:val="%1."/>
      <w:lvlJc w:val="left"/>
      <w:pPr>
        <w:ind w:left="720" w:hanging="360"/>
      </w:pPr>
      <w:rPr>
        <w:rFonts w:ascii="Times New Roman" w:hAnsi="Times New Roman" w:cs="Times New Roman" w:hint="default"/>
        <w:b/>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5127BE9"/>
    <w:multiLevelType w:val="multilevel"/>
    <w:tmpl w:val="45127BE9"/>
    <w:lvl w:ilvl="0">
      <w:start w:val="1"/>
      <w:numFmt w:val="lowerLetter"/>
      <w:lvlText w:val="%1."/>
      <w:lvlJc w:val="left"/>
      <w:pPr>
        <w:ind w:left="555" w:hanging="15"/>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 w15:restartNumberingAfterBreak="0">
    <w:nsid w:val="4AC247BA"/>
    <w:multiLevelType w:val="multilevel"/>
    <w:tmpl w:val="4AC247BA"/>
    <w:lvl w:ilvl="0">
      <w:start w:val="1"/>
      <w:numFmt w:val="decimal"/>
      <w:lvlText w:val="%1."/>
      <w:lvlJc w:val="left"/>
      <w:pPr>
        <w:ind w:left="720" w:hanging="36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BD46E04"/>
    <w:multiLevelType w:val="multilevel"/>
    <w:tmpl w:val="6BD46E04"/>
    <w:lvl w:ilvl="0">
      <w:start w:val="1"/>
      <w:numFmt w:val="decimal"/>
      <w:lvlText w:val="%1."/>
      <w:lvlJc w:val="right"/>
      <w:pPr>
        <w:ind w:left="1440" w:hanging="360"/>
      </w:pPr>
      <w:rPr>
        <w:rFonts w:hint="default"/>
      </w:rPr>
    </w:lvl>
    <w:lvl w:ilvl="1">
      <w:start w:val="1"/>
      <w:numFmt w:val="lowerLetter"/>
      <w:lvlText w:val="%2."/>
      <w:lvlJc w:val="left"/>
      <w:pPr>
        <w:ind w:left="2160" w:hanging="360"/>
      </w:pPr>
    </w:lvl>
    <w:lvl w:ilvl="2">
      <w:start w:val="1"/>
      <w:numFmt w:val="lowerLetter"/>
      <w:lvlText w:val="%3."/>
      <w:lvlJc w:val="lef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78BD4536"/>
    <w:multiLevelType w:val="multilevel"/>
    <w:tmpl w:val="78BD4536"/>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num w:numId="1">
    <w:abstractNumId w:val="4"/>
  </w:num>
  <w:num w:numId="2">
    <w:abstractNumId w:val="5"/>
  </w:num>
  <w:num w:numId="3">
    <w:abstractNumId w:val="0"/>
  </w:num>
  <w:num w:numId="4">
    <w:abstractNumId w:val="6"/>
  </w:num>
  <w:num w:numId="5">
    <w:abstractNumId w:val="1"/>
  </w:num>
  <w:num w:numId="6">
    <w:abstractNumId w:val="7"/>
  </w:num>
  <w:num w:numId="7">
    <w:abstractNumId w:val="2"/>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enforcement="1" w:cryptProviderType="rsaAES" w:cryptAlgorithmClass="hash" w:cryptAlgorithmType="typeAny" w:cryptAlgorithmSid="14" w:cryptSpinCount="100000" w:hash="pXYWmdZTMQrYkZxRkR1ACbWoV4ve+9S1Q+2iAgeRpRkxGRyzkCMd7GkFf6JNvndWVIacOJ0QEatnXFkdEpk5DA==" w:salt="ZhnHD09EL6CIhao5uIsojQ=="/>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EFD103-7462-4BF9-813C-1404DD7F0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qFormat/>
    <w:pPr>
      <w:tabs>
        <w:tab w:val="center" w:pos="4320"/>
        <w:tab w:val="right" w:pos="8640"/>
      </w:tabs>
    </w:pPr>
    <w:rPr>
      <w:lang w:eastAsia="zh-CN"/>
    </w:r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napToGrid w:val="0"/>
    </w:pPr>
    <w:rPr>
      <w:sz w:val="18"/>
      <w:szCs w:val="18"/>
    </w:rPr>
  </w:style>
  <w:style w:type="paragraph" w:styleId="Header">
    <w:name w:val="header"/>
    <w:basedOn w:val="Normal"/>
    <w:link w:val="HeaderChar"/>
    <w:uiPriority w:val="99"/>
    <w:unhideWhenUsed/>
    <w:qFormat/>
    <w:pPr>
      <w:tabs>
        <w:tab w:val="center" w:pos="4680"/>
        <w:tab w:val="right" w:pos="9360"/>
      </w:tabs>
    </w:pPr>
  </w:style>
  <w:style w:type="character" w:styleId="PageNumber">
    <w:name w:val="page number"/>
    <w:qFormat/>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b/>
      <w:lang w:eastAsia="zh-CN"/>
    </w:rPr>
  </w:style>
  <w:style w:type="character" w:customStyle="1" w:styleId="TitleChar">
    <w:name w:val="Title Char"/>
    <w:basedOn w:val="DefaultParagraphFont"/>
    <w:link w:val="Title"/>
    <w:qFormat/>
    <w:rPr>
      <w:rFonts w:ascii="Times New Roman" w:eastAsia="Times New Roman" w:hAnsi="Times New Roman" w:cs="Times New Roman"/>
      <w:b/>
      <w:sz w:val="24"/>
      <w:szCs w:val="24"/>
      <w:lang w:val="en-US" w:eastAsia="zh-CN"/>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lang w:val="en-US" w:eastAsia="zh-CN"/>
    </w:rPr>
  </w:style>
  <w:style w:type="paragraph" w:styleId="ListParagraph">
    <w:name w:val="List Paragraph"/>
    <w:basedOn w:val="Normal"/>
    <w:link w:val="ListParagraphChar"/>
    <w:uiPriority w:val="34"/>
    <w:qFormat/>
    <w:pPr>
      <w:ind w:left="720"/>
    </w:pPr>
  </w:style>
  <w:style w:type="paragraph" w:styleId="NoSpacing">
    <w:name w:val="No Spacing"/>
    <w:link w:val="NoSpacingChar"/>
    <w:uiPriority w:val="1"/>
    <w:qFormat/>
    <w:rPr>
      <w:rFonts w:ascii="Calibri" w:eastAsia="Calibri" w:hAnsi="Calibri"/>
      <w:sz w:val="22"/>
      <w:szCs w:val="22"/>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lang w:val="en-US"/>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lang w:val="en-US"/>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lang w:val="en-US"/>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lang w:val="en-US"/>
    </w:rPr>
  </w:style>
  <w:style w:type="paragraph" w:customStyle="1" w:styleId="Revision1">
    <w:name w:val="Revision1"/>
    <w:hidden/>
    <w:uiPriority w:val="99"/>
    <w:semiHidden/>
    <w:qFormat/>
    <w:rPr>
      <w:rFonts w:eastAsia="Times New Roman"/>
      <w:sz w:val="24"/>
      <w:szCs w:val="24"/>
    </w:rPr>
  </w:style>
  <w:style w:type="character" w:customStyle="1" w:styleId="NoSpacingChar">
    <w:name w:val="No Spacing Char"/>
    <w:link w:val="NoSpacing"/>
    <w:uiPriority w:val="1"/>
    <w:qFormat/>
    <w:rPr>
      <w:rFonts w:ascii="Calibri" w:eastAsia="Calibri" w:hAnsi="Calibri" w:cs="Times New Roman"/>
      <w:lang w:val="en-US"/>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lang w:val="en-US"/>
    </w:rPr>
  </w:style>
  <w:style w:type="character" w:customStyle="1" w:styleId="FootnoteTextChar">
    <w:name w:val="Footnote Text Char"/>
    <w:basedOn w:val="DefaultParagraphFont"/>
    <w:link w:val="FootnoteText"/>
    <w:uiPriority w:val="99"/>
    <w:semiHidden/>
    <w:qFormat/>
    <w:rPr>
      <w:rFonts w:eastAsia="Times New Roman"/>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61665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013D12-0813-47AE-A6D4-573704C77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1668</Words>
  <Characters>9512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Executive Summary</vt:lpstr>
    </vt:vector>
  </TitlesOfParts>
  <Company/>
  <LinksUpToDate>false</LinksUpToDate>
  <CharactersWithSpaces>11158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COA - Manila City</dc:creator>
  <cp:lastModifiedBy>Mario B. Bacoco</cp:lastModifiedBy>
  <cp:revision>5</cp:revision>
  <cp:lastPrinted>2021-08-25T05:05:00Z</cp:lastPrinted>
  <dcterms:created xsi:type="dcterms:W3CDTF">2021-08-25T07:21:00Z</dcterms:created>
  <dcterms:modified xsi:type="dcterms:W3CDTF">2021-08-26T00:47:00Z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1033-11.2.0.10224</vt:lpwstr>
  </property>
</Properties>
</file>