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0" w:line="240" w:lineRule="auto"/>
        <w:jc w:val="center"/>
        <w:rPr>
          <w:rFonts w:ascii="Times New Roman" w:hAnsi="Times New Roman"/>
          <w:sz w:val="28"/>
        </w:rPr>
      </w:pPr>
      <w:bookmarkStart w:id="0" w:name="_GoBack"/>
      <w:bookmarkEnd w:id="0"/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TABLE OF CONTENTS</w:t>
      </w:r>
    </w:p>
    <w:p>
      <w:pPr>
        <w:spacing w:after="0" w:line="240" w:lineRule="auto"/>
        <w:rPr>
          <w:rFonts w:ascii="Times New Roman" w:hAnsi="Times New Roman"/>
        </w:rPr>
      </w:pPr>
    </w:p>
    <w:p>
      <w:pPr>
        <w:spacing w:after="0" w:line="240" w:lineRule="auto"/>
        <w:rPr>
          <w:rFonts w:ascii="Times New Roman" w:hAnsi="Times New Roman"/>
        </w:rPr>
      </w:pP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tabs>
          <w:tab w:val="left" w:pos="36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     Audited Financial Statements</w:t>
      </w:r>
    </w:p>
    <w:p>
      <w:pPr>
        <w:tabs>
          <w:tab w:val="left" w:pos="54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Independent Auditor’s Report</w:t>
      </w:r>
      <w:r>
        <w:rPr>
          <w:rFonts w:ascii="Times New Roman" w:hAnsi="Times New Roman"/>
          <w:sz w:val="24"/>
          <w:szCs w:val="24"/>
        </w:rPr>
        <w:tab/>
        <w:t>1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 Management Responsibility for Financial Statements</w:t>
      </w:r>
      <w:r>
        <w:rPr>
          <w:rFonts w:ascii="Times New Roman" w:hAnsi="Times New Roman"/>
          <w:sz w:val="24"/>
          <w:szCs w:val="24"/>
        </w:rPr>
        <w:tab/>
        <w:t>4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Financial Position</w:t>
      </w:r>
      <w:r>
        <w:rPr>
          <w:rFonts w:ascii="Times New Roman" w:hAnsi="Times New Roman"/>
          <w:sz w:val="24"/>
          <w:szCs w:val="24"/>
        </w:rPr>
        <w:tab/>
        <w:t>5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Financial Performance</w:t>
      </w:r>
      <w:r>
        <w:rPr>
          <w:rFonts w:ascii="Times New Roman" w:hAnsi="Times New Roman"/>
          <w:sz w:val="24"/>
          <w:szCs w:val="24"/>
        </w:rPr>
        <w:tab/>
        <w:t>6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Changes in Net Assets/Equity</w:t>
      </w:r>
      <w:r>
        <w:rPr>
          <w:rFonts w:ascii="Times New Roman" w:hAnsi="Times New Roman"/>
          <w:sz w:val="24"/>
          <w:szCs w:val="24"/>
        </w:rPr>
        <w:tab/>
        <w:t>7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Cash Flows</w:t>
      </w:r>
      <w:r>
        <w:rPr>
          <w:rFonts w:ascii="Times New Roman" w:hAnsi="Times New Roman"/>
          <w:sz w:val="24"/>
          <w:szCs w:val="24"/>
        </w:rPr>
        <w:tab/>
        <w:t>8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Statement of Comparison of Budget and Actual Amounts</w:t>
      </w:r>
      <w:r>
        <w:rPr>
          <w:rFonts w:ascii="Times New Roman" w:hAnsi="Times New Roman"/>
          <w:sz w:val="24"/>
          <w:szCs w:val="24"/>
        </w:rPr>
        <w:tab/>
        <w:t>9</w:t>
      </w:r>
    </w:p>
    <w:p>
      <w:pPr>
        <w:numPr>
          <w:ilvl w:val="0"/>
          <w:numId w:val="1"/>
        </w:numPr>
        <w:tabs>
          <w:tab w:val="left" w:pos="990"/>
          <w:tab w:val="left" w:pos="8280"/>
        </w:tabs>
        <w:spacing w:after="0" w:line="240" w:lineRule="auto"/>
        <w:ind w:left="810" w:firstLine="0"/>
        <w:contextualSpacing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Notes to Financial Statements</w:t>
      </w:r>
      <w:r>
        <w:rPr>
          <w:rFonts w:ascii="Times New Roman" w:hAnsi="Times New Roman"/>
          <w:sz w:val="24"/>
          <w:szCs w:val="24"/>
        </w:rPr>
        <w:tab/>
        <w:t>11</w:t>
      </w:r>
    </w:p>
    <w:p>
      <w:pPr>
        <w:tabs>
          <w:tab w:val="left" w:pos="540"/>
        </w:tabs>
        <w:spacing w:after="0" w:line="240" w:lineRule="auto"/>
        <w:ind w:left="540"/>
        <w:rPr>
          <w:rFonts w:ascii="Times New Roman" w:hAnsi="Times New Roman"/>
          <w:sz w:val="24"/>
          <w:szCs w:val="24"/>
        </w:rPr>
      </w:pPr>
    </w:p>
    <w:p>
      <w:pPr>
        <w:tabs>
          <w:tab w:val="left" w:pos="450"/>
          <w:tab w:val="left" w:pos="82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</w:t>
      </w:r>
      <w:r>
        <w:rPr>
          <w:rFonts w:ascii="Times New Roman" w:hAnsi="Times New Roman"/>
          <w:sz w:val="24"/>
          <w:szCs w:val="24"/>
        </w:rPr>
        <w:tab/>
        <w:t>Observations and Recommendations</w:t>
      </w:r>
      <w:r>
        <w:rPr>
          <w:rFonts w:ascii="Times New Roman" w:hAnsi="Times New Roman"/>
          <w:sz w:val="24"/>
          <w:szCs w:val="24"/>
        </w:rPr>
        <w:tab/>
        <w:t>69</w:t>
      </w:r>
    </w:p>
    <w:p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tabs>
          <w:tab w:val="left" w:pos="450"/>
          <w:tab w:val="left" w:pos="82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III</w:t>
      </w:r>
      <w:r>
        <w:rPr>
          <w:rFonts w:ascii="Times New Roman" w:hAnsi="Times New Roman"/>
          <w:sz w:val="24"/>
          <w:szCs w:val="24"/>
        </w:rPr>
        <w:tab/>
        <w:t>Status of Implementation of Prior Years’ Audit Recommendations</w:t>
      </w:r>
      <w:r>
        <w:rPr>
          <w:rFonts w:ascii="Times New Roman" w:hAnsi="Times New Roman"/>
          <w:sz w:val="24"/>
          <w:szCs w:val="24"/>
        </w:rPr>
        <w:tab/>
        <w:t>89</w:t>
      </w:r>
    </w:p>
    <w:p>
      <w:pPr>
        <w:tabs>
          <w:tab w:val="left" w:pos="540"/>
          <w:tab w:val="left" w:pos="900"/>
        </w:tabs>
        <w:spacing w:after="0" w:line="240" w:lineRule="auto"/>
        <w:rPr>
          <w:rFonts w:ascii="Times New Roman" w:hAnsi="Times New Roman"/>
          <w:sz w:val="24"/>
          <w:szCs w:val="24"/>
        </w:rPr>
      </w:pPr>
    </w:p>
    <w:p>
      <w:pPr>
        <w:tabs>
          <w:tab w:val="left" w:pos="45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IV</w:t>
      </w:r>
      <w:r>
        <w:rPr>
          <w:rFonts w:ascii="Times New Roman" w:hAnsi="Times New Roman"/>
          <w:sz w:val="24"/>
          <w:szCs w:val="24"/>
        </w:rPr>
        <w:tab/>
        <w:t>Annexes</w:t>
      </w: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sz w:val="28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PART I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AUDITED FINANCIAL STATEMENTS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PART II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OBSERVATIONS AND RECOMMENDATIONS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PART III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STATUS OF IMPLEMENTATION OF PRIOR YEARS’ AUDIT RECOMMENDATIONS</w:t>
      </w: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</w:rPr>
      </w:pPr>
    </w:p>
    <w:p>
      <w:pPr>
        <w:spacing w:after="0" w:line="240" w:lineRule="auto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jc w:val="center"/>
        <w:rPr>
          <w:rFonts w:ascii="Times New Roman" w:hAnsi="Times New Roman"/>
          <w:b/>
          <w:sz w:val="32"/>
          <w:szCs w:val="32"/>
        </w:rPr>
      </w:pPr>
    </w:p>
    <w:p>
      <w:pPr>
        <w:spacing w:after="0" w:line="240" w:lineRule="auto"/>
        <w:rPr>
          <w:rFonts w:ascii="Times New Roman" w:hAnsi="Times New Roman"/>
          <w:b/>
          <w:sz w:val="40"/>
          <w:szCs w:val="40"/>
        </w:rPr>
      </w:pPr>
    </w:p>
    <w:p>
      <w:pPr>
        <w:spacing w:after="0" w:line="240" w:lineRule="auto"/>
        <w:ind w:right="56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PART IV</w:t>
      </w:r>
    </w:p>
    <w:p>
      <w:pPr>
        <w:spacing w:after="0" w:line="240" w:lineRule="auto"/>
        <w:ind w:right="560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ind w:right="560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ANNEXES</w:t>
      </w:r>
    </w:p>
    <w:p>
      <w:pPr>
        <w:ind w:left="1418"/>
        <w:jc w:val="center"/>
        <w:rPr>
          <w:rFonts w:ascii="Times New Roman" w:hAnsi="Times New Roman"/>
          <w:b/>
          <w:sz w:val="40"/>
          <w:szCs w:val="40"/>
        </w:rPr>
      </w:pP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Financial Position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Financial Performance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Changes in Net Assets/Equity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Cash Flows (By Fund)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Comparison of Budget and Actual Amounts – GF</w:t>
      </w:r>
    </w:p>
    <w:p>
      <w:pPr>
        <w:pStyle w:val="ListParagraph"/>
        <w:numPr>
          <w:ilvl w:val="0"/>
          <w:numId w:val="2"/>
        </w:numPr>
        <w:spacing w:after="120" w:line="360" w:lineRule="auto"/>
        <w:ind w:left="1260" w:hanging="476"/>
      </w:pPr>
      <w:r>
        <w:t>Statement of Comparison of Budget and Actual Amounts – SEF</w:t>
      </w:r>
    </w:p>
    <w:sectPr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A524F0"/>
    <w:multiLevelType w:val="hybridMultilevel"/>
    <w:tmpl w:val="7270A1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D7619"/>
    <w:multiLevelType w:val="hybridMultilevel"/>
    <w:tmpl w:val="C3EE14DA"/>
    <w:lvl w:ilvl="0" w:tplc="04090015">
      <w:start w:val="1"/>
      <w:numFmt w:val="upperLetter"/>
      <w:lvlText w:val="%1."/>
      <w:lvlJc w:val="left"/>
      <w:pPr>
        <w:ind w:left="1352" w:hanging="360"/>
      </w:pPr>
      <w:rPr>
        <w:rFonts w:hint="default"/>
      </w:rPr>
    </w:lvl>
    <w:lvl w:ilvl="1" w:tplc="F546374C">
      <w:start w:val="1"/>
      <w:numFmt w:val="upperLetter"/>
      <w:lvlText w:val="%2.1"/>
      <w:lvlJc w:val="left"/>
      <w:pPr>
        <w:ind w:left="153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250" w:hanging="180"/>
      </w:pPr>
    </w:lvl>
    <w:lvl w:ilvl="3" w:tplc="3409000F" w:tentative="1">
      <w:start w:val="1"/>
      <w:numFmt w:val="decimal"/>
      <w:lvlText w:val="%4."/>
      <w:lvlJc w:val="left"/>
      <w:pPr>
        <w:ind w:left="2970" w:hanging="360"/>
      </w:pPr>
    </w:lvl>
    <w:lvl w:ilvl="4" w:tplc="34090019" w:tentative="1">
      <w:start w:val="1"/>
      <w:numFmt w:val="lowerLetter"/>
      <w:lvlText w:val="%5."/>
      <w:lvlJc w:val="left"/>
      <w:pPr>
        <w:ind w:left="3690" w:hanging="360"/>
      </w:pPr>
    </w:lvl>
    <w:lvl w:ilvl="5" w:tplc="3409001B" w:tentative="1">
      <w:start w:val="1"/>
      <w:numFmt w:val="lowerRoman"/>
      <w:lvlText w:val="%6."/>
      <w:lvlJc w:val="right"/>
      <w:pPr>
        <w:ind w:left="4410" w:hanging="180"/>
      </w:pPr>
    </w:lvl>
    <w:lvl w:ilvl="6" w:tplc="3409000F" w:tentative="1">
      <w:start w:val="1"/>
      <w:numFmt w:val="decimal"/>
      <w:lvlText w:val="%7."/>
      <w:lvlJc w:val="left"/>
      <w:pPr>
        <w:ind w:left="5130" w:hanging="360"/>
      </w:pPr>
    </w:lvl>
    <w:lvl w:ilvl="7" w:tplc="34090019" w:tentative="1">
      <w:start w:val="1"/>
      <w:numFmt w:val="lowerLetter"/>
      <w:lvlText w:val="%8."/>
      <w:lvlJc w:val="left"/>
      <w:pPr>
        <w:ind w:left="5850" w:hanging="360"/>
      </w:pPr>
    </w:lvl>
    <w:lvl w:ilvl="8" w:tplc="3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35D106A"/>
    <w:multiLevelType w:val="hybridMultilevel"/>
    <w:tmpl w:val="1D0CC9E2"/>
    <w:lvl w:ilvl="0" w:tplc="D8D87B48">
      <w:start w:val="1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257AA"/>
    <w:multiLevelType w:val="hybridMultilevel"/>
    <w:tmpl w:val="6E563FA0"/>
    <w:lvl w:ilvl="0" w:tplc="A67A3562">
      <w:start w:val="4"/>
      <w:numFmt w:val="upperLetter"/>
      <w:lvlText w:val="%1.2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C0CEB"/>
    <w:multiLevelType w:val="hybridMultilevel"/>
    <w:tmpl w:val="923EF402"/>
    <w:lvl w:ilvl="0" w:tplc="FE628616">
      <w:start w:val="2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5C630F"/>
    <w:multiLevelType w:val="hybridMultilevel"/>
    <w:tmpl w:val="127EC406"/>
    <w:lvl w:ilvl="0" w:tplc="DEBC8554">
      <w:start w:val="4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FF43FE"/>
    <w:multiLevelType w:val="hybridMultilevel"/>
    <w:tmpl w:val="4BA6B090"/>
    <w:lvl w:ilvl="0" w:tplc="A502D700">
      <w:start w:val="5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1133D4"/>
    <w:multiLevelType w:val="hybridMultilevel"/>
    <w:tmpl w:val="02DE46B8"/>
    <w:lvl w:ilvl="0" w:tplc="A75AC60E">
      <w:start w:val="3"/>
      <w:numFmt w:val="upperLetter"/>
      <w:lvlText w:val="%1.1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kpAixaxqly0uZvzKu68cMonvqcvn+GW2Us5zKaylyJjCjBWa+hOjMkxHA/5ZrvkCJ2/mxMj0cJV4ZEdfLEpCMQ==" w:salt="IKP5dwVCrdnUkO9X2bkVQ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15F1C6-6749-4F95-9094-91390580B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Times New Roman"/>
      <w:lang w:val="fil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sz w:val="16"/>
      <w:szCs w:val="16"/>
      <w:lang w:val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Table of Contents</vt:lpstr>
    </vt:vector>
  </TitlesOfParts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of Contents</dc:title>
  <dc:creator>COA - Manila City</dc:creator>
  <cp:lastModifiedBy>Mario B. Bacoco</cp:lastModifiedBy>
  <cp:revision>5</cp:revision>
  <cp:lastPrinted>2021-08-25T06:10:00Z</cp:lastPrinted>
  <dcterms:created xsi:type="dcterms:W3CDTF">2021-08-25T07:26:00Z</dcterms:created>
  <dcterms:modified xsi:type="dcterms:W3CDTF">2021-08-26T00:47:00Z</dcterms:modified>
  <cp:contentStatus/>
</cp:coreProperties>
</file>