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3"/>
        <w:rPr>
          <w:rFonts w:ascii="Times New Roman" w:hAnsi="Times New Roman" w:cs="Times New Roman"/>
          <w:b w:val="0"/>
          <w:bCs w:val="0"/>
        </w:rPr>
      </w:pPr>
      <w:bookmarkStart w:id="0" w:name="_GoBack"/>
      <w:bookmarkEnd w:id="0"/>
      <w:r>
        <w:rPr>
          <w:i/>
          <w:noProof/>
        </w:rPr>
        <w:drawing>
          <wp:anchor distT="0" distB="0" distL="114300" distR="114300" simplePos="0" relativeHeight="251659264" behindDoc="0" locked="0" layoutInCell="1" allowOverlap="1">
            <wp:simplePos x="0" y="0"/>
            <wp:positionH relativeFrom="column">
              <wp:posOffset>504825</wp:posOffset>
            </wp:positionH>
            <wp:positionV relativeFrom="paragraph">
              <wp:posOffset>-95250</wp:posOffset>
            </wp:positionV>
            <wp:extent cx="826770" cy="7848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6770" cy="7848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val="0"/>
          <w:bCs w:val="0"/>
        </w:rPr>
        <w:t>Republic of the Philippines</w:t>
      </w:r>
    </w:p>
    <w:p>
      <w:pPr>
        <w:pStyle w:val="Heading2"/>
        <w:rPr>
          <w:rFonts w:ascii="Times New Roman" w:hAnsi="Times New Roman" w:cs="Times New Roman"/>
          <w:sz w:val="28"/>
          <w:szCs w:val="28"/>
        </w:rPr>
      </w:pPr>
      <w:r>
        <w:rPr>
          <w:rFonts w:ascii="Times New Roman" w:hAnsi="Times New Roman" w:cs="Times New Roman"/>
          <w:sz w:val="28"/>
          <w:szCs w:val="28"/>
        </w:rPr>
        <w:t>COMMISSION ON AUDIT</w:t>
      </w:r>
    </w:p>
    <w:p>
      <w:pPr>
        <w:pStyle w:val="Heading3"/>
        <w:rPr>
          <w:rFonts w:ascii="Times New Roman" w:hAnsi="Times New Roman" w:cs="Times New Roman"/>
          <w:b w:val="0"/>
          <w:bCs w:val="0"/>
        </w:rPr>
      </w:pPr>
      <w:r>
        <w:rPr>
          <w:rFonts w:ascii="Times New Roman" w:hAnsi="Times New Roman" w:cs="Times New Roman"/>
          <w:b w:val="0"/>
          <w:bCs w:val="0"/>
        </w:rPr>
        <w:t>Commonwealth Avenue, Quezon City</w:t>
      </w:r>
    </w:p>
    <w:p>
      <w:pPr>
        <w:tabs>
          <w:tab w:val="left" w:pos="3720"/>
        </w:tabs>
        <w:rPr>
          <w:rFonts w:ascii="Arial" w:hAnsi="Arial" w:cs="Arial"/>
          <w:b/>
          <w:bCs/>
        </w:rPr>
      </w:pPr>
      <w:r>
        <w:rPr>
          <w:rFonts w:ascii="Arial" w:hAnsi="Arial" w:cs="Arial"/>
          <w:b/>
          <w:bCs/>
        </w:rPr>
        <w:tab/>
      </w:r>
    </w:p>
    <w:p>
      <w:pPr>
        <w:tabs>
          <w:tab w:val="left" w:pos="3720"/>
        </w:tabs>
        <w:rPr>
          <w:rFonts w:ascii="Arial" w:hAnsi="Arial" w:cs="Arial"/>
          <w:b/>
          <w:bCs/>
        </w:rPr>
      </w:pPr>
    </w:p>
    <w:p>
      <w:pPr>
        <w:tabs>
          <w:tab w:val="left" w:pos="3720"/>
        </w:tabs>
        <w:rPr>
          <w:rFonts w:ascii="Arial" w:hAnsi="Arial" w:cs="Arial"/>
          <w:b/>
          <w:bCs/>
        </w:rPr>
      </w:pPr>
    </w:p>
    <w:p>
      <w:pPr>
        <w:pStyle w:val="Title"/>
        <w:jc w:val="left"/>
        <w:rPr>
          <w:rFonts w:ascii="Times New Roman" w:hAnsi="Times New Roman" w:cs="Times New Roman"/>
          <w:sz w:val="24"/>
        </w:rPr>
      </w:pPr>
      <w:r>
        <w:rPr>
          <w:rFonts w:ascii="Times New Roman" w:hAnsi="Times New Roman" w:cs="Times New Roman"/>
          <w:sz w:val="24"/>
        </w:rPr>
        <w:t>INDEPENDENT AUDITOR’S REPORT</w:t>
      </w:r>
    </w:p>
    <w:p>
      <w:pPr>
        <w:jc w:val="both"/>
        <w:rPr>
          <w:b/>
        </w:rPr>
      </w:pPr>
    </w:p>
    <w:p>
      <w:pPr>
        <w:jc w:val="both"/>
        <w:rPr>
          <w:b/>
        </w:rPr>
      </w:pPr>
    </w:p>
    <w:p>
      <w:pPr>
        <w:jc w:val="both"/>
        <w:rPr>
          <w:b/>
        </w:rPr>
      </w:pPr>
      <w:r>
        <w:rPr>
          <w:b/>
        </w:rPr>
        <w:t>Mayor FRANCISCO “ISKO MORENO” DOMAGOSO</w:t>
      </w:r>
    </w:p>
    <w:p>
      <w:pPr>
        <w:jc w:val="both"/>
      </w:pPr>
      <w:r>
        <w:t>City of Manila</w:t>
      </w:r>
    </w:p>
    <w:p>
      <w:pPr>
        <w:jc w:val="both"/>
      </w:pPr>
    </w:p>
    <w:p>
      <w:pPr>
        <w:jc w:val="both"/>
        <w:rPr>
          <w:i/>
        </w:rPr>
      </w:pPr>
    </w:p>
    <w:p>
      <w:pPr>
        <w:rPr>
          <w:b/>
          <w:i/>
        </w:rPr>
      </w:pPr>
      <w:r>
        <w:rPr>
          <w:b/>
          <w:i/>
        </w:rPr>
        <w:t>Qualified Opinion</w:t>
      </w:r>
    </w:p>
    <w:p/>
    <w:p>
      <w:pPr>
        <w:pStyle w:val="Default"/>
        <w:jc w:val="both"/>
      </w:pPr>
      <w:r>
        <w:t xml:space="preserve">We   have    audited    the    financial    statements of the </w:t>
      </w:r>
      <w:r>
        <w:rPr>
          <w:bCs/>
        </w:rPr>
        <w:t>City of Manila</w:t>
      </w:r>
      <w:r>
        <w:t>, which comprise the Statement of Financial Position as at December 31, 2020, and the Statement of Financial Performance, Statement of Changes in Net Assets/Equity, and Statement of Cash Flows, for the year then ended, and the Notes to Financial Statements, including a summary of significant accounting policies and other explanatory information.</w:t>
      </w:r>
    </w:p>
    <w:p/>
    <w:p>
      <w:pPr>
        <w:pStyle w:val="Default"/>
        <w:jc w:val="both"/>
      </w:pPr>
      <w:r>
        <w:t xml:space="preserve">In our opinion, except for the effects and possible effects of the matters discussed in the </w:t>
      </w:r>
      <w:r>
        <w:rPr>
          <w:i/>
        </w:rPr>
        <w:t>Basis for Qualified Opinion</w:t>
      </w:r>
      <w:r>
        <w:t xml:space="preserve"> section of our report, the accompanying financial statements present fairly, in all material respects, the financial position of the City of Manila as at  December 31, 2020, and its financial performance, cash flows, changes in net assets/equity, for the year then ended, and notes to financial statements in accordance with International Public Sector Accounting Standards (IPSAS).</w:t>
      </w:r>
    </w:p>
    <w:p/>
    <w:p/>
    <w:p>
      <w:pPr>
        <w:jc w:val="both"/>
        <w:rPr>
          <w:color w:val="000000"/>
          <w:lang w:val="en-PH"/>
        </w:rPr>
      </w:pPr>
      <w:r>
        <w:rPr>
          <w:b/>
          <w:i/>
        </w:rPr>
        <w:t>Basis for Qualified Opinion</w:t>
      </w:r>
      <w:r>
        <w:rPr>
          <w:color w:val="000000"/>
          <w:lang w:val="en-PH"/>
        </w:rPr>
        <w:t xml:space="preserve"> </w:t>
      </w:r>
    </w:p>
    <w:p>
      <w:pPr>
        <w:jc w:val="both"/>
        <w:rPr>
          <w:color w:val="000000"/>
          <w:lang w:val="en-PH"/>
        </w:rPr>
      </w:pPr>
    </w:p>
    <w:p>
      <w:pPr>
        <w:jc w:val="both"/>
        <w:rPr>
          <w:color w:val="000000"/>
          <w:lang w:val="en-PH"/>
        </w:rPr>
      </w:pPr>
      <w:r>
        <w:rPr>
          <w:color w:val="000000"/>
          <w:lang w:val="en-PH"/>
        </w:rPr>
        <w:t xml:space="preserve">Accounting errors in recording cash-in-bank (CiB) transactions amounting to </w:t>
      </w:r>
      <w:r>
        <w:rPr>
          <w:color w:val="000000"/>
          <w:lang w:val="en-PH"/>
        </w:rPr>
        <w:br/>
        <w:t>P66.815</w:t>
      </w:r>
      <w:r>
        <w:rPr>
          <w:color w:val="000000"/>
          <w:lang w:val="en-PH" w:eastAsia="zh-CN"/>
        </w:rPr>
        <w:t xml:space="preserve"> million</w:t>
      </w:r>
      <w:r>
        <w:rPr>
          <w:color w:val="000000"/>
          <w:lang w:val="en-PH"/>
        </w:rPr>
        <w:t xml:space="preserve"> resulted in the misstatement of affected CiB accounts and weighed on the fair presentation of these accounts in the City’s Financial Statements (FS).</w:t>
      </w:r>
    </w:p>
    <w:p>
      <w:pPr>
        <w:jc w:val="both"/>
        <w:rPr>
          <w:color w:val="000000"/>
          <w:lang w:val="en-PH"/>
        </w:rPr>
      </w:pPr>
    </w:p>
    <w:p>
      <w:pPr>
        <w:jc w:val="both"/>
        <w:rPr>
          <w:color w:val="000000"/>
          <w:lang w:val="en-PH"/>
        </w:rPr>
      </w:pPr>
      <w:r>
        <w:rPr>
          <w:color w:val="000000"/>
        </w:rPr>
        <w:t>Moreover</w:t>
      </w:r>
      <w:r>
        <w:rPr>
          <w:color w:val="000000"/>
          <w:lang w:val="en-PH"/>
        </w:rPr>
        <w:t>, deficiencies in accounting for property, plant and equipment (PPE) undermine the quality of PPE information presented in the City’s FS.</w:t>
      </w:r>
    </w:p>
    <w:p>
      <w:pPr>
        <w:pStyle w:val="ListParagraph"/>
        <w:ind w:left="0"/>
        <w:jc w:val="both"/>
      </w:pPr>
    </w:p>
    <w:p>
      <w:pPr>
        <w:pStyle w:val="ListParagraph"/>
        <w:ind w:left="0" w:right="-43"/>
        <w:contextualSpacing w:val="0"/>
        <w:jc w:val="both"/>
        <w:rPr>
          <w:bCs/>
        </w:rPr>
      </w:pPr>
      <w:r>
        <w:rPr>
          <w:bCs/>
        </w:rPr>
        <w:t xml:space="preserve">We conducted our audit in accordance with International Standards of Supreme Audit Institutions (ISSAIs). Our responsibilities under those standards are further described in the </w:t>
      </w:r>
      <w:r>
        <w:rPr>
          <w:bCs/>
          <w:i/>
        </w:rPr>
        <w:t>Auditor's Responsibilities for the Audit of the Financial Statements</w:t>
      </w:r>
      <w:r>
        <w:rPr>
          <w:bCs/>
        </w:rPr>
        <w:t xml:space="preserve"> section of our report. We are independent of the agency in accordance with the Revised Code of Conduct and Ethical Standards for Commission on Audit Officials and employees (Code of Ethics) together with the ethical requirements that are relevant to our audit of the financial statements, and we have fulfilled our other ethical responsibilities in accordance with these </w:t>
      </w:r>
      <w:r>
        <w:rPr>
          <w:bCs/>
        </w:rPr>
        <w:lastRenderedPageBreak/>
        <w:t>requirements. We believe that the audit evidence we have obtained is sufficient and appropriate to provide a basis for our qualified opinion.</w:t>
      </w:r>
    </w:p>
    <w:p>
      <w:pPr>
        <w:tabs>
          <w:tab w:val="num" w:pos="702"/>
        </w:tabs>
        <w:jc w:val="both"/>
        <w:rPr>
          <w:b/>
          <w:bCs/>
          <w:i/>
          <w:iCs/>
        </w:rPr>
      </w:pPr>
    </w:p>
    <w:p>
      <w:pPr>
        <w:tabs>
          <w:tab w:val="num" w:pos="702"/>
        </w:tabs>
        <w:jc w:val="both"/>
        <w:rPr>
          <w:b/>
          <w:bCs/>
          <w:i/>
          <w:iCs/>
        </w:rPr>
      </w:pPr>
    </w:p>
    <w:p>
      <w:pPr>
        <w:tabs>
          <w:tab w:val="num" w:pos="702"/>
        </w:tabs>
        <w:jc w:val="both"/>
        <w:rPr>
          <w:b/>
          <w:bCs/>
          <w:i/>
          <w:iCs/>
        </w:rPr>
      </w:pPr>
      <w:r>
        <w:rPr>
          <w:b/>
          <w:bCs/>
          <w:i/>
          <w:iCs/>
        </w:rPr>
        <w:t>Emphasis of Matter Paragraph</w:t>
      </w:r>
    </w:p>
    <w:p>
      <w:pPr>
        <w:tabs>
          <w:tab w:val="num" w:pos="702"/>
        </w:tabs>
        <w:jc w:val="both"/>
      </w:pPr>
    </w:p>
    <w:p>
      <w:pPr>
        <w:tabs>
          <w:tab w:val="num" w:pos="702"/>
        </w:tabs>
        <w:jc w:val="both"/>
      </w:pPr>
      <w:r>
        <w:t>Without modifying our opinion, we draw attention to Note 30 of the Notes to Financial Statements, which explains that the restated financial statements for the year ended December 31, 2019 have been restated from those which we originally reported on</w:t>
      </w:r>
      <w:r>
        <w:br/>
        <w:t>September 28, 2020.</w:t>
      </w:r>
    </w:p>
    <w:p>
      <w:pPr>
        <w:tabs>
          <w:tab w:val="left" w:pos="702"/>
        </w:tabs>
        <w:jc w:val="both"/>
        <w:rPr>
          <w:b/>
          <w:i/>
        </w:rPr>
      </w:pPr>
    </w:p>
    <w:p>
      <w:pPr>
        <w:tabs>
          <w:tab w:val="left" w:pos="702"/>
        </w:tabs>
        <w:jc w:val="both"/>
        <w:rPr>
          <w:b/>
          <w:i/>
        </w:rPr>
      </w:pPr>
    </w:p>
    <w:p>
      <w:pPr>
        <w:tabs>
          <w:tab w:val="left" w:pos="702"/>
        </w:tabs>
        <w:jc w:val="both"/>
        <w:rPr>
          <w:b/>
          <w:i/>
        </w:rPr>
      </w:pPr>
      <w:r>
        <w:rPr>
          <w:b/>
          <w:i/>
        </w:rPr>
        <w:t xml:space="preserve">Responsibilities of Management and Those Charged </w:t>
      </w:r>
    </w:p>
    <w:p>
      <w:pPr>
        <w:tabs>
          <w:tab w:val="left" w:pos="702"/>
        </w:tabs>
        <w:jc w:val="both"/>
        <w:rPr>
          <w:b/>
          <w:i/>
        </w:rPr>
      </w:pPr>
      <w:r>
        <w:rPr>
          <w:b/>
          <w:i/>
        </w:rPr>
        <w:t xml:space="preserve">with Governance for the Financial Statements </w:t>
      </w:r>
    </w:p>
    <w:p>
      <w:pPr>
        <w:tabs>
          <w:tab w:val="left" w:pos="702"/>
        </w:tabs>
        <w:jc w:val="both"/>
      </w:pPr>
    </w:p>
    <w:p>
      <w:pPr>
        <w:tabs>
          <w:tab w:val="left" w:pos="702"/>
        </w:tabs>
        <w:jc w:val="both"/>
      </w:pPr>
      <w:r>
        <w:t>Management is responsible for the preparation and fair presentation of the financial statements in accordance with IPSAS, and for such internal control as management determines is necessary to enable the preparation of financial statements that are free from material misstatement, whether due to fraud or error.</w:t>
      </w:r>
    </w:p>
    <w:p>
      <w:pPr>
        <w:tabs>
          <w:tab w:val="left" w:pos="702"/>
        </w:tabs>
        <w:jc w:val="both"/>
      </w:pPr>
    </w:p>
    <w:p>
      <w:pPr>
        <w:tabs>
          <w:tab w:val="left" w:pos="702"/>
        </w:tabs>
        <w:jc w:val="both"/>
      </w:pPr>
      <w:r>
        <w:t>Those charged with governance are responsible for overseeing the agency’s financial reporting process.</w:t>
      </w:r>
    </w:p>
    <w:p>
      <w:pPr>
        <w:tabs>
          <w:tab w:val="left" w:pos="702"/>
        </w:tabs>
        <w:jc w:val="both"/>
        <w:rPr>
          <w:b/>
          <w:i/>
        </w:rPr>
      </w:pPr>
    </w:p>
    <w:p>
      <w:pPr>
        <w:tabs>
          <w:tab w:val="left" w:pos="702"/>
        </w:tabs>
        <w:jc w:val="both"/>
        <w:rPr>
          <w:b/>
          <w:i/>
        </w:rPr>
      </w:pPr>
    </w:p>
    <w:p>
      <w:pPr>
        <w:tabs>
          <w:tab w:val="left" w:pos="702"/>
        </w:tabs>
        <w:jc w:val="both"/>
        <w:rPr>
          <w:b/>
          <w:i/>
        </w:rPr>
      </w:pPr>
      <w:r>
        <w:rPr>
          <w:b/>
          <w:i/>
        </w:rPr>
        <w:t>Auditor’s Responsibilities for the Audit of the Financial Statements</w:t>
      </w:r>
    </w:p>
    <w:p>
      <w:pPr>
        <w:tabs>
          <w:tab w:val="left" w:pos="702"/>
        </w:tabs>
        <w:jc w:val="both"/>
      </w:pPr>
    </w:p>
    <w:p>
      <w:pPr>
        <w:tabs>
          <w:tab w:val="left" w:pos="702"/>
        </w:tabs>
        <w:jc w:val="both"/>
      </w:pPr>
      <w:r>
        <w:t xml:space="preserve">Our objectives are to obtain reasonable assurance about whether the financial statements </w:t>
      </w:r>
      <w:r>
        <w:br/>
        <w:t xml:space="preserve">as a whole are free from material misstatement, whether due to fraud or error, and to issue an auditor’s report that includes our opinion. Reasonable assurance is a high level of assurance but is not a guarantee that an audit conducted in accordance with ISSAIs will always detect a material misstatement when it exists. Misstatements can arise from fraud or error and are considered material if, individually or in the aggregate, they could reasonably be expected to influence the economic decisions of users taken on the basis of </w:t>
      </w:r>
      <w:r>
        <w:br/>
        <w:t xml:space="preserve">these financial statements. </w:t>
      </w:r>
    </w:p>
    <w:p>
      <w:pPr>
        <w:tabs>
          <w:tab w:val="left" w:pos="702"/>
        </w:tabs>
        <w:jc w:val="both"/>
      </w:pPr>
    </w:p>
    <w:p>
      <w:pPr>
        <w:tabs>
          <w:tab w:val="num" w:pos="702"/>
        </w:tabs>
        <w:jc w:val="both"/>
      </w:pPr>
      <w:r>
        <w:t>As part of an audit in accordance with ISSAIs, we exercise professional judgment and maintain professional skepticism throughout the audit. We also:</w:t>
      </w:r>
    </w:p>
    <w:p>
      <w:pPr>
        <w:tabs>
          <w:tab w:val="num" w:pos="702"/>
        </w:tabs>
        <w:jc w:val="both"/>
      </w:pPr>
    </w:p>
    <w:p>
      <w:pPr>
        <w:pStyle w:val="ListParagraph"/>
        <w:numPr>
          <w:ilvl w:val="0"/>
          <w:numId w:val="1"/>
        </w:numPr>
        <w:ind w:left="360"/>
        <w:contextualSpacing w:val="0"/>
        <w:jc w:val="both"/>
      </w:pPr>
      <w: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pStyle w:val="ListParagraph"/>
        <w:ind w:left="360"/>
        <w:jc w:val="both"/>
      </w:pPr>
    </w:p>
    <w:p>
      <w:pPr>
        <w:pStyle w:val="ListParagraph"/>
        <w:numPr>
          <w:ilvl w:val="0"/>
          <w:numId w:val="1"/>
        </w:numPr>
        <w:ind w:left="360"/>
        <w:contextualSpacing w:val="0"/>
        <w:jc w:val="both"/>
      </w:pPr>
      <w:r>
        <w:lastRenderedPageBreak/>
        <w:t>Obtain an understanding of internal control relevant to the audit in order to design audit procedures that are appropriate in the circumstances, but not for the purpose of expressing an opinion on the effectiveness of the Company’s internal control;</w:t>
      </w:r>
    </w:p>
    <w:p>
      <w:pPr>
        <w:ind w:left="360"/>
        <w:jc w:val="both"/>
      </w:pPr>
    </w:p>
    <w:p>
      <w:pPr>
        <w:pStyle w:val="ListParagraph"/>
        <w:numPr>
          <w:ilvl w:val="0"/>
          <w:numId w:val="1"/>
        </w:numPr>
        <w:ind w:left="360"/>
        <w:contextualSpacing w:val="0"/>
        <w:jc w:val="both"/>
      </w:pPr>
      <w:r>
        <w:t>Evaluate the appropriateness of accounting policies used and the reasonableness of accounting estimates and related disclosures made by management; and</w:t>
      </w:r>
    </w:p>
    <w:p>
      <w:pPr>
        <w:jc w:val="both"/>
      </w:pPr>
    </w:p>
    <w:p>
      <w:pPr>
        <w:pStyle w:val="ListParagraph"/>
        <w:numPr>
          <w:ilvl w:val="0"/>
          <w:numId w:val="1"/>
        </w:numPr>
        <w:ind w:left="360"/>
        <w:contextualSpacing w:val="0"/>
        <w:jc w:val="both"/>
      </w:pPr>
      <w:r>
        <w:t>Evaluate the overall presentation, structure and content of the financial statements, including the disclosures, and whether the financial statements represent the underlying transactions and events in a manner that achieves fair presentation.</w:t>
      </w:r>
    </w:p>
    <w:p>
      <w:pPr>
        <w:jc w:val="both"/>
      </w:pPr>
    </w:p>
    <w:p>
      <w:pPr>
        <w:tabs>
          <w:tab w:val="num" w:pos="702"/>
        </w:tabs>
        <w:jc w:val="both"/>
      </w:pPr>
      <w:r>
        <w:t>We communicate with those charged with governance regarding, among other matters, the planned scope and timing of the audit and significant audit findings, including any significant deficiencies in internal control that we identify during our audit.</w:t>
      </w:r>
    </w:p>
    <w:p>
      <w:pPr>
        <w:tabs>
          <w:tab w:val="num" w:pos="702"/>
        </w:tabs>
        <w:jc w:val="both"/>
      </w:pPr>
    </w:p>
    <w:p>
      <w:pPr>
        <w:jc w:val="both"/>
      </w:pPr>
      <w: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Pr>
        <w:tabs>
          <w:tab w:val="left" w:pos="0"/>
        </w:tabs>
        <w:jc w:val="both"/>
      </w:pPr>
    </w:p>
    <w:p>
      <w:pPr>
        <w:tabs>
          <w:tab w:val="left" w:pos="0"/>
        </w:tabs>
        <w:jc w:val="both"/>
      </w:pPr>
    </w:p>
    <w:p>
      <w:pPr>
        <w:jc w:val="both"/>
        <w:rPr>
          <w:b/>
        </w:rPr>
      </w:pPr>
      <w:r>
        <w:rPr>
          <w:b/>
        </w:rPr>
        <w:t>COMMISSION ON AUDIT</w:t>
      </w:r>
    </w:p>
    <w:p>
      <w:pPr>
        <w:jc w:val="both"/>
        <w:rPr>
          <w:b/>
        </w:rPr>
      </w:pPr>
    </w:p>
    <w:p>
      <w:pPr>
        <w:jc w:val="both"/>
        <w:rPr>
          <w:b/>
        </w:rPr>
      </w:pPr>
      <w:r>
        <w:rPr>
          <w:noProof/>
        </w:rPr>
        <w:drawing>
          <wp:inline distT="0" distB="0" distL="0" distR="0">
            <wp:extent cx="1540736" cy="1476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1540736" cy="1476000"/>
                    </a:xfrm>
                    <a:prstGeom prst="rect">
                      <a:avLst/>
                    </a:prstGeom>
                  </pic:spPr>
                </pic:pic>
              </a:graphicData>
            </a:graphic>
          </wp:inline>
        </w:drawing>
      </w:r>
    </w:p>
    <w:p>
      <w:pPr>
        <w:jc w:val="both"/>
        <w:rPr>
          <w:b/>
        </w:rPr>
      </w:pPr>
    </w:p>
    <w:p>
      <w:pPr>
        <w:jc w:val="both"/>
        <w:rPr>
          <w:b/>
        </w:rPr>
      </w:pPr>
    </w:p>
    <w:p>
      <w:pPr>
        <w:jc w:val="both"/>
        <w:rPr>
          <w:b/>
        </w:rPr>
      </w:pPr>
    </w:p>
    <w:p>
      <w:pPr>
        <w:jc w:val="both"/>
        <w:rPr>
          <w:b/>
        </w:rPr>
      </w:pPr>
    </w:p>
    <w:sectPr>
      <w:footerReference w:type="default" r:id="rId12"/>
      <w:footerReference w:type="first" r:id="rId13"/>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0"/>
        <w:szCs w:val="20"/>
      </w:rPr>
      <w:id w:val="1152096419"/>
    </w:sdtPr>
    <w:sdtContent>
      <w:p>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noProof/>
            <w:sz w:val="20"/>
            <w:szCs w:val="20"/>
          </w:rPr>
          <w:t>3</w:t>
        </w:r>
        <w:r>
          <w:rPr>
            <w:rFonts w:ascii="Arial" w:hAnsi="Arial" w:cs="Arial"/>
            <w:sz w:val="20"/>
            <w:szCs w:val="20"/>
          </w:rPr>
          <w:fldChar w:fldCharType="end"/>
        </w:r>
      </w:p>
    </w:sdtContent>
  </w:sdt>
  <w:p>
    <w:pPr>
      <w:pStyle w:val="Footer"/>
      <w:rPr>
        <w:rFonts w:ascii="Arial" w:hAnsi="Arial" w:cs="Arial"/>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pPr>
  </w:p>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6421CB"/>
    <w:multiLevelType w:val="hybridMultilevel"/>
    <w:tmpl w:val="3DB6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cryptProviderType="rsaAES" w:cryptAlgorithmClass="hash" w:cryptAlgorithmType="typeAny" w:cryptAlgorithmSid="14" w:cryptSpinCount="100000" w:hash="BEZ2qIF9sBMQz3TaJR5tjkt/ixCFDsdoCv7PPpaUUwA8rCcHCw92bY3rWXtJNc8ViiFa61HszPtMLp8lKGJwtw==" w:salt="bBbio8jwIy+8OaYxwCLm/g=="/>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07C435F0-B01A-469D-A868-0CE6CC04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2">
    <w:name w:val="heading 2"/>
    <w:basedOn w:val="Normal"/>
    <w:next w:val="Normal"/>
    <w:link w:val="Heading2Char"/>
    <w:qFormat/>
    <w:pPr>
      <w:keepNext/>
      <w:jc w:val="center"/>
      <w:outlineLvl w:val="1"/>
    </w:pPr>
    <w:rPr>
      <w:rFonts w:ascii="Arial" w:hAnsi="Arial" w:cs="Arial"/>
      <w:b/>
      <w:bCs/>
      <w:sz w:val="36"/>
      <w:szCs w:val="36"/>
    </w:rPr>
  </w:style>
  <w:style w:type="paragraph" w:styleId="Heading3">
    <w:name w:val="heading 3"/>
    <w:basedOn w:val="Normal"/>
    <w:next w:val="Normal"/>
    <w:link w:val="Heading3Char"/>
    <w:qFormat/>
    <w:pPr>
      <w:keepNext/>
      <w:jc w:val="center"/>
      <w:outlineLvl w:val="2"/>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lockText">
    <w:name w:val="Block Text"/>
    <w:basedOn w:val="Normal"/>
    <w:semiHidden/>
    <w:qFormat/>
    <w:pPr>
      <w:tabs>
        <w:tab w:val="left" w:pos="720"/>
        <w:tab w:val="left" w:pos="5632"/>
      </w:tabs>
      <w:ind w:left="1080" w:right="72"/>
      <w:jc w:val="both"/>
    </w:pPr>
  </w:style>
  <w:style w:type="paragraph" w:styleId="BodyText">
    <w:name w:val="Body Text"/>
    <w:basedOn w:val="Normal"/>
    <w:link w:val="BodyTextChar"/>
    <w:qFormat/>
    <w:pPr>
      <w:spacing w:after="120"/>
    </w:pPr>
  </w:style>
  <w:style w:type="paragraph" w:styleId="BodyText2">
    <w:name w:val="Body Text 2"/>
    <w:basedOn w:val="Normal"/>
    <w:qFormat/>
    <w:pPr>
      <w:spacing w:after="120" w:line="48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rFonts w:ascii="Arial" w:hAnsi="Arial" w:cs="Arial"/>
      <w:b/>
      <w:bCs/>
      <w:sz w:val="28"/>
      <w:szCs w:val="28"/>
    </w:rPr>
  </w:style>
  <w:style w:type="character" w:customStyle="1" w:styleId="Heading2Char">
    <w:name w:val="Heading 2 Char"/>
    <w:basedOn w:val="DefaultParagraphFont"/>
    <w:link w:val="Heading2"/>
    <w:qFormat/>
    <w:rPr>
      <w:rFonts w:ascii="Arial" w:eastAsia="Times New Roman" w:hAnsi="Arial" w:cs="Arial"/>
      <w:b/>
      <w:bCs/>
      <w:sz w:val="36"/>
      <w:szCs w:val="36"/>
      <w:lang w:val="en-US"/>
    </w:rPr>
  </w:style>
  <w:style w:type="character" w:customStyle="1" w:styleId="Heading3Char">
    <w:name w:val="Heading 3 Char"/>
    <w:basedOn w:val="DefaultParagraphFont"/>
    <w:link w:val="Heading3"/>
    <w:qFormat/>
    <w:rPr>
      <w:rFonts w:ascii="Arial" w:eastAsia="Times New Roman" w:hAnsi="Arial" w:cs="Arial"/>
      <w:b/>
      <w:bCs/>
      <w:sz w:val="24"/>
      <w:szCs w:val="24"/>
      <w:lang w:val="en-US"/>
    </w:rPr>
  </w:style>
  <w:style w:type="character" w:customStyle="1" w:styleId="TitleChar">
    <w:name w:val="Title Char"/>
    <w:basedOn w:val="DefaultParagraphFont"/>
    <w:link w:val="Title"/>
    <w:qFormat/>
    <w:rPr>
      <w:rFonts w:ascii="Arial" w:eastAsia="Times New Roman" w:hAnsi="Arial" w:cs="Arial"/>
      <w:b/>
      <w:bCs/>
      <w:sz w:val="28"/>
      <w:szCs w:val="28"/>
      <w:lang w:val="en-US"/>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Pr>
      <w:rFonts w:ascii="Times New Roman" w:eastAsia="Times New Roman" w:hAnsi="Times New Roman"/>
      <w:sz w:val="24"/>
      <w:szCs w:val="24"/>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sz w:val="24"/>
      <w:szCs w:val="24"/>
      <w:lang w:val="en-US" w:eastAsia="en-US"/>
    </w:rPr>
  </w:style>
  <w:style w:type="paragraph" w:styleId="ListParagraph">
    <w:name w:val="List Paragraph"/>
    <w:basedOn w:val="Normal"/>
    <w:link w:val="ListParagraphChar"/>
    <w:uiPriority w:val="34"/>
    <w:qFormat/>
    <w:pPr>
      <w:ind w:left="720"/>
      <w:contextualSpacing/>
    </w:pPr>
  </w:style>
  <w:style w:type="paragraph" w:customStyle="1" w:styleId="September30">
    <w:name w:val="September 30"/>
    <w:basedOn w:val="Normal"/>
    <w:qFormat/>
    <w:rPr>
      <w:rFonts w:cs="Angsana New"/>
    </w:rPr>
  </w:style>
  <w:style w:type="paragraph" w:styleId="NoSpacing">
    <w:name w:val="No Spacing"/>
    <w:link w:val="NoSpacingChar"/>
    <w:uiPriority w:val="1"/>
    <w:qFormat/>
    <w:rPr>
      <w:rFonts w:ascii="Calibri" w:eastAsia="Calibri" w:hAnsi="Calibri"/>
      <w:sz w:val="22"/>
      <w:szCs w:val="22"/>
    </w:rPr>
  </w:style>
  <w:style w:type="character" w:customStyle="1" w:styleId="NoSpacingChar">
    <w:name w:val="No Spacing Char"/>
    <w:basedOn w:val="DefaultParagraphFont"/>
    <w:link w:val="NoSpacing"/>
    <w:uiPriority w:val="1"/>
    <w:qFormat/>
    <w:rPr>
      <w:sz w:val="22"/>
      <w:szCs w:val="22"/>
      <w:lang w:val="en-US" w:eastAsia="en-US"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Default">
    <w:name w:val="Default"/>
    <w:qFormat/>
    <w:pPr>
      <w:autoSpaceDE w:val="0"/>
      <w:autoSpaceDN w:val="0"/>
      <w:adjustRightInd w:val="0"/>
    </w:pPr>
    <w:rPr>
      <w:rFonts w:eastAsiaTheme="minorHAnsi"/>
      <w:color w:val="000000"/>
      <w:sz w:val="24"/>
      <w:szCs w:val="24"/>
      <w:lang w:val="en-PH"/>
    </w:rPr>
  </w:style>
  <w:style w:type="character" w:customStyle="1" w:styleId="ListParagraphChar">
    <w:name w:val="List Paragraph Char"/>
    <w:link w:val="ListParagraph"/>
    <w:uiPriority w:val="34"/>
    <w:qFormat/>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ABCC14-7F75-4760-AD6E-078C62DC7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Independent Auditor's Report</vt:lpstr>
    </vt:vector>
  </TitlesOfParts>
  <Company/>
  <LinksUpToDate>false</LinksUpToDate>
  <CharactersWithSpaces>5739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Auditor's Report</dc:title>
  <dc:creator>COA - Manila City</dc:creator>
  <cp:lastModifiedBy>Mario B. Bacoco</cp:lastModifiedBy>
  <cp:revision>6</cp:revision>
  <cp:lastPrinted>2021-08-25T06:55:00Z</cp:lastPrinted>
  <dcterms:created xsi:type="dcterms:W3CDTF">2021-08-25T07:19:00Z</dcterms:created>
  <dcterms:modified xsi:type="dcterms:W3CDTF">2021-08-26T00:47:00Z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1033-11.2.0.10224</vt:lpwstr>
  </property>
</Properties>
</file>