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NoSpacing"/>
        <w:jc w:val="center"/>
        <w:rPr>
          <w:rFonts w:ascii="Times New Roman" w:hAnsi="Times New Roman" w:cs="Times New Roman"/>
          <w:b/>
          <w:sz w:val="28"/>
          <w:szCs w:val="28"/>
          <w:u w:val="none"/>
        </w:rPr>
      </w:pPr>
      <w:bookmarkStart w:id="0" w:name="_Hlk10749512"/>
      <w:bookmarkStart w:id="1" w:name="_GoBack"/>
      <w:bookmarkEnd w:id="1"/>
      <w:r>
        <w:rPr>
          <w:rFonts w:ascii="Times New Roman" w:hAnsi="Times New Roman" w:cs="Times New Roman"/>
          <w:b/>
          <w:sz w:val="28"/>
          <w:szCs w:val="28"/>
          <w:u w:val="none"/>
        </w:rPr>
        <w:t>OBSERVATIONS AND RECOMMENDATIONS</w:t>
      </w:r>
    </w:p>
    <w:p>
      <w:pPr>
        <w:pStyle w:val="NoSpacing"/>
        <w:jc w:val="center"/>
        <w:rPr>
          <w:rFonts w:ascii="Times New Roman" w:hAnsi="Times New Roman" w:cs="Times New Roman"/>
          <w:b/>
          <w:sz w:val="20"/>
          <w:szCs w:val="24"/>
          <w:u w:val="none"/>
        </w:rPr>
      </w:pPr>
    </w:p>
    <w:p>
      <w:pPr>
        <w:ind w:firstLine="720"/>
        <w:jc w:val="both"/>
      </w:pPr>
      <w:r>
        <w:t>The audit covered the accounts and operations of the City Government of Manila (CGM) for the period January 1 to December 31, 2020. The objectives of the audit are to: (a) be able to lend credence to Management’s assertions on the financial statements (FS); (b) recommend agency improvement opportunities; (c) determine compliance with existing laws, rules and regulations; and (d) determine the extent of implementation of prior year’s audit recommendations.</w:t>
      </w:r>
    </w:p>
    <w:p>
      <w:pPr>
        <w:contextualSpacing/>
        <w:jc w:val="both"/>
        <w:rPr>
          <w:b/>
          <w:sz w:val="20"/>
        </w:rPr>
      </w:pPr>
    </w:p>
    <w:p>
      <w:pPr>
        <w:ind w:firstLine="720"/>
        <w:jc w:val="both"/>
        <w:rPr>
          <w:b/>
        </w:rPr>
      </w:pPr>
      <w:r>
        <w:rPr>
          <w:bCs/>
        </w:rPr>
        <w:t xml:space="preserve">The unresolved audit issues are presented herein together with the recommended courses of action, Management’s comments and audit rejoinder, where appropriate. These audit </w:t>
      </w:r>
      <w:r>
        <w:t>results were discussed with the City Management, concerned officers and personnel in an exit conference conducted on August 5, 2021.</w:t>
      </w:r>
    </w:p>
    <w:p>
      <w:pPr>
        <w:jc w:val="both"/>
        <w:rPr>
          <w:b/>
          <w:sz w:val="20"/>
        </w:rPr>
      </w:pPr>
    </w:p>
    <w:p>
      <w:pPr>
        <w:pStyle w:val="NoSpacing"/>
        <w:jc w:val="center"/>
        <w:rPr>
          <w:rFonts w:ascii="Times New Roman" w:hAnsi="Times New Roman" w:cs="Times New Roman"/>
          <w:b/>
          <w:sz w:val="20"/>
          <w:szCs w:val="24"/>
          <w:u w:val="none"/>
        </w:rPr>
      </w:pPr>
    </w:p>
    <w:p>
      <w:pPr>
        <w:pStyle w:val="NoSpacing"/>
        <w:rPr>
          <w:rFonts w:ascii="Times New Roman" w:hAnsi="Times New Roman" w:cs="Times New Roman"/>
          <w:b/>
          <w:sz w:val="24"/>
          <w:szCs w:val="24"/>
          <w:u w:val="none"/>
        </w:rPr>
      </w:pPr>
      <w:r>
        <w:rPr>
          <w:rFonts w:ascii="Times New Roman" w:hAnsi="Times New Roman" w:cs="Times New Roman"/>
          <w:b/>
          <w:sz w:val="24"/>
          <w:szCs w:val="24"/>
          <w:u w:val="none"/>
        </w:rPr>
        <w:t>FINANCIAL AND COMPLIANCE AUDIT</w:t>
      </w:r>
    </w:p>
    <w:p>
      <w:pPr>
        <w:contextualSpacing/>
        <w:jc w:val="both"/>
        <w:rPr>
          <w:b/>
          <w:sz w:val="20"/>
        </w:rPr>
      </w:pPr>
    </w:p>
    <w:p>
      <w:pPr>
        <w:pStyle w:val="ListParagraph"/>
        <w:numPr>
          <w:ilvl w:val="0"/>
          <w:numId w:val="1"/>
        </w:numPr>
        <w:tabs>
          <w:tab w:val="clear" w:pos="425"/>
          <w:tab w:val="left" w:pos="540"/>
        </w:tabs>
        <w:ind w:left="540" w:hanging="540"/>
        <w:jc w:val="both"/>
        <w:rPr>
          <w:b/>
          <w:lang w:val="en-PH"/>
        </w:rPr>
      </w:pPr>
      <w:r>
        <w:rPr>
          <w:b/>
          <w:lang w:val="en-PH"/>
        </w:rPr>
        <w:t>Accounting errors in recording cash-in-bank (</w:t>
      </w:r>
      <w:proofErr w:type="spellStart"/>
      <w:r>
        <w:rPr>
          <w:b/>
          <w:lang w:val="en-PH"/>
        </w:rPr>
        <w:t>CiB</w:t>
      </w:r>
      <w:proofErr w:type="spellEnd"/>
      <w:r>
        <w:rPr>
          <w:b/>
          <w:lang w:val="en-PH"/>
        </w:rPr>
        <w:t>) transactions amounting to P66.815 million</w:t>
      </w:r>
      <w:r>
        <w:rPr>
          <w:b/>
          <w:lang w:val="en-PH" w:eastAsia="zh-CN"/>
        </w:rPr>
        <w:t xml:space="preserve"> </w:t>
      </w:r>
      <w:r>
        <w:rPr>
          <w:b/>
          <w:lang w:val="en-PH"/>
        </w:rPr>
        <w:t xml:space="preserve">resulted in the misstatement of affected </w:t>
      </w:r>
      <w:proofErr w:type="spellStart"/>
      <w:r>
        <w:rPr>
          <w:b/>
          <w:lang w:val="en-PH"/>
        </w:rPr>
        <w:t>CiB</w:t>
      </w:r>
      <w:proofErr w:type="spellEnd"/>
      <w:r>
        <w:rPr>
          <w:b/>
          <w:lang w:val="en-PH"/>
        </w:rPr>
        <w:t xml:space="preserve"> accounts and weighed on the fair presentation of the</w:t>
      </w:r>
      <w:r>
        <w:rPr>
          <w:b/>
        </w:rPr>
        <w:t xml:space="preserve">se accounts in </w:t>
      </w:r>
      <w:r>
        <w:rPr>
          <w:b/>
          <w:lang w:val="en-PH"/>
        </w:rPr>
        <w:t xml:space="preserve">the </w:t>
      </w:r>
      <w:r>
        <w:rPr>
          <w:b/>
        </w:rPr>
        <w:t>City’s</w:t>
      </w:r>
      <w:r>
        <w:rPr>
          <w:b/>
          <w:lang w:val="en-PH"/>
        </w:rPr>
        <w:t xml:space="preserve"> F</w:t>
      </w:r>
      <w:r>
        <w:rPr>
          <w:b/>
        </w:rPr>
        <w:t xml:space="preserve">g </w:t>
      </w:r>
      <w:r>
        <w:rPr>
          <w:b/>
          <w:lang w:val="en-PH"/>
        </w:rPr>
        <w:t>St</w:t>
      </w:r>
      <w:proofErr w:type="spellStart"/>
      <w:r>
        <w:rPr>
          <w:b/>
        </w:rPr>
        <w:t>atements</w:t>
      </w:r>
      <w:proofErr w:type="spellEnd"/>
      <w:r>
        <w:rPr>
          <w:b/>
        </w:rPr>
        <w:t xml:space="preserve"> (FS)</w:t>
      </w:r>
      <w:r>
        <w:rPr>
          <w:b/>
          <w:lang w:val="en-PH"/>
        </w:rPr>
        <w:t xml:space="preserve">. </w:t>
      </w:r>
    </w:p>
    <w:p>
      <w:pPr>
        <w:pStyle w:val="NoSpacing"/>
        <w:jc w:val="both"/>
        <w:rPr>
          <w:rFonts w:ascii="Times New Roman" w:hAnsi="Times New Roman"/>
          <w:bCs/>
          <w:color w:val="000000"/>
          <w:sz w:val="20"/>
          <w:szCs w:val="24"/>
          <w:u w:val="none"/>
          <w:lang w:val="fil-PH"/>
        </w:rPr>
      </w:pPr>
    </w:p>
    <w:p>
      <w:pPr>
        <w:pStyle w:val="ListParagraph"/>
        <w:numPr>
          <w:ilvl w:val="1"/>
          <w:numId w:val="1"/>
        </w:numPr>
        <w:tabs>
          <w:tab w:val="left" w:pos="1200"/>
        </w:tabs>
        <w:ind w:left="1080" w:hanging="540"/>
        <w:jc w:val="both"/>
      </w:pPr>
      <w:r>
        <w:t>The International Public Sector Accounting Standards (IPSAS) requires that FS shall present fairly the financial position, financial performance and cash flows of an entity. Fair presentation requires the faithful presentation of the effects of transactions, other events and conditions in accordance with the definitions and recognition criteria for assets, liabilities, income and expenses set out in the IPSAS.</w:t>
      </w:r>
    </w:p>
    <w:p>
      <w:pPr>
        <w:ind w:left="450"/>
        <w:contextualSpacing/>
        <w:jc w:val="both"/>
      </w:pPr>
    </w:p>
    <w:p>
      <w:pPr>
        <w:pStyle w:val="ListParagraph"/>
        <w:numPr>
          <w:ilvl w:val="1"/>
          <w:numId w:val="1"/>
        </w:numPr>
        <w:tabs>
          <w:tab w:val="left" w:pos="1200"/>
        </w:tabs>
        <w:ind w:left="1080" w:hanging="540"/>
        <w:jc w:val="both"/>
        <w:rPr>
          <w:bCs/>
          <w:color w:val="000000"/>
          <w:lang w:val="fil-PH"/>
        </w:rPr>
      </w:pPr>
      <w:r>
        <w:rPr>
          <w:bCs/>
          <w:color w:val="000000"/>
          <w:lang w:val="fil-PH"/>
        </w:rPr>
        <w:t xml:space="preserve">Each government agency shall record its financial transactions and operations conformably </w:t>
      </w:r>
      <w:r>
        <w:rPr>
          <w:lang w:val="fil-PH"/>
        </w:rPr>
        <w:t xml:space="preserve">with </w:t>
      </w:r>
      <w:r>
        <w:rPr>
          <w:bCs/>
          <w:color w:val="000000"/>
          <w:lang w:val="fil-PH"/>
        </w:rPr>
        <w:t>the generally accepted accounting principles and in accordance with pertinent laws, rules and regulations.</w:t>
      </w:r>
    </w:p>
    <w:p>
      <w:pPr>
        <w:pStyle w:val="NoSpacing"/>
        <w:ind w:left="540" w:firstLine="720"/>
        <w:jc w:val="both"/>
        <w:rPr>
          <w:rFonts w:ascii="Times New Roman" w:hAnsi="Times New Roman"/>
          <w:sz w:val="20"/>
          <w:szCs w:val="24"/>
          <w:u w:val="none"/>
        </w:rPr>
      </w:pPr>
    </w:p>
    <w:p>
      <w:pPr>
        <w:pStyle w:val="ListParagraph"/>
        <w:numPr>
          <w:ilvl w:val="1"/>
          <w:numId w:val="1"/>
        </w:numPr>
        <w:tabs>
          <w:tab w:val="left" w:pos="1200"/>
        </w:tabs>
        <w:ind w:left="1080" w:hanging="540"/>
        <w:jc w:val="both"/>
      </w:pPr>
      <w:r>
        <w:t xml:space="preserve">On a test basis and based on the </w:t>
      </w:r>
      <w:r>
        <w:rPr>
          <w:lang w:val="en-PH"/>
        </w:rPr>
        <w:t xml:space="preserve">financial </w:t>
      </w:r>
      <w:r>
        <w:t>records submitted</w:t>
      </w:r>
      <w:r>
        <w:rPr>
          <w:lang w:val="en-PH"/>
        </w:rPr>
        <w:t xml:space="preserve"> by the City</w:t>
      </w:r>
      <w:r>
        <w:t xml:space="preserve">, we performed such standard audit procedures as review, examination, verification and analysis (among others) of the accounts presented in the </w:t>
      </w:r>
      <w:r>
        <w:rPr>
          <w:lang w:val="en-PH"/>
        </w:rPr>
        <w:t xml:space="preserve">City’s </w:t>
      </w:r>
      <w:r>
        <w:t xml:space="preserve">FS.  The audit showed </w:t>
      </w:r>
      <w:r>
        <w:rPr>
          <w:lang w:val="en-PH"/>
        </w:rPr>
        <w:t xml:space="preserve">the </w:t>
      </w:r>
      <w:r>
        <w:t xml:space="preserve">accounting errors </w:t>
      </w:r>
      <w:r>
        <w:rPr>
          <w:lang w:val="en-PH"/>
        </w:rPr>
        <w:t xml:space="preserve">in Table 1 </w:t>
      </w:r>
      <w:r>
        <w:t xml:space="preserve">totaling </w:t>
      </w:r>
      <w:r>
        <w:rPr>
          <w:bCs/>
          <w:lang w:val="en-PH"/>
        </w:rPr>
        <w:t>P</w:t>
      </w:r>
      <w:r>
        <w:rPr>
          <w:bCs/>
        </w:rPr>
        <w:t>66</w:t>
      </w:r>
      <w:proofErr w:type="gramStart"/>
      <w:r>
        <w:rPr>
          <w:bCs/>
        </w:rPr>
        <w:t>,815,141.99</w:t>
      </w:r>
      <w:proofErr w:type="gramEnd"/>
      <w:r>
        <w:rPr>
          <w:bCs/>
        </w:rPr>
        <w:t xml:space="preserve"> </w:t>
      </w:r>
      <w:r>
        <w:rPr>
          <w:lang w:val="en-PH"/>
        </w:rPr>
        <w:t xml:space="preserve">which </w:t>
      </w:r>
      <w:r>
        <w:rPr>
          <w:lang w:eastAsia="zh-CN"/>
        </w:rPr>
        <w:t>resulted in the misstatement of account balances</w:t>
      </w:r>
      <w:r>
        <w:rPr>
          <w:lang w:val="en-PH" w:eastAsia="zh-CN"/>
        </w:rPr>
        <w:t>/</w:t>
      </w:r>
      <w:r>
        <w:rPr>
          <w:lang w:eastAsia="zh-CN"/>
        </w:rPr>
        <w:t xml:space="preserve">carrying </w:t>
      </w:r>
      <w:r>
        <w:t>amounts</w:t>
      </w:r>
      <w:r>
        <w:rPr>
          <w:lang w:val="en-PH"/>
        </w:rPr>
        <w:t xml:space="preserve">. </w:t>
      </w:r>
    </w:p>
    <w:p>
      <w:pPr>
        <w:pStyle w:val="NoSpacing"/>
        <w:jc w:val="both"/>
        <w:rPr>
          <w:rFonts w:ascii="Times New Roman" w:hAnsi="Times New Roman"/>
          <w:color w:val="FF0000"/>
          <w:sz w:val="20"/>
          <w:szCs w:val="24"/>
          <w:u w:val="none"/>
        </w:rPr>
      </w:pPr>
    </w:p>
    <w:tbl>
      <w:tblPr>
        <w:tblW w:w="7541" w:type="dxa"/>
        <w:tblInd w:w="1095" w:type="dxa"/>
        <w:tblLayout w:type="fixed"/>
        <w:tblCellMar>
          <w:left w:w="0" w:type="dxa"/>
          <w:right w:w="0" w:type="dxa"/>
        </w:tblCellMar>
        <w:tblLook w:val="04A0" w:firstRow="1" w:lastRow="0" w:firstColumn="1" w:lastColumn="0" w:noHBand="0" w:noVBand="1"/>
      </w:tblPr>
      <w:tblGrid>
        <w:gridCol w:w="5679"/>
        <w:gridCol w:w="1862"/>
      </w:tblGrid>
      <w:tr>
        <w:trPr>
          <w:trHeight w:val="312"/>
          <w:tblHeader/>
        </w:trPr>
        <w:tc>
          <w:tcPr>
            <w:tcW w:w="5679" w:type="dxa"/>
            <w:tcBorders>
              <w:top w:val="nil"/>
              <w:left w:val="nil"/>
              <w:bottom w:val="single" w:sz="4" w:space="0" w:color="auto"/>
              <w:right w:val="nil"/>
            </w:tcBorders>
            <w:shd w:val="clear" w:color="auto" w:fill="auto"/>
            <w:tcMar>
              <w:top w:w="15" w:type="dxa"/>
              <w:left w:w="15" w:type="dxa"/>
              <w:right w:w="15" w:type="dxa"/>
            </w:tcMar>
            <w:vAlign w:val="center"/>
          </w:tcPr>
          <w:p>
            <w:pPr>
              <w:jc w:val="both"/>
              <w:textAlignment w:val="center"/>
              <w:rPr>
                <w:rFonts w:eastAsia="SimSun"/>
                <w:sz w:val="20"/>
                <w:szCs w:val="20"/>
                <w:lang w:val="en-PH" w:eastAsia="zh-CN"/>
              </w:rPr>
            </w:pPr>
            <w:r>
              <w:rPr>
                <w:rFonts w:eastAsia="SimSun"/>
                <w:sz w:val="20"/>
                <w:szCs w:val="20"/>
                <w:lang w:val="en-PH" w:eastAsia="zh-CN"/>
              </w:rPr>
              <w:t>Table 1 - Accounting errors</w:t>
            </w:r>
          </w:p>
        </w:tc>
        <w:tc>
          <w:tcPr>
            <w:tcW w:w="1862" w:type="dxa"/>
            <w:tcBorders>
              <w:top w:val="nil"/>
              <w:left w:val="nil"/>
              <w:bottom w:val="single" w:sz="4" w:space="0" w:color="auto"/>
              <w:right w:val="nil"/>
            </w:tcBorders>
            <w:shd w:val="clear" w:color="auto" w:fill="auto"/>
            <w:tcMar>
              <w:top w:w="15" w:type="dxa"/>
              <w:left w:w="15" w:type="dxa"/>
              <w:right w:w="15" w:type="dxa"/>
            </w:tcMar>
            <w:vAlign w:val="center"/>
          </w:tcPr>
          <w:p>
            <w:pPr>
              <w:jc w:val="center"/>
              <w:textAlignment w:val="center"/>
              <w:rPr>
                <w:rFonts w:eastAsia="SimSun"/>
                <w:sz w:val="20"/>
                <w:szCs w:val="20"/>
                <w:lang w:eastAsia="zh-CN"/>
              </w:rPr>
            </w:pPr>
          </w:p>
        </w:tc>
      </w:tr>
      <w:tr>
        <w:trPr>
          <w:trHeight w:val="337"/>
          <w:tblHeader/>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pPr>
              <w:jc w:val="center"/>
              <w:textAlignment w:val="center"/>
              <w:rPr>
                <w:b/>
                <w:sz w:val="20"/>
                <w:szCs w:val="20"/>
              </w:rPr>
            </w:pPr>
            <w:r>
              <w:rPr>
                <w:rFonts w:eastAsia="SimSun"/>
                <w:b/>
                <w:sz w:val="20"/>
                <w:szCs w:val="20"/>
                <w:lang w:eastAsia="zh-CN"/>
              </w:rPr>
              <w:t xml:space="preserve"> Error Description </w:t>
            </w:r>
          </w:p>
        </w:tc>
        <w:tc>
          <w:tcPr>
            <w:tcW w:w="18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pPr>
              <w:jc w:val="center"/>
              <w:textAlignment w:val="center"/>
              <w:rPr>
                <w:b/>
                <w:sz w:val="20"/>
                <w:szCs w:val="20"/>
              </w:rPr>
            </w:pPr>
            <w:r>
              <w:rPr>
                <w:rFonts w:eastAsia="SimSun"/>
                <w:b/>
                <w:sz w:val="20"/>
                <w:szCs w:val="20"/>
                <w:lang w:eastAsia="zh-CN"/>
              </w:rPr>
              <w:t xml:space="preserve"> Amount</w:t>
            </w:r>
          </w:p>
        </w:tc>
      </w:tr>
      <w:tr>
        <w:trPr>
          <w:trHeight w:val="245"/>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pPr>
              <w:textAlignment w:val="center"/>
              <w:rPr>
                <w:sz w:val="20"/>
                <w:szCs w:val="20"/>
              </w:rPr>
            </w:pPr>
            <w:r>
              <w:rPr>
                <w:sz w:val="20"/>
                <w:szCs w:val="20"/>
              </w:rPr>
              <w:t>Checks issued not captured in the books of accounts</w:t>
            </w:r>
          </w:p>
        </w:tc>
        <w:tc>
          <w:tcPr>
            <w:tcW w:w="18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pPr>
              <w:ind w:right="56"/>
              <w:jc w:val="right"/>
              <w:textAlignment w:val="center"/>
              <w:rPr>
                <w:sz w:val="20"/>
                <w:szCs w:val="20"/>
              </w:rPr>
            </w:pPr>
            <w:r>
              <w:rPr>
                <w:sz w:val="20"/>
                <w:szCs w:val="20"/>
              </w:rPr>
              <w:t xml:space="preserve">P5,912,799.87 </w:t>
            </w:r>
          </w:p>
        </w:tc>
      </w:tr>
      <w:tr>
        <w:trPr>
          <w:trHeight w:val="425"/>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pPr>
              <w:textAlignment w:val="center"/>
              <w:rPr>
                <w:sz w:val="20"/>
                <w:szCs w:val="20"/>
              </w:rPr>
            </w:pPr>
            <w:r>
              <w:rPr>
                <w:sz w:val="20"/>
                <w:szCs w:val="20"/>
              </w:rPr>
              <w:t>Net overstatement on account of unrecognized deposits, withdrawals and other errors – General Fund (GF)</w:t>
            </w:r>
          </w:p>
        </w:tc>
        <w:tc>
          <w:tcPr>
            <w:tcW w:w="186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pPr>
              <w:ind w:right="56"/>
              <w:jc w:val="right"/>
              <w:textAlignment w:val="center"/>
              <w:rPr>
                <w:sz w:val="20"/>
                <w:szCs w:val="20"/>
              </w:rPr>
            </w:pPr>
            <w:r>
              <w:rPr>
                <w:sz w:val="20"/>
                <w:szCs w:val="20"/>
              </w:rPr>
              <w:t xml:space="preserve"> 51,206,855.06 </w:t>
            </w:r>
          </w:p>
        </w:tc>
      </w:tr>
      <w:tr>
        <w:trPr>
          <w:trHeight w:val="255"/>
        </w:trPr>
        <w:tc>
          <w:tcPr>
            <w:tcW w:w="56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pPr>
              <w:rPr>
                <w:sz w:val="20"/>
                <w:szCs w:val="20"/>
              </w:rPr>
            </w:pPr>
            <w:r>
              <w:rPr>
                <w:sz w:val="20"/>
                <w:szCs w:val="20"/>
              </w:rPr>
              <w:t>Net understatement on account of unrecognized withdrawals, credit memos and debit memos and other errors – Trust Fund (TF)</w:t>
            </w:r>
          </w:p>
        </w:tc>
        <w:tc>
          <w:tcPr>
            <w:tcW w:w="186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pPr>
              <w:ind w:right="56"/>
              <w:jc w:val="right"/>
              <w:textAlignment w:val="center"/>
              <w:rPr>
                <w:sz w:val="20"/>
                <w:szCs w:val="20"/>
              </w:rPr>
            </w:pPr>
            <w:r>
              <w:rPr>
                <w:sz w:val="20"/>
                <w:szCs w:val="20"/>
              </w:rPr>
              <w:t xml:space="preserve"> 9,695,487.06 </w:t>
            </w:r>
          </w:p>
        </w:tc>
      </w:tr>
      <w:tr>
        <w:trPr>
          <w:trHeight w:val="255"/>
        </w:trPr>
        <w:tc>
          <w:tcPr>
            <w:tcW w:w="56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pPr>
              <w:rPr>
                <w:b/>
                <w:sz w:val="20"/>
                <w:szCs w:val="20"/>
                <w:lang w:val="en-PH"/>
              </w:rPr>
            </w:pPr>
            <w:r>
              <w:rPr>
                <w:b/>
                <w:sz w:val="20"/>
                <w:szCs w:val="20"/>
                <w:lang w:val="en-PH"/>
              </w:rPr>
              <w:t>Total accounting errors</w:t>
            </w:r>
          </w:p>
        </w:tc>
        <w:tc>
          <w:tcPr>
            <w:tcW w:w="186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pPr>
              <w:ind w:right="56"/>
              <w:jc w:val="right"/>
              <w:textAlignment w:val="center"/>
              <w:rPr>
                <w:b/>
                <w:bCs/>
                <w:sz w:val="20"/>
                <w:szCs w:val="20"/>
              </w:rPr>
            </w:pPr>
            <w:r>
              <w:rPr>
                <w:b/>
                <w:bCs/>
                <w:sz w:val="20"/>
                <w:szCs w:val="20"/>
              </w:rPr>
              <w:t xml:space="preserve"> P66,815,141.99 </w:t>
            </w:r>
          </w:p>
        </w:tc>
      </w:tr>
      <w:tr>
        <w:trPr>
          <w:trHeight w:val="255"/>
        </w:trPr>
        <w:tc>
          <w:tcPr>
            <w:tcW w:w="567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pPr>
              <w:rPr>
                <w:sz w:val="20"/>
                <w:szCs w:val="20"/>
                <w:lang w:val="en-PH"/>
              </w:rPr>
            </w:pPr>
            <w:r>
              <w:rPr>
                <w:sz w:val="20"/>
                <w:szCs w:val="20"/>
                <w:lang w:val="en-PH"/>
              </w:rPr>
              <w:t>Percentage of total assets of P</w:t>
            </w:r>
            <w:r>
              <w:rPr>
                <w:sz w:val="20"/>
                <w:szCs w:val="20"/>
                <w:lang w:eastAsia="zh-CN"/>
              </w:rPr>
              <w:t>74,463,048,644.70</w:t>
            </w:r>
          </w:p>
        </w:tc>
        <w:tc>
          <w:tcPr>
            <w:tcW w:w="186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tcPr>
          <w:p>
            <w:pPr>
              <w:ind w:right="56"/>
              <w:jc w:val="right"/>
              <w:textAlignment w:val="center"/>
              <w:rPr>
                <w:sz w:val="20"/>
                <w:szCs w:val="20"/>
                <w:lang w:val="en-PH"/>
              </w:rPr>
            </w:pPr>
            <w:r>
              <w:rPr>
                <w:rFonts w:eastAsia="SimSun"/>
                <w:sz w:val="20"/>
                <w:szCs w:val="20"/>
                <w:lang w:val="en-PH" w:eastAsia="zh-CN"/>
              </w:rPr>
              <w:t>0.09</w:t>
            </w:r>
          </w:p>
        </w:tc>
      </w:tr>
    </w:tbl>
    <w:p>
      <w:pPr>
        <w:pStyle w:val="ListParagraph"/>
        <w:tabs>
          <w:tab w:val="left" w:pos="1200"/>
        </w:tabs>
        <w:ind w:left="480" w:right="2403"/>
        <w:jc w:val="both"/>
        <w:rPr>
          <w:i/>
          <w:iCs/>
          <w:lang w:val="en-PH"/>
        </w:rPr>
      </w:pPr>
      <w:r>
        <w:rPr>
          <w:i/>
          <w:iCs/>
          <w:lang w:val="en-PH"/>
        </w:rPr>
        <w:lastRenderedPageBreak/>
        <w:t>Checks issued not recognized in the books – P5.913 million</w:t>
      </w:r>
    </w:p>
    <w:p>
      <w:pPr>
        <w:pStyle w:val="ListParagraph"/>
        <w:tabs>
          <w:tab w:val="left" w:pos="1200"/>
        </w:tabs>
        <w:ind w:left="480"/>
        <w:jc w:val="both"/>
        <w:rPr>
          <w:lang w:val="en-PH"/>
        </w:rPr>
      </w:pPr>
    </w:p>
    <w:p>
      <w:pPr>
        <w:pStyle w:val="ListParagraph"/>
        <w:numPr>
          <w:ilvl w:val="1"/>
          <w:numId w:val="1"/>
        </w:numPr>
        <w:tabs>
          <w:tab w:val="left" w:pos="1200"/>
        </w:tabs>
        <w:ind w:left="1080" w:hanging="540"/>
        <w:jc w:val="both"/>
      </w:pPr>
      <w:r>
        <w:rPr>
          <w:lang w:val="en-PH"/>
        </w:rPr>
        <w:t>T</w:t>
      </w:r>
      <w:r>
        <w:t>he City maintained 83 bank accounts in CY 2020, as shown in Table 2</w:t>
      </w:r>
      <w:r>
        <w:rPr>
          <w:lang w:val="en-PH"/>
        </w:rPr>
        <w:t>.</w:t>
      </w:r>
    </w:p>
    <w:p>
      <w:pPr>
        <w:tabs>
          <w:tab w:val="left" w:pos="1080"/>
        </w:tabs>
        <w:jc w:val="both"/>
        <w:rPr>
          <w:lang w:val="en-PH"/>
        </w:rPr>
      </w:pPr>
    </w:p>
    <w:tbl>
      <w:tblPr>
        <w:tblW w:w="7560" w:type="dxa"/>
        <w:tblInd w:w="1095" w:type="dxa"/>
        <w:tblLayout w:type="fixed"/>
        <w:tblCellMar>
          <w:left w:w="0" w:type="dxa"/>
          <w:right w:w="0" w:type="dxa"/>
        </w:tblCellMar>
        <w:tblLook w:val="04A0" w:firstRow="1" w:lastRow="0" w:firstColumn="1" w:lastColumn="0" w:noHBand="0" w:noVBand="1"/>
      </w:tblPr>
      <w:tblGrid>
        <w:gridCol w:w="3150"/>
        <w:gridCol w:w="1170"/>
        <w:gridCol w:w="1170"/>
        <w:gridCol w:w="1080"/>
        <w:gridCol w:w="990"/>
      </w:tblGrid>
      <w:tr>
        <w:trPr>
          <w:trHeight w:val="255"/>
          <w:tblHeader/>
        </w:trPr>
        <w:tc>
          <w:tcPr>
            <w:tcW w:w="7560" w:type="dxa"/>
            <w:gridSpan w:val="5"/>
            <w:shd w:val="clear" w:color="auto" w:fill="auto"/>
            <w:noWrap/>
            <w:tcMar>
              <w:top w:w="15" w:type="dxa"/>
              <w:left w:w="15" w:type="dxa"/>
              <w:right w:w="15" w:type="dxa"/>
            </w:tcMar>
            <w:vAlign w:val="bottom"/>
          </w:tcPr>
          <w:p>
            <w:pPr>
              <w:textAlignment w:val="bottom"/>
              <w:rPr>
                <w:color w:val="000000"/>
                <w:sz w:val="20"/>
                <w:szCs w:val="20"/>
              </w:rPr>
            </w:pPr>
            <w:r>
              <w:rPr>
                <w:rFonts w:eastAsia="SimSun"/>
                <w:bCs/>
                <w:color w:val="000000"/>
                <w:sz w:val="20"/>
                <w:szCs w:val="20"/>
                <w:lang w:eastAsia="zh-CN"/>
              </w:rPr>
              <w:t xml:space="preserve">Table </w:t>
            </w:r>
            <w:r>
              <w:rPr>
                <w:rFonts w:eastAsia="SimSun"/>
                <w:bCs/>
                <w:color w:val="000000"/>
                <w:sz w:val="20"/>
                <w:szCs w:val="20"/>
                <w:lang w:val="en-PH" w:eastAsia="zh-CN"/>
              </w:rPr>
              <w:t>2</w:t>
            </w:r>
            <w:r>
              <w:rPr>
                <w:rFonts w:eastAsia="SimSun"/>
                <w:bCs/>
                <w:color w:val="000000"/>
                <w:sz w:val="20"/>
                <w:szCs w:val="20"/>
                <w:lang w:eastAsia="zh-CN"/>
              </w:rPr>
              <w:t xml:space="preserve"> - N</w:t>
            </w:r>
            <w:r>
              <w:rPr>
                <w:rFonts w:eastAsia="SimSun"/>
                <w:bCs/>
                <w:color w:val="000000"/>
                <w:sz w:val="20"/>
                <w:szCs w:val="20"/>
                <w:lang w:val="en-PH" w:eastAsia="zh-CN"/>
              </w:rPr>
              <w:t>umber</w:t>
            </w:r>
            <w:r>
              <w:rPr>
                <w:rFonts w:eastAsia="SimSun"/>
                <w:bCs/>
                <w:color w:val="000000"/>
                <w:sz w:val="20"/>
                <w:szCs w:val="20"/>
                <w:lang w:eastAsia="zh-CN"/>
              </w:rPr>
              <w:t xml:space="preserve"> of bank accounts maintained by the City of Manila in CY 2020</w:t>
            </w:r>
          </w:p>
        </w:tc>
      </w:tr>
      <w:tr>
        <w:trPr>
          <w:trHeight w:val="255"/>
          <w:tblHeader/>
        </w:trPr>
        <w:tc>
          <w:tcPr>
            <w:tcW w:w="31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bottom"/>
              <w:rPr>
                <w:b/>
                <w:color w:val="000000"/>
                <w:sz w:val="20"/>
                <w:szCs w:val="20"/>
              </w:rPr>
            </w:pPr>
            <w:r>
              <w:rPr>
                <w:rFonts w:eastAsia="SimSun"/>
                <w:b/>
                <w:color w:val="000000"/>
                <w:sz w:val="20"/>
                <w:szCs w:val="20"/>
                <w:lang w:eastAsia="zh-CN"/>
              </w:rPr>
              <w:t>Account</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center"/>
              <w:rPr>
                <w:b/>
                <w:color w:val="000000"/>
                <w:sz w:val="20"/>
                <w:szCs w:val="20"/>
              </w:rPr>
            </w:pPr>
            <w:r>
              <w:rPr>
                <w:rFonts w:eastAsia="SimSun"/>
                <w:b/>
                <w:color w:val="000000"/>
                <w:sz w:val="20"/>
                <w:szCs w:val="20"/>
                <w:lang w:eastAsia="zh-CN"/>
              </w:rPr>
              <w:t>GF</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bottom"/>
              <w:rPr>
                <w:b/>
                <w:color w:val="000000"/>
                <w:sz w:val="20"/>
                <w:szCs w:val="20"/>
              </w:rPr>
            </w:pPr>
            <w:r>
              <w:rPr>
                <w:b/>
                <w:color w:val="000000"/>
                <w:sz w:val="20"/>
                <w:szCs w:val="20"/>
              </w:rPr>
              <w:t>Special Education Fund (SEF)</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bottom"/>
              <w:rPr>
                <w:b/>
                <w:color w:val="000000"/>
                <w:sz w:val="20"/>
                <w:szCs w:val="20"/>
              </w:rPr>
            </w:pPr>
            <w:r>
              <w:rPr>
                <w:rFonts w:eastAsia="SimSun"/>
                <w:b/>
                <w:color w:val="000000"/>
                <w:sz w:val="20"/>
                <w:szCs w:val="20"/>
                <w:lang w:eastAsia="zh-CN"/>
              </w:rPr>
              <w:t>TF</w:t>
            </w:r>
          </w:p>
        </w:tc>
        <w:tc>
          <w:tcPr>
            <w:tcW w:w="9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bottom"/>
              <w:rPr>
                <w:b/>
                <w:color w:val="000000"/>
                <w:sz w:val="20"/>
                <w:szCs w:val="20"/>
              </w:rPr>
            </w:pPr>
            <w:r>
              <w:rPr>
                <w:b/>
                <w:color w:val="000000"/>
                <w:sz w:val="20"/>
                <w:szCs w:val="20"/>
              </w:rPr>
              <w:t>Total</w:t>
            </w:r>
          </w:p>
        </w:tc>
      </w:tr>
      <w:tr>
        <w:trPr>
          <w:trHeight w:val="255"/>
        </w:trPr>
        <w:tc>
          <w:tcPr>
            <w:tcW w:w="31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textAlignment w:val="bottom"/>
              <w:rPr>
                <w:b/>
                <w:color w:val="000000"/>
                <w:sz w:val="20"/>
                <w:szCs w:val="20"/>
              </w:rPr>
            </w:pPr>
            <w:r>
              <w:rPr>
                <w:kern w:val="28"/>
                <w:sz w:val="20"/>
                <w:szCs w:val="20"/>
                <w:lang w:val="en-PH" w:eastAsia="en-PH"/>
              </w:rPr>
              <w:t xml:space="preserve">Cash </w:t>
            </w:r>
            <w:r>
              <w:rPr>
                <w:kern w:val="28"/>
                <w:sz w:val="20"/>
                <w:szCs w:val="20"/>
                <w:lang w:eastAsia="en-PH"/>
              </w:rPr>
              <w:t>in Bank</w:t>
            </w:r>
            <w:r>
              <w:rPr>
                <w:kern w:val="28"/>
                <w:sz w:val="20"/>
                <w:szCs w:val="20"/>
                <w:lang w:val="en-PH" w:eastAsia="en-PH"/>
              </w:rPr>
              <w:t>-Local Currency Current Account (</w:t>
            </w:r>
            <w:proofErr w:type="spellStart"/>
            <w:r>
              <w:rPr>
                <w:sz w:val="20"/>
                <w:szCs w:val="20"/>
              </w:rPr>
              <w:t>CiB</w:t>
            </w:r>
            <w:proofErr w:type="spellEnd"/>
            <w:r>
              <w:rPr>
                <w:sz w:val="20"/>
                <w:szCs w:val="20"/>
              </w:rPr>
              <w:t xml:space="preserve">-LCCA) </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rPr>
            </w:pPr>
            <w:r>
              <w:rPr>
                <w:bCs/>
                <w:color w:val="000000"/>
                <w:sz w:val="20"/>
                <w:szCs w:val="20"/>
              </w:rPr>
              <w:t xml:space="preserve"> 5</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rPr>
            </w:pPr>
            <w:r>
              <w:rPr>
                <w:bCs/>
                <w:color w:val="000000"/>
                <w:sz w:val="20"/>
                <w:szCs w:val="20"/>
              </w:rPr>
              <w:t>1</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rPr>
            </w:pPr>
            <w:r>
              <w:rPr>
                <w:bCs/>
                <w:color w:val="000000"/>
                <w:sz w:val="20"/>
                <w:szCs w:val="20"/>
              </w:rPr>
              <w:t xml:space="preserve">  10</w:t>
            </w:r>
          </w:p>
        </w:tc>
        <w:tc>
          <w:tcPr>
            <w:tcW w:w="9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rPr>
            </w:pPr>
            <w:r>
              <w:rPr>
                <w:bCs/>
                <w:color w:val="000000"/>
                <w:sz w:val="20"/>
                <w:szCs w:val="20"/>
              </w:rPr>
              <w:t>16</w:t>
            </w:r>
          </w:p>
        </w:tc>
      </w:tr>
      <w:tr>
        <w:trPr>
          <w:trHeight w:val="255"/>
        </w:trPr>
        <w:tc>
          <w:tcPr>
            <w:tcW w:w="31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tabs>
                <w:tab w:val="left" w:pos="1080"/>
              </w:tabs>
              <w:rPr>
                <w:color w:val="000000"/>
                <w:sz w:val="20"/>
                <w:szCs w:val="20"/>
                <w:lang w:eastAsia="zh-CN"/>
              </w:rPr>
            </w:pPr>
            <w:proofErr w:type="spellStart"/>
            <w:r>
              <w:rPr>
                <w:sz w:val="20"/>
                <w:szCs w:val="20"/>
              </w:rPr>
              <w:t>CiB</w:t>
            </w:r>
            <w:proofErr w:type="spellEnd"/>
            <w:r>
              <w:rPr>
                <w:sz w:val="20"/>
                <w:szCs w:val="20"/>
              </w:rPr>
              <w:t>-LCCA</w:t>
            </w:r>
            <w:r>
              <w:rPr>
                <w:rFonts w:eastAsia="SimSun"/>
                <w:color w:val="000000"/>
                <w:sz w:val="20"/>
                <w:szCs w:val="20"/>
                <w:lang w:eastAsia="zh-CN"/>
              </w:rPr>
              <w:t xml:space="preserve"> Expropriation Accounts</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center"/>
              <w:rPr>
                <w:bCs/>
                <w:color w:val="000000"/>
                <w:sz w:val="20"/>
                <w:szCs w:val="20"/>
                <w:lang w:eastAsia="zh-CN"/>
              </w:rPr>
            </w:pPr>
            <w:r>
              <w:rPr>
                <w:bCs/>
                <w:color w:val="000000"/>
                <w:sz w:val="20"/>
                <w:szCs w:val="20"/>
                <w:lang w:eastAsia="zh-CN"/>
              </w:rPr>
              <w:t>52</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w:t>
            </w:r>
          </w:p>
        </w:tc>
        <w:tc>
          <w:tcPr>
            <w:tcW w:w="9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52</w:t>
            </w:r>
          </w:p>
        </w:tc>
      </w:tr>
      <w:tr>
        <w:trPr>
          <w:trHeight w:val="255"/>
        </w:trPr>
        <w:tc>
          <w:tcPr>
            <w:tcW w:w="31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textAlignment w:val="bottom"/>
              <w:rPr>
                <w:color w:val="000000"/>
                <w:sz w:val="20"/>
                <w:szCs w:val="20"/>
                <w:lang w:eastAsia="zh-CN"/>
              </w:rPr>
            </w:pPr>
            <w:proofErr w:type="spellStart"/>
            <w:r>
              <w:rPr>
                <w:kern w:val="28"/>
                <w:sz w:val="20"/>
                <w:szCs w:val="20"/>
                <w:lang w:eastAsia="en-PH"/>
              </w:rPr>
              <w:t>CiB</w:t>
            </w:r>
            <w:proofErr w:type="spellEnd"/>
            <w:r>
              <w:rPr>
                <w:kern w:val="28"/>
                <w:sz w:val="20"/>
                <w:szCs w:val="20"/>
                <w:lang w:val="en-PH" w:eastAsia="en-PH"/>
              </w:rPr>
              <w:t>-Local Currency Time Deposit (</w:t>
            </w:r>
            <w:proofErr w:type="spellStart"/>
            <w:r>
              <w:rPr>
                <w:sz w:val="20"/>
                <w:szCs w:val="20"/>
              </w:rPr>
              <w:t>CiB</w:t>
            </w:r>
            <w:proofErr w:type="spellEnd"/>
            <w:r>
              <w:rPr>
                <w:sz w:val="20"/>
                <w:szCs w:val="20"/>
              </w:rPr>
              <w:t>-LCTD)</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center"/>
              <w:rPr>
                <w:bCs/>
                <w:color w:val="000000"/>
                <w:sz w:val="20"/>
                <w:szCs w:val="20"/>
                <w:lang w:eastAsia="zh-CN"/>
              </w:rPr>
            </w:pPr>
          </w:p>
          <w:p>
            <w:pPr>
              <w:jc w:val="center"/>
              <w:textAlignment w:val="center"/>
              <w:rPr>
                <w:bCs/>
                <w:color w:val="000000"/>
                <w:sz w:val="20"/>
                <w:szCs w:val="20"/>
                <w:lang w:eastAsia="zh-CN"/>
              </w:rPr>
            </w:pPr>
            <w:r>
              <w:rPr>
                <w:bCs/>
                <w:color w:val="000000"/>
                <w:sz w:val="20"/>
                <w:szCs w:val="20"/>
                <w:lang w:eastAsia="zh-CN"/>
              </w:rPr>
              <w:t>6</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3</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 xml:space="preserve">  5</w:t>
            </w:r>
          </w:p>
        </w:tc>
        <w:tc>
          <w:tcPr>
            <w:tcW w:w="9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14</w:t>
            </w:r>
          </w:p>
        </w:tc>
      </w:tr>
      <w:tr>
        <w:trPr>
          <w:trHeight w:val="255"/>
        </w:trPr>
        <w:tc>
          <w:tcPr>
            <w:tcW w:w="31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textAlignment w:val="bottom"/>
              <w:rPr>
                <w:color w:val="000000"/>
                <w:sz w:val="20"/>
                <w:szCs w:val="20"/>
                <w:lang w:eastAsia="zh-CN"/>
              </w:rPr>
            </w:pPr>
            <w:proofErr w:type="spellStart"/>
            <w:r>
              <w:rPr>
                <w:kern w:val="28"/>
                <w:sz w:val="20"/>
                <w:szCs w:val="20"/>
                <w:lang w:eastAsia="en-PH"/>
              </w:rPr>
              <w:t>CiB</w:t>
            </w:r>
            <w:proofErr w:type="spellEnd"/>
            <w:r>
              <w:rPr>
                <w:kern w:val="28"/>
                <w:sz w:val="20"/>
                <w:szCs w:val="20"/>
                <w:lang w:eastAsia="en-PH"/>
              </w:rPr>
              <w:t>-</w:t>
            </w:r>
            <w:r>
              <w:rPr>
                <w:kern w:val="28"/>
                <w:sz w:val="20"/>
                <w:szCs w:val="20"/>
                <w:lang w:val="en-PH" w:eastAsia="en-PH"/>
              </w:rPr>
              <w:t>Foreign Currency Savings Account (</w:t>
            </w:r>
            <w:proofErr w:type="spellStart"/>
            <w:r>
              <w:rPr>
                <w:kern w:val="28"/>
                <w:sz w:val="20"/>
                <w:szCs w:val="20"/>
                <w:lang w:val="en-PH" w:eastAsia="en-PH"/>
              </w:rPr>
              <w:t>CiB</w:t>
            </w:r>
            <w:proofErr w:type="spellEnd"/>
            <w:r>
              <w:rPr>
                <w:kern w:val="28"/>
                <w:sz w:val="20"/>
                <w:szCs w:val="20"/>
                <w:lang w:val="en-PH" w:eastAsia="en-PH"/>
              </w:rPr>
              <w:t>-FCSA</w:t>
            </w:r>
            <w:r>
              <w:rPr>
                <w:kern w:val="28"/>
                <w:sz w:val="20"/>
                <w:szCs w:val="20"/>
                <w:lang w:eastAsia="en-PH"/>
              </w:rPr>
              <w:t>)</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pPr>
              <w:jc w:val="center"/>
              <w:textAlignment w:val="center"/>
              <w:rPr>
                <w:bCs/>
                <w:color w:val="000000"/>
                <w:sz w:val="20"/>
                <w:szCs w:val="20"/>
                <w:lang w:eastAsia="zh-CN"/>
              </w:rPr>
            </w:pPr>
            <w:r>
              <w:rPr>
                <w:bCs/>
                <w:color w:val="000000"/>
                <w:sz w:val="20"/>
                <w:szCs w:val="20"/>
                <w:lang w:eastAsia="zh-CN"/>
              </w:rPr>
              <w:t>-</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 xml:space="preserve">  1</w:t>
            </w:r>
          </w:p>
        </w:tc>
        <w:tc>
          <w:tcPr>
            <w:tcW w:w="9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Cs/>
                <w:color w:val="000000"/>
                <w:sz w:val="20"/>
                <w:szCs w:val="20"/>
                <w:lang w:eastAsia="zh-CN"/>
              </w:rPr>
            </w:pPr>
            <w:r>
              <w:rPr>
                <w:bCs/>
                <w:color w:val="000000"/>
                <w:sz w:val="20"/>
                <w:szCs w:val="20"/>
                <w:lang w:eastAsia="zh-CN"/>
              </w:rPr>
              <w:t xml:space="preserve">  1</w:t>
            </w:r>
          </w:p>
        </w:tc>
      </w:tr>
      <w:tr>
        <w:trPr>
          <w:trHeight w:val="255"/>
        </w:trPr>
        <w:tc>
          <w:tcPr>
            <w:tcW w:w="31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
                <w:color w:val="000000"/>
                <w:sz w:val="20"/>
                <w:szCs w:val="20"/>
                <w:lang w:eastAsia="zh-CN"/>
              </w:rPr>
            </w:pPr>
            <w:r>
              <w:rPr>
                <w:rFonts w:eastAsia="SimSun"/>
                <w:b/>
                <w:color w:val="000000"/>
                <w:sz w:val="20"/>
                <w:szCs w:val="20"/>
                <w:lang w:eastAsia="zh-CN"/>
              </w:rPr>
              <w:t>Total</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
                <w:color w:val="000000"/>
                <w:sz w:val="20"/>
                <w:szCs w:val="20"/>
                <w:lang w:eastAsia="zh-CN"/>
              </w:rPr>
            </w:pPr>
            <w:r>
              <w:rPr>
                <w:b/>
                <w:color w:val="000000"/>
                <w:sz w:val="20"/>
                <w:szCs w:val="20"/>
                <w:lang w:eastAsia="zh-CN"/>
              </w:rPr>
              <w:t>63</w:t>
            </w:r>
          </w:p>
        </w:tc>
        <w:tc>
          <w:tcPr>
            <w:tcW w:w="11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
                <w:color w:val="000000"/>
                <w:sz w:val="20"/>
                <w:szCs w:val="20"/>
                <w:lang w:eastAsia="zh-CN"/>
              </w:rPr>
            </w:pPr>
            <w:r>
              <w:rPr>
                <w:b/>
                <w:color w:val="000000"/>
                <w:sz w:val="20"/>
                <w:szCs w:val="20"/>
                <w:lang w:eastAsia="zh-CN"/>
              </w:rPr>
              <w:t>4</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
                <w:color w:val="000000"/>
                <w:sz w:val="20"/>
                <w:szCs w:val="20"/>
                <w:lang w:eastAsia="zh-CN"/>
              </w:rPr>
            </w:pPr>
            <w:r>
              <w:rPr>
                <w:b/>
                <w:color w:val="000000"/>
                <w:sz w:val="20"/>
                <w:szCs w:val="20"/>
                <w:lang w:eastAsia="zh-CN"/>
              </w:rPr>
              <w:t>16</w:t>
            </w:r>
          </w:p>
        </w:tc>
        <w:tc>
          <w:tcPr>
            <w:tcW w:w="9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bottom"/>
          </w:tcPr>
          <w:p>
            <w:pPr>
              <w:jc w:val="center"/>
              <w:textAlignment w:val="bottom"/>
              <w:rPr>
                <w:b/>
                <w:color w:val="000000"/>
                <w:sz w:val="20"/>
                <w:szCs w:val="20"/>
                <w:lang w:eastAsia="zh-CN"/>
              </w:rPr>
            </w:pPr>
            <w:r>
              <w:rPr>
                <w:b/>
                <w:color w:val="000000"/>
                <w:sz w:val="20"/>
                <w:szCs w:val="20"/>
                <w:lang w:eastAsia="zh-CN"/>
              </w:rPr>
              <w:t>83</w:t>
            </w:r>
          </w:p>
        </w:tc>
      </w:tr>
    </w:tbl>
    <w:p>
      <w:pPr>
        <w:tabs>
          <w:tab w:val="left" w:pos="1080"/>
        </w:tabs>
        <w:jc w:val="both"/>
      </w:pPr>
    </w:p>
    <w:p>
      <w:pPr>
        <w:pStyle w:val="ListParagraph"/>
        <w:numPr>
          <w:ilvl w:val="1"/>
          <w:numId w:val="1"/>
        </w:numPr>
        <w:tabs>
          <w:tab w:val="left" w:pos="1200"/>
        </w:tabs>
        <w:ind w:left="1080" w:hanging="540"/>
        <w:jc w:val="both"/>
        <w:rPr>
          <w:bCs/>
          <w:lang w:val="en-PH"/>
        </w:rPr>
      </w:pPr>
      <w:r>
        <w:rPr>
          <w:bCs/>
          <w:lang w:val="en-PH"/>
        </w:rPr>
        <w:t xml:space="preserve">Section 43 of Manual on the New Government Accounting System for Local Government Units </w:t>
      </w:r>
      <w:r>
        <w:rPr>
          <w:bCs/>
        </w:rPr>
        <w:t xml:space="preserve">(MNGAS for LGUs) </w:t>
      </w:r>
      <w:r>
        <w:rPr>
          <w:bCs/>
          <w:lang w:val="en-PH"/>
        </w:rPr>
        <w:t>provides:</w:t>
      </w:r>
    </w:p>
    <w:p>
      <w:pPr>
        <w:pStyle w:val="ListParagraph"/>
        <w:tabs>
          <w:tab w:val="left" w:pos="1200"/>
        </w:tabs>
        <w:ind w:left="1377"/>
        <w:jc w:val="both"/>
        <w:rPr>
          <w:bCs/>
          <w:lang w:val="en-PH"/>
        </w:rPr>
      </w:pPr>
    </w:p>
    <w:p>
      <w:pPr>
        <w:pStyle w:val="ListParagraph"/>
        <w:tabs>
          <w:tab w:val="left" w:pos="1200"/>
        </w:tabs>
        <w:ind w:left="1800" w:right="720"/>
        <w:jc w:val="both"/>
        <w:rPr>
          <w:bCs/>
          <w:i/>
          <w:iCs/>
          <w:lang w:val="en-PH"/>
        </w:rPr>
      </w:pPr>
      <w:r>
        <w:rPr>
          <w:bCs/>
          <w:i/>
          <w:iCs/>
          <w:lang w:val="en-PH"/>
        </w:rPr>
        <w:t xml:space="preserve">“Reporting of Checks Issued. – The checks released to claimants shall be reported in the Report of </w:t>
      </w:r>
      <w:r>
        <w:rPr>
          <w:i/>
          <w:iCs/>
        </w:rPr>
        <w:t>Checks</w:t>
      </w:r>
      <w:r>
        <w:rPr>
          <w:bCs/>
          <w:i/>
          <w:iCs/>
          <w:lang w:val="en-PH"/>
        </w:rPr>
        <w:t xml:space="preserve"> Issued (RCI) which shall be prepared daily by the Treasurer for each fund.  It shall be submitted to the Accountant for preparation of Journal of Entry Voucher based on individual checks issued and recording in the Check Disbursements Journal (</w:t>
      </w:r>
      <w:proofErr w:type="spellStart"/>
      <w:r>
        <w:rPr>
          <w:bCs/>
          <w:i/>
          <w:iCs/>
          <w:lang w:val="en-PH"/>
        </w:rPr>
        <w:t>CkDJ</w:t>
      </w:r>
      <w:proofErr w:type="spellEnd"/>
      <w:r>
        <w:rPr>
          <w:bCs/>
          <w:i/>
          <w:iCs/>
          <w:lang w:val="en-PH"/>
        </w:rPr>
        <w:t xml:space="preserve">).”  </w:t>
      </w:r>
    </w:p>
    <w:p>
      <w:pPr>
        <w:pStyle w:val="ListParagraph"/>
        <w:tabs>
          <w:tab w:val="left" w:pos="1200"/>
        </w:tabs>
        <w:ind w:left="1377"/>
        <w:jc w:val="both"/>
        <w:rPr>
          <w:bCs/>
          <w:lang w:val="en-PH"/>
        </w:rPr>
      </w:pPr>
    </w:p>
    <w:p>
      <w:pPr>
        <w:pStyle w:val="ListParagraph"/>
        <w:numPr>
          <w:ilvl w:val="1"/>
          <w:numId w:val="1"/>
        </w:numPr>
        <w:tabs>
          <w:tab w:val="left" w:pos="1200"/>
        </w:tabs>
        <w:ind w:left="1080" w:hanging="540"/>
        <w:jc w:val="both"/>
        <w:rPr>
          <w:iCs/>
          <w:lang w:val="en-PH"/>
        </w:rPr>
      </w:pPr>
      <w:r>
        <w:rPr>
          <w:iCs/>
          <w:lang w:val="en-PH"/>
        </w:rPr>
        <w:t xml:space="preserve">Our audit </w:t>
      </w:r>
      <w:r>
        <w:rPr>
          <w:iCs/>
        </w:rPr>
        <w:t xml:space="preserve">showed that </w:t>
      </w:r>
      <w:r>
        <w:rPr>
          <w:iCs/>
          <w:lang w:val="en-PH"/>
        </w:rPr>
        <w:t xml:space="preserve">6,169 checks </w:t>
      </w:r>
      <w:r>
        <w:rPr>
          <w:iCs/>
        </w:rPr>
        <w:t xml:space="preserve">issued for </w:t>
      </w:r>
      <w:r>
        <w:rPr>
          <w:iCs/>
          <w:lang w:val="en-PH"/>
        </w:rPr>
        <w:t>a total of P5</w:t>
      </w:r>
      <w:proofErr w:type="gramStart"/>
      <w:r>
        <w:rPr>
          <w:iCs/>
          <w:lang w:val="en-PH"/>
        </w:rPr>
        <w:t>,912,799.87</w:t>
      </w:r>
      <w:proofErr w:type="gramEnd"/>
      <w:r>
        <w:rPr>
          <w:iCs/>
          <w:lang w:val="en-PH"/>
        </w:rPr>
        <w:t xml:space="preserve"> </w:t>
      </w:r>
      <w:r>
        <w:rPr>
          <w:iCs/>
        </w:rPr>
        <w:t>were</w:t>
      </w:r>
      <w:r>
        <w:rPr>
          <w:iCs/>
          <w:lang w:val="en-PH"/>
        </w:rPr>
        <w:t xml:space="preserve"> recorded in the RCI </w:t>
      </w:r>
      <w:r>
        <w:rPr>
          <w:iCs/>
        </w:rPr>
        <w:t xml:space="preserve">but </w:t>
      </w:r>
      <w:r>
        <w:rPr>
          <w:iCs/>
          <w:lang w:val="en-PH"/>
        </w:rPr>
        <w:t xml:space="preserve">not recognized in the </w:t>
      </w:r>
      <w:proofErr w:type="spellStart"/>
      <w:r>
        <w:rPr>
          <w:iCs/>
          <w:lang w:val="en-PH"/>
        </w:rPr>
        <w:t>CkDJ</w:t>
      </w:r>
      <w:proofErr w:type="spellEnd"/>
      <w:r>
        <w:rPr>
          <w:iCs/>
          <w:lang w:val="en-PH"/>
        </w:rPr>
        <w:t xml:space="preserve"> contrary to </w:t>
      </w:r>
      <w:r>
        <w:rPr>
          <w:bCs/>
          <w:lang w:val="en-PH"/>
        </w:rPr>
        <w:t xml:space="preserve">Section 43 of </w:t>
      </w:r>
      <w:r>
        <w:rPr>
          <w:bCs/>
        </w:rPr>
        <w:t>MNGAS for LGUs</w:t>
      </w:r>
      <w:r>
        <w:rPr>
          <w:bCs/>
          <w:lang w:val="en-PH"/>
        </w:rPr>
        <w:t>.</w:t>
      </w:r>
    </w:p>
    <w:p>
      <w:pPr>
        <w:pStyle w:val="ListParagraph"/>
        <w:tabs>
          <w:tab w:val="left" w:pos="425"/>
          <w:tab w:val="left" w:pos="1200"/>
          <w:tab w:val="left" w:pos="1377"/>
        </w:tabs>
        <w:ind w:left="1080"/>
        <w:jc w:val="both"/>
        <w:rPr>
          <w:bCs/>
          <w:lang w:val="en-PH"/>
        </w:rPr>
      </w:pPr>
    </w:p>
    <w:p>
      <w:pPr>
        <w:pStyle w:val="ListParagraph"/>
        <w:numPr>
          <w:ilvl w:val="1"/>
          <w:numId w:val="1"/>
        </w:numPr>
        <w:tabs>
          <w:tab w:val="left" w:pos="1200"/>
        </w:tabs>
        <w:ind w:left="1080" w:hanging="540"/>
        <w:jc w:val="both"/>
        <w:rPr>
          <w:rFonts w:eastAsia="SimSun"/>
          <w:color w:val="000000"/>
          <w:lang w:val="en-PH" w:eastAsia="zh-CN"/>
        </w:rPr>
      </w:pPr>
      <w:r>
        <w:rPr>
          <w:rFonts w:eastAsia="SimSun"/>
          <w:color w:val="000000"/>
          <w:lang w:val="en-PH" w:eastAsia="zh-CN"/>
        </w:rPr>
        <w:t>This came about mainly because of the: (a) absence of an effective reconciliation of the records of the Office of the City Accountant (OCAT) and City Treasurer’s Office; (b) inability of the accounting application used by the OCAT (</w:t>
      </w:r>
      <w:r>
        <w:rPr>
          <w:rFonts w:eastAsia="SimSun"/>
          <w:color w:val="000000"/>
          <w:lang w:eastAsia="zh-CN"/>
        </w:rPr>
        <w:t>P</w:t>
      </w:r>
      <w:r>
        <w:rPr>
          <w:rFonts w:eastAsia="SimSun"/>
          <w:color w:val="000000"/>
          <w:lang w:val="en-PH" w:eastAsia="zh-CN"/>
        </w:rPr>
        <w:t>PSAS System) to capture the standard transaction description and references and produce the prescribed primary and subsidiary records that provide the audit trail; and (c) breakdown of the bank reconciliation as reconciling items are either not acted upon timely or not acted upon at all. These causes are evident in the accounting/control deficiencies discussed in the succeeding sub-paragraphs.</w:t>
      </w:r>
    </w:p>
    <w:p>
      <w:pPr>
        <w:pStyle w:val="ListParagraph"/>
        <w:tabs>
          <w:tab w:val="left" w:pos="1200"/>
        </w:tabs>
        <w:ind w:left="1377"/>
        <w:jc w:val="both"/>
        <w:rPr>
          <w:rFonts w:eastAsia="SimSun"/>
          <w:color w:val="000000"/>
          <w:lang w:val="en-PH" w:eastAsia="zh-CN"/>
        </w:rPr>
      </w:pPr>
    </w:p>
    <w:p>
      <w:pPr>
        <w:pStyle w:val="ListParagraph"/>
        <w:numPr>
          <w:ilvl w:val="0"/>
          <w:numId w:val="2"/>
        </w:numPr>
        <w:tabs>
          <w:tab w:val="left" w:pos="1200"/>
        </w:tabs>
        <w:ind w:left="1440"/>
        <w:jc w:val="both"/>
        <w:rPr>
          <w:rFonts w:eastAsia="SimSun"/>
          <w:color w:val="000000"/>
          <w:lang w:val="en-PH" w:eastAsia="zh-CN"/>
        </w:rPr>
      </w:pPr>
      <w:r>
        <w:rPr>
          <w:rFonts w:eastAsia="SimSun"/>
          <w:color w:val="000000"/>
          <w:lang w:val="en-PH" w:eastAsia="zh-CN"/>
        </w:rPr>
        <w:t xml:space="preserve">Checks issued were not captured in </w:t>
      </w:r>
      <w:proofErr w:type="spellStart"/>
      <w:r>
        <w:rPr>
          <w:rFonts w:eastAsia="SimSun"/>
          <w:color w:val="000000"/>
          <w:lang w:val="en-PH" w:eastAsia="zh-CN"/>
        </w:rPr>
        <w:t>CkDJ</w:t>
      </w:r>
      <w:proofErr w:type="spellEnd"/>
      <w:r>
        <w:rPr>
          <w:rFonts w:eastAsia="SimSun"/>
          <w:color w:val="000000"/>
          <w:lang w:val="en-PH" w:eastAsia="zh-CN"/>
        </w:rPr>
        <w:t xml:space="preserve"> because checks issued by batch were not sequentially recorded in the </w:t>
      </w:r>
      <w:proofErr w:type="spellStart"/>
      <w:r>
        <w:rPr>
          <w:rFonts w:eastAsia="SimSun"/>
          <w:color w:val="000000"/>
          <w:lang w:val="en-PH" w:eastAsia="zh-CN"/>
        </w:rPr>
        <w:t>CkDJ</w:t>
      </w:r>
      <w:proofErr w:type="spellEnd"/>
      <w:r>
        <w:rPr>
          <w:rFonts w:eastAsia="SimSun"/>
          <w:color w:val="000000"/>
          <w:lang w:val="en-PH" w:eastAsia="zh-CN"/>
        </w:rPr>
        <w:t xml:space="preserve"> and only the first check number of the batch was captured therein.</w:t>
      </w:r>
    </w:p>
    <w:p>
      <w:pPr>
        <w:tabs>
          <w:tab w:val="left" w:pos="1200"/>
        </w:tabs>
        <w:jc w:val="both"/>
        <w:rPr>
          <w:rFonts w:eastAsia="SimSun"/>
          <w:color w:val="000000"/>
          <w:lang w:val="en-PH" w:eastAsia="zh-CN"/>
        </w:rPr>
      </w:pPr>
    </w:p>
    <w:p>
      <w:pPr>
        <w:pStyle w:val="ListParagraph"/>
        <w:numPr>
          <w:ilvl w:val="0"/>
          <w:numId w:val="2"/>
        </w:numPr>
        <w:tabs>
          <w:tab w:val="left" w:pos="1200"/>
        </w:tabs>
        <w:ind w:left="1440"/>
        <w:jc w:val="both"/>
        <w:rPr>
          <w:rFonts w:eastAsia="SimSun"/>
          <w:color w:val="000000"/>
          <w:lang w:val="en-PH" w:eastAsia="zh-CN"/>
        </w:rPr>
      </w:pPr>
      <w:r>
        <w:rPr>
          <w:rFonts w:eastAsia="SimSun"/>
          <w:color w:val="000000"/>
          <w:lang w:val="en-PH" w:eastAsia="zh-CN"/>
        </w:rPr>
        <w:t xml:space="preserve">There were checks recorded in the </w:t>
      </w:r>
      <w:proofErr w:type="spellStart"/>
      <w:r>
        <w:rPr>
          <w:rFonts w:eastAsia="SimSun"/>
          <w:color w:val="000000"/>
          <w:lang w:val="en-PH" w:eastAsia="zh-CN"/>
        </w:rPr>
        <w:t>CkDJ</w:t>
      </w:r>
      <w:proofErr w:type="spellEnd"/>
      <w:r>
        <w:rPr>
          <w:rFonts w:eastAsia="SimSun"/>
          <w:color w:val="000000"/>
          <w:lang w:val="en-PH" w:eastAsia="zh-CN"/>
        </w:rPr>
        <w:t xml:space="preserve"> but not found in the appertaining RCI (Table </w:t>
      </w:r>
      <w:r>
        <w:rPr>
          <w:rFonts w:eastAsia="SimSun"/>
          <w:color w:val="000000"/>
          <w:lang w:eastAsia="zh-CN"/>
        </w:rPr>
        <w:t>3</w:t>
      </w:r>
      <w:r>
        <w:rPr>
          <w:rFonts w:eastAsia="SimSun"/>
          <w:color w:val="000000"/>
          <w:lang w:val="en-PH" w:eastAsia="zh-CN"/>
        </w:rPr>
        <w:t xml:space="preserve">). Available information/documents did not permit the Audit </w:t>
      </w:r>
      <w:r>
        <w:rPr>
          <w:rFonts w:eastAsia="SimSun"/>
          <w:color w:val="000000"/>
          <w:lang w:val="en-PH" w:eastAsia="zh-CN"/>
        </w:rPr>
        <w:lastRenderedPageBreak/>
        <w:t>Team to establish, among others, if these are mere errors in encoding or if these were in fact checks issued not captured in the RCI.</w:t>
      </w:r>
    </w:p>
    <w:p>
      <w:pPr>
        <w:pStyle w:val="ListParagraph"/>
        <w:tabs>
          <w:tab w:val="left" w:pos="1200"/>
        </w:tabs>
        <w:ind w:left="1377"/>
        <w:jc w:val="both"/>
        <w:rPr>
          <w:sz w:val="20"/>
          <w:szCs w:val="20"/>
          <w:shd w:val="clear" w:color="auto" w:fill="FFFFFF"/>
        </w:rPr>
      </w:pPr>
    </w:p>
    <w:p>
      <w:pPr>
        <w:pStyle w:val="ListParagraph"/>
        <w:tabs>
          <w:tab w:val="left" w:pos="1200"/>
        </w:tabs>
        <w:ind w:left="2250" w:right="1260" w:hanging="873"/>
        <w:jc w:val="both"/>
        <w:rPr>
          <w:rFonts w:eastAsia="SimSun"/>
          <w:color w:val="000000"/>
          <w:lang w:val="en-PH" w:eastAsia="zh-CN"/>
        </w:rPr>
      </w:pPr>
      <w:r>
        <w:rPr>
          <w:sz w:val="20"/>
          <w:szCs w:val="20"/>
          <w:shd w:val="clear" w:color="auto" w:fill="FFFFFF"/>
        </w:rPr>
        <w:tab/>
        <w:t>Table 3</w:t>
      </w:r>
      <w:r>
        <w:rPr>
          <w:b/>
          <w:bCs/>
          <w:sz w:val="20"/>
          <w:szCs w:val="20"/>
          <w:shd w:val="clear" w:color="auto" w:fill="FFFFFF"/>
        </w:rPr>
        <w:t xml:space="preserve"> - </w:t>
      </w:r>
      <w:r>
        <w:rPr>
          <w:sz w:val="20"/>
          <w:szCs w:val="20"/>
          <w:shd w:val="clear" w:color="auto" w:fill="FFFFFF"/>
        </w:rPr>
        <w:t xml:space="preserve">Checks recorded in the </w:t>
      </w:r>
      <w:proofErr w:type="spellStart"/>
      <w:r>
        <w:rPr>
          <w:sz w:val="20"/>
          <w:szCs w:val="20"/>
          <w:shd w:val="clear" w:color="auto" w:fill="FFFFFF"/>
        </w:rPr>
        <w:t>CkDJ</w:t>
      </w:r>
      <w:proofErr w:type="spellEnd"/>
      <w:r>
        <w:rPr>
          <w:sz w:val="20"/>
          <w:szCs w:val="20"/>
          <w:shd w:val="clear" w:color="auto" w:fill="FFFFFF"/>
        </w:rPr>
        <w:t xml:space="preserve"> but not found in the appertaining RCI</w:t>
      </w:r>
    </w:p>
    <w:tbl>
      <w:tblPr>
        <w:tblStyle w:val="TableGrid"/>
        <w:tblW w:w="0" w:type="auto"/>
        <w:tblInd w:w="2268" w:type="dxa"/>
        <w:tblLook w:val="04A0" w:firstRow="1" w:lastRow="0" w:firstColumn="1" w:lastColumn="0" w:noHBand="0" w:noVBand="1"/>
      </w:tblPr>
      <w:tblGrid>
        <w:gridCol w:w="1530"/>
        <w:gridCol w:w="1980"/>
        <w:gridCol w:w="1872"/>
      </w:tblGrid>
      <w:tr>
        <w:trPr>
          <w:tblHeader/>
        </w:trPr>
        <w:tc>
          <w:tcPr>
            <w:tcW w:w="1530" w:type="dxa"/>
          </w:tcPr>
          <w:p>
            <w:pPr>
              <w:jc w:val="center"/>
              <w:rPr>
                <w:b/>
                <w:bCs/>
                <w:sz w:val="20"/>
                <w:szCs w:val="20"/>
                <w:shd w:val="clear" w:color="auto" w:fill="FFFFFF"/>
                <w:lang w:val="en-PH" w:eastAsia="en-PH"/>
              </w:rPr>
            </w:pPr>
            <w:r>
              <w:rPr>
                <w:b/>
                <w:bCs/>
                <w:sz w:val="20"/>
                <w:szCs w:val="20"/>
                <w:shd w:val="clear" w:color="auto" w:fill="FFFFFF"/>
                <w:lang w:val="en-PH" w:eastAsia="en-PH"/>
              </w:rPr>
              <w:t>Fund</w:t>
            </w:r>
          </w:p>
        </w:tc>
        <w:tc>
          <w:tcPr>
            <w:tcW w:w="1980" w:type="dxa"/>
          </w:tcPr>
          <w:p>
            <w:pPr>
              <w:jc w:val="center"/>
              <w:rPr>
                <w:b/>
                <w:bCs/>
                <w:sz w:val="20"/>
                <w:szCs w:val="20"/>
                <w:shd w:val="clear" w:color="auto" w:fill="FFFFFF"/>
                <w:lang w:val="en-PH" w:eastAsia="en-PH"/>
              </w:rPr>
            </w:pPr>
            <w:r>
              <w:rPr>
                <w:b/>
                <w:bCs/>
                <w:sz w:val="20"/>
                <w:szCs w:val="20"/>
                <w:shd w:val="clear" w:color="auto" w:fill="FFFFFF"/>
                <w:lang w:val="en-PH" w:eastAsia="en-PH"/>
              </w:rPr>
              <w:t>Quantity</w:t>
            </w:r>
          </w:p>
        </w:tc>
        <w:tc>
          <w:tcPr>
            <w:tcW w:w="1872" w:type="dxa"/>
          </w:tcPr>
          <w:p>
            <w:pPr>
              <w:jc w:val="center"/>
              <w:rPr>
                <w:b/>
                <w:bCs/>
                <w:sz w:val="20"/>
                <w:szCs w:val="20"/>
                <w:shd w:val="clear" w:color="auto" w:fill="FFFFFF"/>
                <w:lang w:val="en-PH" w:eastAsia="en-PH"/>
              </w:rPr>
            </w:pPr>
            <w:r>
              <w:rPr>
                <w:b/>
                <w:bCs/>
                <w:sz w:val="20"/>
                <w:szCs w:val="20"/>
                <w:shd w:val="clear" w:color="auto" w:fill="FFFFFF"/>
                <w:lang w:val="en-PH" w:eastAsia="en-PH"/>
              </w:rPr>
              <w:t>Amount</w:t>
            </w:r>
          </w:p>
        </w:tc>
      </w:tr>
      <w:tr>
        <w:tc>
          <w:tcPr>
            <w:tcW w:w="1530" w:type="dxa"/>
          </w:tcPr>
          <w:p>
            <w:pPr>
              <w:rPr>
                <w:sz w:val="20"/>
                <w:szCs w:val="20"/>
                <w:shd w:val="clear" w:color="auto" w:fill="FFFFFF"/>
                <w:lang w:val="en-PH" w:eastAsia="en-PH"/>
              </w:rPr>
            </w:pPr>
            <w:r>
              <w:rPr>
                <w:sz w:val="20"/>
                <w:szCs w:val="20"/>
                <w:lang w:val="en-PH" w:eastAsia="en-PH"/>
              </w:rPr>
              <w:t>SEF</w:t>
            </w:r>
          </w:p>
        </w:tc>
        <w:tc>
          <w:tcPr>
            <w:tcW w:w="1980" w:type="dxa"/>
          </w:tcPr>
          <w:p>
            <w:pPr>
              <w:jc w:val="center"/>
              <w:rPr>
                <w:sz w:val="20"/>
                <w:szCs w:val="20"/>
                <w:shd w:val="clear" w:color="auto" w:fill="FFFFFF"/>
                <w:lang w:val="en-PH" w:eastAsia="en-PH"/>
              </w:rPr>
            </w:pPr>
            <w:r>
              <w:rPr>
                <w:sz w:val="20"/>
                <w:szCs w:val="20"/>
                <w:lang w:val="en-PH" w:eastAsia="en-PH"/>
              </w:rPr>
              <w:t>16</w:t>
            </w:r>
          </w:p>
        </w:tc>
        <w:tc>
          <w:tcPr>
            <w:tcW w:w="1872" w:type="dxa"/>
          </w:tcPr>
          <w:p>
            <w:pPr>
              <w:jc w:val="right"/>
              <w:rPr>
                <w:sz w:val="20"/>
                <w:szCs w:val="20"/>
                <w:shd w:val="clear" w:color="auto" w:fill="FFFFFF"/>
                <w:lang w:val="en-PH" w:eastAsia="en-PH"/>
              </w:rPr>
            </w:pPr>
            <w:r>
              <w:rPr>
                <w:sz w:val="20"/>
                <w:szCs w:val="20"/>
                <w:lang w:val="en-PH" w:eastAsia="en-PH"/>
              </w:rPr>
              <w:t xml:space="preserve">P38,044,991.07 </w:t>
            </w:r>
          </w:p>
        </w:tc>
      </w:tr>
      <w:tr>
        <w:tc>
          <w:tcPr>
            <w:tcW w:w="1530" w:type="dxa"/>
          </w:tcPr>
          <w:p>
            <w:pPr>
              <w:rPr>
                <w:sz w:val="20"/>
                <w:szCs w:val="20"/>
                <w:shd w:val="clear" w:color="auto" w:fill="FFFFFF"/>
                <w:lang w:val="en-PH" w:eastAsia="en-PH"/>
              </w:rPr>
            </w:pPr>
            <w:r>
              <w:rPr>
                <w:sz w:val="20"/>
                <w:szCs w:val="20"/>
                <w:lang w:val="en-PH" w:eastAsia="en-PH"/>
              </w:rPr>
              <w:t>TF</w:t>
            </w:r>
          </w:p>
        </w:tc>
        <w:tc>
          <w:tcPr>
            <w:tcW w:w="1980" w:type="dxa"/>
          </w:tcPr>
          <w:p>
            <w:pPr>
              <w:jc w:val="center"/>
              <w:rPr>
                <w:sz w:val="20"/>
                <w:szCs w:val="20"/>
                <w:shd w:val="clear" w:color="auto" w:fill="FFFFFF"/>
                <w:lang w:val="en-PH" w:eastAsia="en-PH"/>
              </w:rPr>
            </w:pPr>
            <w:r>
              <w:rPr>
                <w:sz w:val="20"/>
                <w:szCs w:val="20"/>
                <w:lang w:val="en-PH" w:eastAsia="en-PH"/>
              </w:rPr>
              <w:t>10</w:t>
            </w:r>
          </w:p>
        </w:tc>
        <w:tc>
          <w:tcPr>
            <w:tcW w:w="1872" w:type="dxa"/>
          </w:tcPr>
          <w:p>
            <w:pPr>
              <w:jc w:val="right"/>
              <w:rPr>
                <w:sz w:val="20"/>
                <w:szCs w:val="20"/>
                <w:shd w:val="clear" w:color="auto" w:fill="FFFFFF"/>
                <w:lang w:val="en-PH" w:eastAsia="en-PH"/>
              </w:rPr>
            </w:pPr>
            <w:r>
              <w:rPr>
                <w:sz w:val="20"/>
                <w:szCs w:val="20"/>
                <w:lang w:val="en-PH" w:eastAsia="en-PH"/>
              </w:rPr>
              <w:t xml:space="preserve"> 1,026,059.37 </w:t>
            </w:r>
          </w:p>
        </w:tc>
      </w:tr>
      <w:tr>
        <w:tc>
          <w:tcPr>
            <w:tcW w:w="1530" w:type="dxa"/>
          </w:tcPr>
          <w:p>
            <w:pPr>
              <w:jc w:val="both"/>
              <w:rPr>
                <w:b/>
                <w:bCs/>
                <w:sz w:val="20"/>
                <w:szCs w:val="20"/>
                <w:shd w:val="clear" w:color="auto" w:fill="FFFFFF"/>
                <w:lang w:val="en-PH" w:eastAsia="en-PH"/>
              </w:rPr>
            </w:pPr>
            <w:r>
              <w:rPr>
                <w:b/>
                <w:bCs/>
                <w:sz w:val="20"/>
                <w:szCs w:val="20"/>
                <w:shd w:val="clear" w:color="auto" w:fill="FFFFFF"/>
                <w:lang w:val="en-PH" w:eastAsia="en-PH"/>
              </w:rPr>
              <w:t>Total</w:t>
            </w:r>
          </w:p>
        </w:tc>
        <w:tc>
          <w:tcPr>
            <w:tcW w:w="1980" w:type="dxa"/>
          </w:tcPr>
          <w:p>
            <w:pPr>
              <w:jc w:val="center"/>
              <w:rPr>
                <w:b/>
                <w:bCs/>
                <w:sz w:val="20"/>
                <w:szCs w:val="20"/>
                <w:shd w:val="clear" w:color="auto" w:fill="FFFFFF"/>
                <w:lang w:val="en-PH" w:eastAsia="en-PH"/>
              </w:rPr>
            </w:pPr>
            <w:r>
              <w:rPr>
                <w:b/>
                <w:bCs/>
                <w:sz w:val="20"/>
                <w:szCs w:val="20"/>
                <w:lang w:val="en-PH" w:eastAsia="en-PH"/>
              </w:rPr>
              <w:t>26</w:t>
            </w:r>
          </w:p>
        </w:tc>
        <w:tc>
          <w:tcPr>
            <w:tcW w:w="1872" w:type="dxa"/>
          </w:tcPr>
          <w:p>
            <w:pPr>
              <w:jc w:val="right"/>
              <w:rPr>
                <w:b/>
                <w:bCs/>
                <w:sz w:val="20"/>
                <w:szCs w:val="20"/>
                <w:shd w:val="clear" w:color="auto" w:fill="FFFFFF"/>
                <w:lang w:val="en-PH" w:eastAsia="en-PH"/>
              </w:rPr>
            </w:pPr>
            <w:r>
              <w:rPr>
                <w:b/>
                <w:bCs/>
                <w:sz w:val="20"/>
                <w:szCs w:val="20"/>
                <w:lang w:val="en-PH" w:eastAsia="en-PH"/>
              </w:rPr>
              <w:t xml:space="preserve">P39,071,050.44 </w:t>
            </w:r>
          </w:p>
        </w:tc>
      </w:tr>
    </w:tbl>
    <w:p>
      <w:pPr>
        <w:pStyle w:val="NoSpacing"/>
        <w:jc w:val="both"/>
        <w:rPr>
          <w:rFonts w:ascii="Times New Roman" w:hAnsi="Times New Roman" w:cs="Times New Roman"/>
          <w:sz w:val="24"/>
          <w:szCs w:val="24"/>
          <w:u w:val="none"/>
        </w:rPr>
      </w:pPr>
    </w:p>
    <w:p>
      <w:pPr>
        <w:pStyle w:val="NoSpacing"/>
        <w:jc w:val="both"/>
        <w:rPr>
          <w:rFonts w:eastAsia="SimSun"/>
          <w:color w:val="000000"/>
          <w:lang w:val="en-PH" w:eastAsia="zh-CN"/>
        </w:rPr>
      </w:pPr>
    </w:p>
    <w:p>
      <w:pPr>
        <w:pStyle w:val="ListParagraph"/>
        <w:numPr>
          <w:ilvl w:val="1"/>
          <w:numId w:val="1"/>
        </w:numPr>
        <w:tabs>
          <w:tab w:val="left" w:pos="1200"/>
        </w:tabs>
        <w:ind w:left="1080" w:hanging="540"/>
        <w:jc w:val="both"/>
      </w:pPr>
      <w:r>
        <w:rPr>
          <w:rFonts w:eastAsia="SimSun"/>
          <w:color w:val="000000"/>
          <w:lang w:val="en-PH" w:eastAsia="zh-CN"/>
        </w:rPr>
        <w:t xml:space="preserve">The </w:t>
      </w:r>
      <w:r>
        <w:t>causes of the accounting errors enumerated in para. 1.7 have been communicated to the City through the 2019 Annual Audit Report (Finding Nos. 2 and 4). These causes have been reiterated/discussed with the responsible officials during the course of the audit of the City’s 2020 accounts.</w:t>
      </w:r>
    </w:p>
    <w:p>
      <w:pPr>
        <w:pStyle w:val="ListParagraph"/>
        <w:tabs>
          <w:tab w:val="left" w:pos="425"/>
          <w:tab w:val="left" w:pos="1200"/>
          <w:tab w:val="left" w:pos="1377"/>
        </w:tabs>
        <w:ind w:left="1080"/>
        <w:jc w:val="both"/>
      </w:pPr>
    </w:p>
    <w:p>
      <w:pPr>
        <w:pStyle w:val="ListParagraph"/>
        <w:numPr>
          <w:ilvl w:val="1"/>
          <w:numId w:val="14"/>
        </w:numPr>
        <w:tabs>
          <w:tab w:val="left" w:pos="1134"/>
        </w:tabs>
        <w:ind w:hanging="810"/>
        <w:jc w:val="both"/>
        <w:rPr>
          <w:b/>
          <w:iCs/>
          <w:lang w:val="en-PH"/>
        </w:rPr>
      </w:pPr>
      <w:r>
        <w:rPr>
          <w:b/>
          <w:iCs/>
          <w:lang w:val="en-PH"/>
        </w:rPr>
        <w:t>We recommended that Management:</w:t>
      </w:r>
    </w:p>
    <w:p>
      <w:pPr>
        <w:pStyle w:val="ListParagraph"/>
        <w:tabs>
          <w:tab w:val="left" w:pos="425"/>
          <w:tab w:val="left" w:pos="1200"/>
          <w:tab w:val="left" w:pos="1377"/>
        </w:tabs>
        <w:ind w:left="1080"/>
        <w:jc w:val="both"/>
        <w:rPr>
          <w:b/>
          <w:iCs/>
          <w:lang w:val="en-PH"/>
        </w:rPr>
      </w:pPr>
    </w:p>
    <w:p>
      <w:pPr>
        <w:pStyle w:val="ListParagraph"/>
        <w:numPr>
          <w:ilvl w:val="0"/>
          <w:numId w:val="3"/>
        </w:numPr>
        <w:tabs>
          <w:tab w:val="left" w:pos="1200"/>
        </w:tabs>
        <w:ind w:left="1440"/>
        <w:jc w:val="both"/>
        <w:rPr>
          <w:b/>
          <w:iCs/>
          <w:lang w:val="en-PH"/>
        </w:rPr>
      </w:pPr>
      <w:r>
        <w:rPr>
          <w:b/>
          <w:iCs/>
          <w:lang w:val="en-PH"/>
        </w:rPr>
        <w:t xml:space="preserve">Prepare </w:t>
      </w:r>
      <w:r>
        <w:rPr>
          <w:b/>
          <w:iCs/>
        </w:rPr>
        <w:t xml:space="preserve">the </w:t>
      </w:r>
      <w:r>
        <w:rPr>
          <w:b/>
          <w:iCs/>
          <w:lang w:val="en-PH"/>
        </w:rPr>
        <w:t xml:space="preserve">adjusting entry to record the 6,169 checks with a total amount of P5.913 million in the </w:t>
      </w:r>
      <w:proofErr w:type="spellStart"/>
      <w:r>
        <w:rPr>
          <w:b/>
          <w:iCs/>
          <w:lang w:val="en-PH"/>
        </w:rPr>
        <w:t>CkDJ</w:t>
      </w:r>
      <w:proofErr w:type="spellEnd"/>
      <w:r>
        <w:rPr>
          <w:b/>
          <w:iCs/>
          <w:lang w:val="en-PH"/>
        </w:rPr>
        <w:t>; and</w:t>
      </w:r>
    </w:p>
    <w:p>
      <w:pPr>
        <w:pStyle w:val="ListParagraph"/>
        <w:tabs>
          <w:tab w:val="left" w:pos="1200"/>
        </w:tabs>
        <w:ind w:left="1440"/>
        <w:jc w:val="both"/>
        <w:rPr>
          <w:b/>
          <w:iCs/>
          <w:lang w:val="en-PH"/>
        </w:rPr>
      </w:pPr>
    </w:p>
    <w:p>
      <w:pPr>
        <w:pStyle w:val="ListParagraph"/>
        <w:numPr>
          <w:ilvl w:val="0"/>
          <w:numId w:val="3"/>
        </w:numPr>
        <w:tabs>
          <w:tab w:val="left" w:pos="1200"/>
        </w:tabs>
        <w:ind w:left="1440"/>
        <w:jc w:val="both"/>
        <w:rPr>
          <w:b/>
          <w:iCs/>
          <w:lang w:val="en-PH"/>
        </w:rPr>
      </w:pPr>
      <w:r>
        <w:rPr>
          <w:b/>
          <w:iCs/>
          <w:lang w:val="en-PH"/>
        </w:rPr>
        <w:t>Adopt preventive and corrective measures to address the deficiencies noted in Paragraph no. 1.7.</w:t>
      </w:r>
    </w:p>
    <w:p>
      <w:pPr>
        <w:pStyle w:val="ListParagraph"/>
        <w:tabs>
          <w:tab w:val="left" w:pos="1200"/>
        </w:tabs>
        <w:ind w:left="1080"/>
        <w:jc w:val="both"/>
      </w:pPr>
    </w:p>
    <w:p>
      <w:pPr>
        <w:pStyle w:val="ListParagraph"/>
        <w:ind w:leftChars="225" w:left="540" w:right="2403"/>
        <w:jc w:val="both"/>
        <w:rPr>
          <w:i/>
          <w:iCs/>
        </w:rPr>
      </w:pPr>
      <w:r>
        <w:rPr>
          <w:i/>
          <w:iCs/>
        </w:rPr>
        <w:t xml:space="preserve">Net </w:t>
      </w:r>
      <w:r>
        <w:rPr>
          <w:i/>
          <w:iCs/>
          <w:lang w:eastAsia="zh-CN"/>
        </w:rPr>
        <w:t>overstatement/understatement</w:t>
      </w:r>
      <w:r>
        <w:rPr>
          <w:i/>
          <w:iCs/>
        </w:rPr>
        <w:t xml:space="preserve"> on account of unrecognized deposits, withdrawals, credit memos and debit memos and other errors - P60.902 million</w:t>
      </w:r>
    </w:p>
    <w:p>
      <w:pPr>
        <w:tabs>
          <w:tab w:val="left" w:pos="1200"/>
        </w:tabs>
        <w:jc w:val="both"/>
      </w:pPr>
    </w:p>
    <w:p>
      <w:pPr>
        <w:pStyle w:val="ListParagraph"/>
        <w:numPr>
          <w:ilvl w:val="1"/>
          <w:numId w:val="1"/>
        </w:numPr>
        <w:tabs>
          <w:tab w:val="left" w:pos="1200"/>
        </w:tabs>
        <w:ind w:left="1080" w:hanging="540"/>
        <w:jc w:val="both"/>
      </w:pPr>
      <w:r>
        <w:t>We looked into the book reconciling items of P51</w:t>
      </w:r>
      <w:proofErr w:type="gramStart"/>
      <w:r>
        <w:t>,206,855.06</w:t>
      </w:r>
      <w:proofErr w:type="gramEnd"/>
      <w:r>
        <w:t xml:space="preserve"> and P9,695,487.06 under </w:t>
      </w:r>
      <w:r>
        <w:rPr>
          <w:lang w:val="en-PH"/>
        </w:rPr>
        <w:t xml:space="preserve">the </w:t>
      </w:r>
      <w:r>
        <w:t>GF</w:t>
      </w:r>
      <w:r>
        <w:rPr>
          <w:lang w:val="en-PH"/>
        </w:rPr>
        <w:t xml:space="preserve"> and</w:t>
      </w:r>
      <w:r>
        <w:t xml:space="preserve"> TF</w:t>
      </w:r>
      <w:r>
        <w:rPr>
          <w:lang w:val="en-PH"/>
        </w:rPr>
        <w:t>, respectively,</w:t>
      </w:r>
      <w:r>
        <w:t xml:space="preserve"> listed in the City’s Banks Reconciliation Statements (BRS). These book reconciling items </w:t>
      </w:r>
      <w:r>
        <w:rPr>
          <w:lang w:val="en-PH"/>
        </w:rPr>
        <w:t xml:space="preserve">pertain to transactions in CYs 2014 to 2020 and </w:t>
      </w:r>
      <w:r>
        <w:t xml:space="preserve">are errors in accounting for </w:t>
      </w:r>
      <w:r>
        <w:rPr>
          <w:lang w:val="en-PH"/>
        </w:rPr>
        <w:t xml:space="preserve">the </w:t>
      </w:r>
      <w:proofErr w:type="spellStart"/>
      <w:r>
        <w:t>CiB</w:t>
      </w:r>
      <w:proofErr w:type="spellEnd"/>
      <w:r>
        <w:t xml:space="preserve"> the OCAT itself identified.</w:t>
      </w:r>
    </w:p>
    <w:p>
      <w:pPr>
        <w:pStyle w:val="ListParagraph"/>
        <w:tabs>
          <w:tab w:val="left" w:pos="1200"/>
        </w:tabs>
        <w:ind w:left="1080"/>
        <w:jc w:val="both"/>
      </w:pPr>
    </w:p>
    <w:p>
      <w:pPr>
        <w:pStyle w:val="ListParagraph"/>
        <w:numPr>
          <w:ilvl w:val="1"/>
          <w:numId w:val="1"/>
        </w:numPr>
        <w:tabs>
          <w:tab w:val="left" w:pos="1200"/>
        </w:tabs>
        <w:ind w:left="1080" w:hanging="540"/>
        <w:jc w:val="both"/>
      </w:pPr>
      <w:r>
        <w:t>Review and verification of the BRS revealed that, contrary to procedures prescribed under COA Circular No. 96-011, journal vouchers to record all valid reconciling items requiring adjustments and corrections are not promptly prepared by the OCAT.</w:t>
      </w:r>
    </w:p>
    <w:p>
      <w:pPr>
        <w:pStyle w:val="ListParagraph"/>
        <w:tabs>
          <w:tab w:val="left" w:pos="1200"/>
        </w:tabs>
        <w:ind w:left="1080"/>
        <w:jc w:val="both"/>
      </w:pPr>
    </w:p>
    <w:p>
      <w:pPr>
        <w:pStyle w:val="ListParagraph"/>
        <w:numPr>
          <w:ilvl w:val="1"/>
          <w:numId w:val="1"/>
        </w:numPr>
        <w:tabs>
          <w:tab w:val="left" w:pos="1200"/>
        </w:tabs>
        <w:ind w:left="1080" w:hanging="540"/>
        <w:jc w:val="both"/>
      </w:pPr>
      <w:r>
        <w:t xml:space="preserve">We emphasized that the preparation of BRS is not just finding the amounts of discrepancies in order to reconcile both records but to investigate the propriety of each reconciling items and to effect promptly the necessary adjustments in the books. </w:t>
      </w:r>
    </w:p>
    <w:p>
      <w:pPr>
        <w:tabs>
          <w:tab w:val="left" w:pos="1200"/>
        </w:tabs>
        <w:jc w:val="both"/>
        <w:rPr>
          <w:b/>
        </w:rPr>
      </w:pPr>
    </w:p>
    <w:p>
      <w:pPr>
        <w:pStyle w:val="ListParagraph"/>
        <w:numPr>
          <w:ilvl w:val="1"/>
          <w:numId w:val="14"/>
        </w:numPr>
        <w:tabs>
          <w:tab w:val="clear" w:pos="1377"/>
          <w:tab w:val="num" w:pos="1134"/>
        </w:tabs>
        <w:ind w:left="1134"/>
        <w:jc w:val="both"/>
        <w:rPr>
          <w:b/>
          <w:iCs/>
          <w:lang w:val="en-PH"/>
        </w:rPr>
      </w:pPr>
      <w:r>
        <w:rPr>
          <w:b/>
          <w:iCs/>
          <w:lang w:val="en-PH"/>
        </w:rPr>
        <w:t>We recommended that Management submit supporting documents as basis for recording of the transactions from CYs 2014 to CY 2020 in the amount of P60.902 million.</w:t>
      </w:r>
    </w:p>
    <w:p>
      <w:pPr>
        <w:tabs>
          <w:tab w:val="left" w:pos="1200"/>
        </w:tabs>
        <w:jc w:val="both"/>
        <w:rPr>
          <w:b/>
        </w:rPr>
      </w:pPr>
    </w:p>
    <w:p>
      <w:pPr>
        <w:pStyle w:val="ListParagraph"/>
        <w:numPr>
          <w:ilvl w:val="0"/>
          <w:numId w:val="1"/>
        </w:numPr>
        <w:tabs>
          <w:tab w:val="clear" w:pos="425"/>
          <w:tab w:val="left" w:pos="540"/>
        </w:tabs>
        <w:ind w:left="540" w:hanging="540"/>
        <w:jc w:val="both"/>
        <w:rPr>
          <w:b/>
        </w:rPr>
      </w:pPr>
      <w:r>
        <w:rPr>
          <w:b/>
          <w:color w:val="000000"/>
          <w:lang w:val="en-PH"/>
        </w:rPr>
        <w:lastRenderedPageBreak/>
        <w:t xml:space="preserve">Deficiencies in accounting for </w:t>
      </w:r>
      <w:r>
        <w:rPr>
          <w:b/>
          <w:color w:val="000000"/>
        </w:rPr>
        <w:t xml:space="preserve">PPE </w:t>
      </w:r>
      <w:r>
        <w:rPr>
          <w:b/>
          <w:lang w:val="en-PH"/>
        </w:rPr>
        <w:t xml:space="preserve">undermine the quality of PPE information presented in the </w:t>
      </w:r>
      <w:r>
        <w:rPr>
          <w:b/>
          <w:color w:val="000000"/>
        </w:rPr>
        <w:t>City’s F</w:t>
      </w:r>
      <w:r>
        <w:rPr>
          <w:b/>
          <w:color w:val="000000"/>
          <w:lang w:val="en-PH"/>
        </w:rPr>
        <w:t>S</w:t>
      </w:r>
      <w:r>
        <w:rPr>
          <w:b/>
          <w:color w:val="000000"/>
        </w:rPr>
        <w:t xml:space="preserve">. </w:t>
      </w:r>
    </w:p>
    <w:p>
      <w:pPr>
        <w:pStyle w:val="ListParagraph"/>
        <w:spacing w:line="259" w:lineRule="auto"/>
        <w:ind w:left="0"/>
        <w:jc w:val="both"/>
      </w:pPr>
    </w:p>
    <w:p>
      <w:pPr>
        <w:pStyle w:val="ListParagraph"/>
        <w:numPr>
          <w:ilvl w:val="1"/>
          <w:numId w:val="1"/>
        </w:numPr>
        <w:tabs>
          <w:tab w:val="left" w:pos="1200"/>
        </w:tabs>
        <w:ind w:left="1080" w:hanging="540"/>
        <w:jc w:val="both"/>
      </w:pPr>
      <w:r>
        <w:t>We have noted the accounting deficiencies in Table 4 which weigh on the fairness of presentation of the affected PPE accounts in the City’s FS.</w:t>
      </w:r>
    </w:p>
    <w:p>
      <w:pPr>
        <w:pStyle w:val="ListParagraph"/>
        <w:tabs>
          <w:tab w:val="left" w:pos="1200"/>
        </w:tabs>
        <w:ind w:left="1080"/>
        <w:jc w:val="both"/>
      </w:pPr>
    </w:p>
    <w:p>
      <w:pPr>
        <w:pStyle w:val="ListParagraph"/>
        <w:tabs>
          <w:tab w:val="left" w:pos="1200"/>
        </w:tabs>
        <w:ind w:left="1080"/>
        <w:jc w:val="both"/>
      </w:pPr>
      <w:r>
        <w:rPr>
          <w:rFonts w:eastAsia="SimSun"/>
          <w:sz w:val="20"/>
          <w:szCs w:val="20"/>
          <w:lang w:eastAsia="zh-CN"/>
        </w:rPr>
        <w:t xml:space="preserve">Table 4 - </w:t>
      </w:r>
      <w:r>
        <w:rPr>
          <w:rFonts w:eastAsia="SimSun"/>
          <w:sz w:val="20"/>
          <w:szCs w:val="20"/>
          <w:lang w:val="en-PH" w:eastAsia="zh-CN"/>
        </w:rPr>
        <w:t>PPE Accounting Deficiencies</w:t>
      </w:r>
    </w:p>
    <w:tbl>
      <w:tblPr>
        <w:tblStyle w:val="TableGrid"/>
        <w:tblW w:w="0" w:type="auto"/>
        <w:tblInd w:w="1080" w:type="dxa"/>
        <w:tblLook w:val="04A0" w:firstRow="1" w:lastRow="0" w:firstColumn="1" w:lastColumn="0" w:noHBand="0" w:noVBand="1"/>
      </w:tblPr>
      <w:tblGrid>
        <w:gridCol w:w="5522"/>
        <w:gridCol w:w="2028"/>
      </w:tblGrid>
      <w:tr>
        <w:tc>
          <w:tcPr>
            <w:tcW w:w="5522" w:type="dxa"/>
          </w:tcPr>
          <w:p>
            <w:pPr>
              <w:pStyle w:val="ListParagraph"/>
              <w:tabs>
                <w:tab w:val="left" w:pos="1200"/>
              </w:tabs>
              <w:ind w:left="0"/>
              <w:jc w:val="center"/>
              <w:rPr>
                <w:b/>
                <w:bCs/>
                <w:sz w:val="20"/>
                <w:szCs w:val="20"/>
                <w:lang w:val="en-PH" w:eastAsia="en-PH"/>
              </w:rPr>
            </w:pPr>
            <w:r>
              <w:rPr>
                <w:b/>
                <w:bCs/>
                <w:sz w:val="20"/>
                <w:szCs w:val="20"/>
                <w:lang w:val="en-PH" w:eastAsia="en-PH"/>
              </w:rPr>
              <w:t>Particulars</w:t>
            </w:r>
          </w:p>
        </w:tc>
        <w:tc>
          <w:tcPr>
            <w:tcW w:w="2028" w:type="dxa"/>
          </w:tcPr>
          <w:p>
            <w:pPr>
              <w:pStyle w:val="ListParagraph"/>
              <w:tabs>
                <w:tab w:val="left" w:pos="1200"/>
              </w:tabs>
              <w:ind w:left="0"/>
              <w:jc w:val="center"/>
              <w:rPr>
                <w:b/>
                <w:bCs/>
                <w:sz w:val="20"/>
                <w:szCs w:val="20"/>
                <w:lang w:val="en-PH" w:eastAsia="en-PH"/>
              </w:rPr>
            </w:pPr>
            <w:r>
              <w:rPr>
                <w:b/>
                <w:bCs/>
                <w:sz w:val="20"/>
                <w:szCs w:val="20"/>
                <w:lang w:val="en-PH" w:eastAsia="en-PH"/>
              </w:rPr>
              <w:t>Amount</w:t>
            </w:r>
          </w:p>
        </w:tc>
      </w:tr>
      <w:tr>
        <w:tc>
          <w:tcPr>
            <w:tcW w:w="5522" w:type="dxa"/>
          </w:tcPr>
          <w:p>
            <w:pPr>
              <w:pStyle w:val="ListParagraph"/>
              <w:tabs>
                <w:tab w:val="left" w:pos="1200"/>
              </w:tabs>
              <w:ind w:left="0"/>
              <w:jc w:val="both"/>
              <w:rPr>
                <w:sz w:val="20"/>
                <w:szCs w:val="20"/>
                <w:lang w:eastAsia="en-PH"/>
              </w:rPr>
            </w:pPr>
            <w:r>
              <w:rPr>
                <w:sz w:val="20"/>
                <w:szCs w:val="20"/>
                <w:lang w:val="en-PH" w:eastAsia="en-PH"/>
              </w:rPr>
              <w:t xml:space="preserve">4,087 depreciable PPE items for which NO depreciation is being recognized because the date of their acquisition had not been captured in both the accounting and property records, thus, overstating the affected PPE accounts </w:t>
            </w:r>
            <w:r>
              <w:rPr>
                <w:sz w:val="20"/>
                <w:szCs w:val="20"/>
                <w:lang w:eastAsia="en-PH"/>
              </w:rPr>
              <w:t>(Table 5)</w:t>
            </w:r>
          </w:p>
        </w:tc>
        <w:tc>
          <w:tcPr>
            <w:tcW w:w="2028" w:type="dxa"/>
          </w:tcPr>
          <w:p>
            <w:pPr>
              <w:pStyle w:val="ListParagraph"/>
              <w:tabs>
                <w:tab w:val="left" w:pos="1200"/>
              </w:tabs>
              <w:ind w:left="0"/>
              <w:jc w:val="right"/>
              <w:rPr>
                <w:sz w:val="20"/>
                <w:szCs w:val="20"/>
                <w:lang w:val="en-PH" w:eastAsia="en-PH"/>
              </w:rPr>
            </w:pPr>
            <w:r>
              <w:rPr>
                <w:sz w:val="20"/>
                <w:szCs w:val="20"/>
                <w:lang w:val="en-PH" w:eastAsia="en-PH"/>
              </w:rPr>
              <w:t>P10,262,638,264.46</w:t>
            </w:r>
          </w:p>
        </w:tc>
      </w:tr>
      <w:tr>
        <w:tc>
          <w:tcPr>
            <w:tcW w:w="5522" w:type="dxa"/>
          </w:tcPr>
          <w:p>
            <w:pPr>
              <w:pStyle w:val="ListParagraph"/>
              <w:tabs>
                <w:tab w:val="left" w:pos="1200"/>
              </w:tabs>
              <w:ind w:left="0"/>
              <w:jc w:val="both"/>
              <w:rPr>
                <w:sz w:val="20"/>
                <w:szCs w:val="20"/>
                <w:lang w:eastAsia="en-PH"/>
              </w:rPr>
            </w:pPr>
            <w:r>
              <w:rPr>
                <w:sz w:val="20"/>
                <w:szCs w:val="20"/>
                <w:lang w:val="en-PH" w:eastAsia="en-PH"/>
              </w:rPr>
              <w:t xml:space="preserve">Four items of land, building or school building are recognized at the total insignificant nominal costs of P20,061.43, thus, are undervalued </w:t>
            </w:r>
            <w:r>
              <w:rPr>
                <w:sz w:val="20"/>
                <w:szCs w:val="20"/>
                <w:lang w:eastAsia="en-PH"/>
              </w:rPr>
              <w:t>(Table 6)</w:t>
            </w:r>
          </w:p>
        </w:tc>
        <w:tc>
          <w:tcPr>
            <w:tcW w:w="2028" w:type="dxa"/>
          </w:tcPr>
          <w:p>
            <w:pPr>
              <w:pStyle w:val="ListParagraph"/>
              <w:tabs>
                <w:tab w:val="left" w:pos="1200"/>
              </w:tabs>
              <w:ind w:left="0"/>
              <w:jc w:val="right"/>
              <w:rPr>
                <w:sz w:val="20"/>
                <w:szCs w:val="20"/>
                <w:lang w:val="en-PH" w:eastAsia="en-PH"/>
              </w:rPr>
            </w:pPr>
            <w:r>
              <w:rPr>
                <w:sz w:val="20"/>
                <w:szCs w:val="20"/>
                <w:lang w:val="en-PH" w:eastAsia="en-PH"/>
              </w:rPr>
              <w:t>20,061.43</w:t>
            </w:r>
          </w:p>
        </w:tc>
      </w:tr>
    </w:tbl>
    <w:p>
      <w:pPr>
        <w:pStyle w:val="ListParagraph"/>
        <w:tabs>
          <w:tab w:val="left" w:pos="425"/>
          <w:tab w:val="left" w:pos="1200"/>
          <w:tab w:val="left" w:pos="1377"/>
        </w:tabs>
        <w:ind w:left="1080"/>
        <w:jc w:val="both"/>
        <w:rPr>
          <w:bCs/>
          <w:color w:val="4F81BD" w:themeColor="accent1"/>
        </w:rPr>
      </w:pPr>
    </w:p>
    <w:p>
      <w:pPr>
        <w:pStyle w:val="ListParagraph"/>
        <w:ind w:left="1080"/>
        <w:jc w:val="both"/>
        <w:rPr>
          <w:bCs/>
          <w:sz w:val="20"/>
          <w:szCs w:val="20"/>
        </w:rPr>
      </w:pPr>
      <w:r>
        <w:rPr>
          <w:bCs/>
          <w:sz w:val="20"/>
          <w:szCs w:val="20"/>
        </w:rPr>
        <w:t>Table 5 - D</w:t>
      </w:r>
      <w:proofErr w:type="spellStart"/>
      <w:r>
        <w:rPr>
          <w:sz w:val="20"/>
          <w:szCs w:val="20"/>
          <w:lang w:val="en-PH" w:eastAsia="en-PH"/>
        </w:rPr>
        <w:t>epreciable</w:t>
      </w:r>
      <w:proofErr w:type="spellEnd"/>
      <w:r>
        <w:rPr>
          <w:sz w:val="20"/>
          <w:szCs w:val="20"/>
          <w:lang w:val="en-PH" w:eastAsia="en-PH"/>
        </w:rPr>
        <w:t xml:space="preserve"> PPE Items for which NO Depreciation is Being Recognized</w:t>
      </w:r>
    </w:p>
    <w:tbl>
      <w:tblPr>
        <w:tblStyle w:val="TableGrid"/>
        <w:tblW w:w="7560" w:type="dxa"/>
        <w:tblInd w:w="1098" w:type="dxa"/>
        <w:tblLook w:val="04A0" w:firstRow="1" w:lastRow="0" w:firstColumn="1" w:lastColumn="0" w:noHBand="0" w:noVBand="1"/>
      </w:tblPr>
      <w:tblGrid>
        <w:gridCol w:w="4140"/>
        <w:gridCol w:w="1350"/>
        <w:gridCol w:w="2070"/>
      </w:tblGrid>
      <w:tr>
        <w:trPr>
          <w:tblHeader/>
        </w:trPr>
        <w:tc>
          <w:tcPr>
            <w:tcW w:w="4140" w:type="dxa"/>
          </w:tcPr>
          <w:p>
            <w:pPr>
              <w:tabs>
                <w:tab w:val="left" w:pos="1200"/>
              </w:tabs>
              <w:jc w:val="center"/>
              <w:rPr>
                <w:b/>
                <w:sz w:val="20"/>
                <w:szCs w:val="20"/>
              </w:rPr>
            </w:pPr>
            <w:r>
              <w:rPr>
                <w:b/>
                <w:sz w:val="20"/>
                <w:szCs w:val="20"/>
              </w:rPr>
              <w:t>PPE account</w:t>
            </w:r>
          </w:p>
        </w:tc>
        <w:tc>
          <w:tcPr>
            <w:tcW w:w="1350" w:type="dxa"/>
          </w:tcPr>
          <w:p>
            <w:pPr>
              <w:tabs>
                <w:tab w:val="left" w:pos="1200"/>
              </w:tabs>
              <w:jc w:val="center"/>
              <w:rPr>
                <w:b/>
                <w:sz w:val="20"/>
                <w:szCs w:val="20"/>
              </w:rPr>
            </w:pPr>
            <w:r>
              <w:rPr>
                <w:b/>
                <w:sz w:val="20"/>
                <w:szCs w:val="20"/>
              </w:rPr>
              <w:t>No. of items</w:t>
            </w:r>
          </w:p>
        </w:tc>
        <w:tc>
          <w:tcPr>
            <w:tcW w:w="2070" w:type="dxa"/>
          </w:tcPr>
          <w:p>
            <w:pPr>
              <w:tabs>
                <w:tab w:val="left" w:pos="1200"/>
              </w:tabs>
              <w:jc w:val="center"/>
              <w:rPr>
                <w:b/>
                <w:sz w:val="20"/>
                <w:szCs w:val="20"/>
              </w:rPr>
            </w:pPr>
            <w:r>
              <w:rPr>
                <w:b/>
                <w:sz w:val="20"/>
                <w:szCs w:val="20"/>
              </w:rPr>
              <w:t>Cost</w:t>
            </w:r>
          </w:p>
        </w:tc>
      </w:tr>
      <w:tr>
        <w:tc>
          <w:tcPr>
            <w:tcW w:w="4140" w:type="dxa"/>
          </w:tcPr>
          <w:p>
            <w:pPr>
              <w:tabs>
                <w:tab w:val="left" w:pos="1200"/>
              </w:tabs>
              <w:rPr>
                <w:bCs/>
                <w:sz w:val="20"/>
                <w:szCs w:val="20"/>
              </w:rPr>
            </w:pPr>
            <w:r>
              <w:rPr>
                <w:sz w:val="20"/>
                <w:szCs w:val="20"/>
              </w:rPr>
              <w:t>Investment Property, Land</w:t>
            </w:r>
          </w:p>
        </w:tc>
        <w:tc>
          <w:tcPr>
            <w:tcW w:w="1350" w:type="dxa"/>
          </w:tcPr>
          <w:p>
            <w:pPr>
              <w:tabs>
                <w:tab w:val="left" w:pos="1200"/>
              </w:tabs>
              <w:jc w:val="center"/>
              <w:rPr>
                <w:bCs/>
                <w:sz w:val="20"/>
                <w:szCs w:val="20"/>
              </w:rPr>
            </w:pPr>
            <w:r>
              <w:rPr>
                <w:sz w:val="20"/>
                <w:szCs w:val="20"/>
              </w:rPr>
              <w:t>1</w:t>
            </w:r>
          </w:p>
        </w:tc>
        <w:tc>
          <w:tcPr>
            <w:tcW w:w="2070" w:type="dxa"/>
          </w:tcPr>
          <w:p>
            <w:pPr>
              <w:tabs>
                <w:tab w:val="left" w:pos="1200"/>
              </w:tabs>
              <w:jc w:val="right"/>
              <w:rPr>
                <w:bCs/>
                <w:sz w:val="20"/>
                <w:szCs w:val="20"/>
              </w:rPr>
            </w:pPr>
            <w:r>
              <w:rPr>
                <w:sz w:val="20"/>
                <w:szCs w:val="20"/>
              </w:rPr>
              <w:t xml:space="preserve"> P     25,177,833.00 </w:t>
            </w:r>
          </w:p>
        </w:tc>
      </w:tr>
      <w:tr>
        <w:tc>
          <w:tcPr>
            <w:tcW w:w="4140" w:type="dxa"/>
          </w:tcPr>
          <w:p>
            <w:pPr>
              <w:tabs>
                <w:tab w:val="left" w:pos="1200"/>
              </w:tabs>
              <w:rPr>
                <w:bCs/>
                <w:sz w:val="20"/>
                <w:szCs w:val="20"/>
              </w:rPr>
            </w:pPr>
            <w:r>
              <w:rPr>
                <w:sz w:val="20"/>
                <w:szCs w:val="20"/>
              </w:rPr>
              <w:t>Land</w:t>
            </w:r>
          </w:p>
        </w:tc>
        <w:tc>
          <w:tcPr>
            <w:tcW w:w="1350" w:type="dxa"/>
          </w:tcPr>
          <w:p>
            <w:pPr>
              <w:tabs>
                <w:tab w:val="left" w:pos="1200"/>
              </w:tabs>
              <w:jc w:val="center"/>
              <w:rPr>
                <w:bCs/>
                <w:sz w:val="20"/>
                <w:szCs w:val="20"/>
              </w:rPr>
            </w:pPr>
            <w:r>
              <w:rPr>
                <w:sz w:val="20"/>
                <w:szCs w:val="20"/>
              </w:rPr>
              <w:t>78</w:t>
            </w:r>
          </w:p>
        </w:tc>
        <w:tc>
          <w:tcPr>
            <w:tcW w:w="2070" w:type="dxa"/>
          </w:tcPr>
          <w:p>
            <w:pPr>
              <w:tabs>
                <w:tab w:val="left" w:pos="1200"/>
              </w:tabs>
              <w:jc w:val="right"/>
              <w:rPr>
                <w:bCs/>
                <w:sz w:val="20"/>
                <w:szCs w:val="20"/>
              </w:rPr>
            </w:pPr>
            <w:r>
              <w:rPr>
                <w:sz w:val="20"/>
                <w:szCs w:val="20"/>
              </w:rPr>
              <w:t xml:space="preserve"> 1,692,140,375.63 </w:t>
            </w:r>
          </w:p>
        </w:tc>
      </w:tr>
      <w:tr>
        <w:tc>
          <w:tcPr>
            <w:tcW w:w="4140" w:type="dxa"/>
          </w:tcPr>
          <w:p>
            <w:pPr>
              <w:tabs>
                <w:tab w:val="left" w:pos="1200"/>
              </w:tabs>
              <w:rPr>
                <w:bCs/>
                <w:sz w:val="20"/>
                <w:szCs w:val="20"/>
              </w:rPr>
            </w:pPr>
            <w:r>
              <w:rPr>
                <w:sz w:val="20"/>
                <w:szCs w:val="20"/>
              </w:rPr>
              <w:t>Parks, Plazas and Monuments</w:t>
            </w:r>
          </w:p>
        </w:tc>
        <w:tc>
          <w:tcPr>
            <w:tcW w:w="1350" w:type="dxa"/>
          </w:tcPr>
          <w:p>
            <w:pPr>
              <w:tabs>
                <w:tab w:val="left" w:pos="1200"/>
              </w:tabs>
              <w:jc w:val="center"/>
              <w:rPr>
                <w:bCs/>
                <w:sz w:val="20"/>
                <w:szCs w:val="20"/>
              </w:rPr>
            </w:pPr>
            <w:r>
              <w:rPr>
                <w:sz w:val="20"/>
                <w:szCs w:val="20"/>
              </w:rPr>
              <w:t>67</w:t>
            </w:r>
          </w:p>
        </w:tc>
        <w:tc>
          <w:tcPr>
            <w:tcW w:w="2070" w:type="dxa"/>
          </w:tcPr>
          <w:p>
            <w:pPr>
              <w:tabs>
                <w:tab w:val="left" w:pos="1200"/>
              </w:tabs>
              <w:jc w:val="right"/>
              <w:rPr>
                <w:bCs/>
                <w:sz w:val="20"/>
                <w:szCs w:val="20"/>
              </w:rPr>
            </w:pPr>
            <w:r>
              <w:rPr>
                <w:sz w:val="20"/>
                <w:szCs w:val="20"/>
              </w:rPr>
              <w:t xml:space="preserve"> 391,390,560.00 </w:t>
            </w:r>
          </w:p>
        </w:tc>
      </w:tr>
      <w:tr>
        <w:tc>
          <w:tcPr>
            <w:tcW w:w="4140" w:type="dxa"/>
          </w:tcPr>
          <w:p>
            <w:pPr>
              <w:tabs>
                <w:tab w:val="left" w:pos="1200"/>
              </w:tabs>
              <w:rPr>
                <w:bCs/>
                <w:sz w:val="20"/>
                <w:szCs w:val="20"/>
              </w:rPr>
            </w:pPr>
            <w:r>
              <w:rPr>
                <w:sz w:val="20"/>
                <w:szCs w:val="20"/>
              </w:rPr>
              <w:t>Buildings</w:t>
            </w:r>
          </w:p>
        </w:tc>
        <w:tc>
          <w:tcPr>
            <w:tcW w:w="1350" w:type="dxa"/>
          </w:tcPr>
          <w:p>
            <w:pPr>
              <w:tabs>
                <w:tab w:val="left" w:pos="1200"/>
              </w:tabs>
              <w:jc w:val="center"/>
              <w:rPr>
                <w:bCs/>
                <w:sz w:val="20"/>
                <w:szCs w:val="20"/>
              </w:rPr>
            </w:pPr>
            <w:r>
              <w:rPr>
                <w:sz w:val="20"/>
                <w:szCs w:val="20"/>
              </w:rPr>
              <w:t>55</w:t>
            </w:r>
          </w:p>
        </w:tc>
        <w:tc>
          <w:tcPr>
            <w:tcW w:w="2070" w:type="dxa"/>
          </w:tcPr>
          <w:p>
            <w:pPr>
              <w:tabs>
                <w:tab w:val="left" w:pos="1200"/>
              </w:tabs>
              <w:jc w:val="right"/>
              <w:rPr>
                <w:bCs/>
                <w:sz w:val="20"/>
                <w:szCs w:val="20"/>
              </w:rPr>
            </w:pPr>
            <w:r>
              <w:rPr>
                <w:sz w:val="20"/>
                <w:szCs w:val="20"/>
              </w:rPr>
              <w:t xml:space="preserve"> 2,625,695,203.81 </w:t>
            </w:r>
          </w:p>
        </w:tc>
      </w:tr>
      <w:tr>
        <w:tc>
          <w:tcPr>
            <w:tcW w:w="4140" w:type="dxa"/>
          </w:tcPr>
          <w:p>
            <w:pPr>
              <w:tabs>
                <w:tab w:val="left" w:pos="1200"/>
              </w:tabs>
              <w:rPr>
                <w:bCs/>
                <w:sz w:val="20"/>
                <w:szCs w:val="20"/>
              </w:rPr>
            </w:pPr>
            <w:r>
              <w:rPr>
                <w:sz w:val="20"/>
                <w:szCs w:val="20"/>
              </w:rPr>
              <w:t>School Buildings</w:t>
            </w:r>
          </w:p>
        </w:tc>
        <w:tc>
          <w:tcPr>
            <w:tcW w:w="1350" w:type="dxa"/>
          </w:tcPr>
          <w:p>
            <w:pPr>
              <w:tabs>
                <w:tab w:val="left" w:pos="1200"/>
              </w:tabs>
              <w:jc w:val="center"/>
              <w:rPr>
                <w:bCs/>
                <w:sz w:val="20"/>
                <w:szCs w:val="20"/>
              </w:rPr>
            </w:pPr>
            <w:r>
              <w:rPr>
                <w:sz w:val="20"/>
                <w:szCs w:val="20"/>
              </w:rPr>
              <w:t>10</w:t>
            </w:r>
          </w:p>
        </w:tc>
        <w:tc>
          <w:tcPr>
            <w:tcW w:w="2070" w:type="dxa"/>
          </w:tcPr>
          <w:p>
            <w:pPr>
              <w:tabs>
                <w:tab w:val="left" w:pos="1200"/>
              </w:tabs>
              <w:jc w:val="right"/>
              <w:rPr>
                <w:bCs/>
                <w:sz w:val="20"/>
                <w:szCs w:val="20"/>
              </w:rPr>
            </w:pPr>
            <w:r>
              <w:rPr>
                <w:sz w:val="20"/>
                <w:szCs w:val="20"/>
              </w:rPr>
              <w:t xml:space="preserve"> 229,558,277.08 </w:t>
            </w:r>
          </w:p>
        </w:tc>
      </w:tr>
      <w:tr>
        <w:tc>
          <w:tcPr>
            <w:tcW w:w="4140" w:type="dxa"/>
          </w:tcPr>
          <w:p>
            <w:pPr>
              <w:tabs>
                <w:tab w:val="left" w:pos="1200"/>
              </w:tabs>
              <w:rPr>
                <w:bCs/>
                <w:sz w:val="20"/>
                <w:szCs w:val="20"/>
              </w:rPr>
            </w:pPr>
            <w:r>
              <w:rPr>
                <w:sz w:val="20"/>
                <w:szCs w:val="20"/>
              </w:rPr>
              <w:t>Hospitals and Health Centers</w:t>
            </w:r>
          </w:p>
        </w:tc>
        <w:tc>
          <w:tcPr>
            <w:tcW w:w="1350" w:type="dxa"/>
          </w:tcPr>
          <w:p>
            <w:pPr>
              <w:tabs>
                <w:tab w:val="left" w:pos="1200"/>
              </w:tabs>
              <w:jc w:val="center"/>
              <w:rPr>
                <w:bCs/>
                <w:sz w:val="20"/>
                <w:szCs w:val="20"/>
              </w:rPr>
            </w:pPr>
            <w:r>
              <w:rPr>
                <w:sz w:val="20"/>
                <w:szCs w:val="20"/>
              </w:rPr>
              <w:t>77</w:t>
            </w:r>
          </w:p>
        </w:tc>
        <w:tc>
          <w:tcPr>
            <w:tcW w:w="2070" w:type="dxa"/>
          </w:tcPr>
          <w:p>
            <w:pPr>
              <w:tabs>
                <w:tab w:val="left" w:pos="1200"/>
              </w:tabs>
              <w:jc w:val="right"/>
              <w:rPr>
                <w:bCs/>
                <w:sz w:val="20"/>
                <w:szCs w:val="20"/>
              </w:rPr>
            </w:pPr>
            <w:r>
              <w:rPr>
                <w:sz w:val="20"/>
                <w:szCs w:val="20"/>
              </w:rPr>
              <w:t xml:space="preserve"> 2,784,004,168.02 </w:t>
            </w:r>
          </w:p>
        </w:tc>
      </w:tr>
      <w:tr>
        <w:tc>
          <w:tcPr>
            <w:tcW w:w="4140" w:type="dxa"/>
          </w:tcPr>
          <w:p>
            <w:pPr>
              <w:tabs>
                <w:tab w:val="left" w:pos="1200"/>
              </w:tabs>
              <w:rPr>
                <w:bCs/>
                <w:sz w:val="20"/>
                <w:szCs w:val="20"/>
              </w:rPr>
            </w:pPr>
            <w:r>
              <w:rPr>
                <w:sz w:val="20"/>
                <w:szCs w:val="20"/>
              </w:rPr>
              <w:t>Markets</w:t>
            </w:r>
          </w:p>
        </w:tc>
        <w:tc>
          <w:tcPr>
            <w:tcW w:w="1350" w:type="dxa"/>
          </w:tcPr>
          <w:p>
            <w:pPr>
              <w:tabs>
                <w:tab w:val="left" w:pos="1200"/>
              </w:tabs>
              <w:jc w:val="center"/>
              <w:rPr>
                <w:bCs/>
                <w:sz w:val="20"/>
                <w:szCs w:val="20"/>
              </w:rPr>
            </w:pPr>
            <w:r>
              <w:rPr>
                <w:sz w:val="20"/>
                <w:szCs w:val="20"/>
              </w:rPr>
              <w:t>18</w:t>
            </w:r>
          </w:p>
        </w:tc>
        <w:tc>
          <w:tcPr>
            <w:tcW w:w="2070" w:type="dxa"/>
          </w:tcPr>
          <w:p>
            <w:pPr>
              <w:tabs>
                <w:tab w:val="left" w:pos="1200"/>
              </w:tabs>
              <w:jc w:val="right"/>
              <w:rPr>
                <w:bCs/>
                <w:sz w:val="20"/>
                <w:szCs w:val="20"/>
              </w:rPr>
            </w:pPr>
            <w:r>
              <w:rPr>
                <w:sz w:val="20"/>
                <w:szCs w:val="20"/>
              </w:rPr>
              <w:t xml:space="preserve"> 1,489,702,701.32 </w:t>
            </w:r>
          </w:p>
        </w:tc>
      </w:tr>
      <w:tr>
        <w:tc>
          <w:tcPr>
            <w:tcW w:w="4140" w:type="dxa"/>
          </w:tcPr>
          <w:p>
            <w:pPr>
              <w:tabs>
                <w:tab w:val="left" w:pos="1200"/>
              </w:tabs>
              <w:rPr>
                <w:bCs/>
                <w:sz w:val="20"/>
                <w:szCs w:val="20"/>
              </w:rPr>
            </w:pPr>
            <w:r>
              <w:rPr>
                <w:sz w:val="20"/>
                <w:szCs w:val="20"/>
              </w:rPr>
              <w:t>Other Structures</w:t>
            </w:r>
          </w:p>
        </w:tc>
        <w:tc>
          <w:tcPr>
            <w:tcW w:w="1350" w:type="dxa"/>
          </w:tcPr>
          <w:p>
            <w:pPr>
              <w:tabs>
                <w:tab w:val="left" w:pos="1200"/>
              </w:tabs>
              <w:jc w:val="center"/>
              <w:rPr>
                <w:bCs/>
                <w:sz w:val="20"/>
                <w:szCs w:val="20"/>
              </w:rPr>
            </w:pPr>
            <w:r>
              <w:rPr>
                <w:sz w:val="20"/>
                <w:szCs w:val="20"/>
              </w:rPr>
              <w:t>58</w:t>
            </w:r>
          </w:p>
        </w:tc>
        <w:tc>
          <w:tcPr>
            <w:tcW w:w="2070" w:type="dxa"/>
          </w:tcPr>
          <w:p>
            <w:pPr>
              <w:tabs>
                <w:tab w:val="left" w:pos="1200"/>
              </w:tabs>
              <w:jc w:val="right"/>
              <w:rPr>
                <w:bCs/>
                <w:sz w:val="20"/>
                <w:szCs w:val="20"/>
              </w:rPr>
            </w:pPr>
            <w:r>
              <w:rPr>
                <w:sz w:val="20"/>
                <w:szCs w:val="20"/>
              </w:rPr>
              <w:t xml:space="preserve"> 332,102,958.49 </w:t>
            </w:r>
          </w:p>
        </w:tc>
      </w:tr>
      <w:tr>
        <w:tc>
          <w:tcPr>
            <w:tcW w:w="4140" w:type="dxa"/>
          </w:tcPr>
          <w:p>
            <w:pPr>
              <w:tabs>
                <w:tab w:val="left" w:pos="1200"/>
              </w:tabs>
              <w:rPr>
                <w:bCs/>
                <w:sz w:val="20"/>
                <w:szCs w:val="20"/>
              </w:rPr>
            </w:pPr>
            <w:r>
              <w:rPr>
                <w:sz w:val="20"/>
                <w:szCs w:val="20"/>
              </w:rPr>
              <w:t>Machinery</w:t>
            </w:r>
          </w:p>
        </w:tc>
        <w:tc>
          <w:tcPr>
            <w:tcW w:w="1350" w:type="dxa"/>
          </w:tcPr>
          <w:p>
            <w:pPr>
              <w:tabs>
                <w:tab w:val="left" w:pos="1200"/>
              </w:tabs>
              <w:jc w:val="center"/>
              <w:rPr>
                <w:bCs/>
                <w:sz w:val="20"/>
                <w:szCs w:val="20"/>
              </w:rPr>
            </w:pPr>
            <w:r>
              <w:rPr>
                <w:sz w:val="20"/>
                <w:szCs w:val="20"/>
              </w:rPr>
              <w:t>3</w:t>
            </w:r>
          </w:p>
        </w:tc>
        <w:tc>
          <w:tcPr>
            <w:tcW w:w="2070" w:type="dxa"/>
          </w:tcPr>
          <w:p>
            <w:pPr>
              <w:tabs>
                <w:tab w:val="left" w:pos="1200"/>
              </w:tabs>
              <w:jc w:val="right"/>
              <w:rPr>
                <w:bCs/>
                <w:sz w:val="20"/>
                <w:szCs w:val="20"/>
              </w:rPr>
            </w:pPr>
            <w:r>
              <w:rPr>
                <w:sz w:val="20"/>
                <w:szCs w:val="20"/>
              </w:rPr>
              <w:t xml:space="preserve"> 7,756,526.00 </w:t>
            </w:r>
          </w:p>
        </w:tc>
      </w:tr>
      <w:tr>
        <w:tc>
          <w:tcPr>
            <w:tcW w:w="4140" w:type="dxa"/>
          </w:tcPr>
          <w:p>
            <w:pPr>
              <w:tabs>
                <w:tab w:val="left" w:pos="1200"/>
              </w:tabs>
              <w:rPr>
                <w:bCs/>
                <w:sz w:val="20"/>
                <w:szCs w:val="20"/>
              </w:rPr>
            </w:pPr>
            <w:r>
              <w:rPr>
                <w:sz w:val="20"/>
                <w:szCs w:val="20"/>
              </w:rPr>
              <w:t>Office Equipment</w:t>
            </w:r>
          </w:p>
        </w:tc>
        <w:tc>
          <w:tcPr>
            <w:tcW w:w="1350" w:type="dxa"/>
          </w:tcPr>
          <w:p>
            <w:pPr>
              <w:tabs>
                <w:tab w:val="left" w:pos="1200"/>
              </w:tabs>
              <w:jc w:val="center"/>
              <w:rPr>
                <w:bCs/>
                <w:sz w:val="20"/>
                <w:szCs w:val="20"/>
              </w:rPr>
            </w:pPr>
            <w:r>
              <w:rPr>
                <w:sz w:val="20"/>
                <w:szCs w:val="20"/>
              </w:rPr>
              <w:t>58</w:t>
            </w:r>
          </w:p>
        </w:tc>
        <w:tc>
          <w:tcPr>
            <w:tcW w:w="2070" w:type="dxa"/>
          </w:tcPr>
          <w:p>
            <w:pPr>
              <w:tabs>
                <w:tab w:val="left" w:pos="1200"/>
              </w:tabs>
              <w:jc w:val="right"/>
              <w:rPr>
                <w:bCs/>
                <w:sz w:val="20"/>
                <w:szCs w:val="20"/>
              </w:rPr>
            </w:pPr>
            <w:r>
              <w:rPr>
                <w:sz w:val="20"/>
                <w:szCs w:val="20"/>
              </w:rPr>
              <w:t xml:space="preserve"> 8,657,254.92 </w:t>
            </w:r>
          </w:p>
        </w:tc>
      </w:tr>
      <w:tr>
        <w:tc>
          <w:tcPr>
            <w:tcW w:w="4140" w:type="dxa"/>
          </w:tcPr>
          <w:p>
            <w:pPr>
              <w:tabs>
                <w:tab w:val="left" w:pos="1200"/>
              </w:tabs>
              <w:rPr>
                <w:bCs/>
                <w:sz w:val="20"/>
                <w:szCs w:val="20"/>
              </w:rPr>
            </w:pPr>
            <w:r>
              <w:rPr>
                <w:sz w:val="20"/>
                <w:szCs w:val="20"/>
              </w:rPr>
              <w:t>Information and Communication Technology Equipment</w:t>
            </w:r>
          </w:p>
        </w:tc>
        <w:tc>
          <w:tcPr>
            <w:tcW w:w="1350" w:type="dxa"/>
          </w:tcPr>
          <w:p>
            <w:pPr>
              <w:tabs>
                <w:tab w:val="left" w:pos="1200"/>
              </w:tabs>
              <w:jc w:val="center"/>
              <w:rPr>
                <w:bCs/>
                <w:sz w:val="20"/>
                <w:szCs w:val="20"/>
              </w:rPr>
            </w:pPr>
            <w:r>
              <w:rPr>
                <w:sz w:val="20"/>
                <w:szCs w:val="20"/>
              </w:rPr>
              <w:t>1,528</w:t>
            </w:r>
          </w:p>
        </w:tc>
        <w:tc>
          <w:tcPr>
            <w:tcW w:w="2070" w:type="dxa"/>
          </w:tcPr>
          <w:p>
            <w:pPr>
              <w:tabs>
                <w:tab w:val="left" w:pos="1200"/>
              </w:tabs>
              <w:jc w:val="right"/>
              <w:rPr>
                <w:bCs/>
                <w:sz w:val="20"/>
                <w:szCs w:val="20"/>
              </w:rPr>
            </w:pPr>
            <w:r>
              <w:rPr>
                <w:sz w:val="20"/>
                <w:szCs w:val="20"/>
              </w:rPr>
              <w:t xml:space="preserve"> 91,279,345.78 </w:t>
            </w:r>
          </w:p>
        </w:tc>
      </w:tr>
      <w:tr>
        <w:tc>
          <w:tcPr>
            <w:tcW w:w="4140" w:type="dxa"/>
          </w:tcPr>
          <w:p>
            <w:pPr>
              <w:tabs>
                <w:tab w:val="left" w:pos="1200"/>
              </w:tabs>
              <w:rPr>
                <w:bCs/>
                <w:sz w:val="20"/>
                <w:szCs w:val="20"/>
              </w:rPr>
            </w:pPr>
            <w:r>
              <w:rPr>
                <w:sz w:val="20"/>
                <w:szCs w:val="20"/>
              </w:rPr>
              <w:t>Communication Equipment</w:t>
            </w:r>
          </w:p>
        </w:tc>
        <w:tc>
          <w:tcPr>
            <w:tcW w:w="1350" w:type="dxa"/>
          </w:tcPr>
          <w:p>
            <w:pPr>
              <w:tabs>
                <w:tab w:val="left" w:pos="1200"/>
              </w:tabs>
              <w:jc w:val="center"/>
              <w:rPr>
                <w:bCs/>
                <w:sz w:val="20"/>
                <w:szCs w:val="20"/>
              </w:rPr>
            </w:pPr>
            <w:r>
              <w:rPr>
                <w:sz w:val="20"/>
                <w:szCs w:val="20"/>
              </w:rPr>
              <w:t>66</w:t>
            </w:r>
          </w:p>
        </w:tc>
        <w:tc>
          <w:tcPr>
            <w:tcW w:w="2070" w:type="dxa"/>
          </w:tcPr>
          <w:p>
            <w:pPr>
              <w:tabs>
                <w:tab w:val="left" w:pos="1200"/>
              </w:tabs>
              <w:jc w:val="right"/>
              <w:rPr>
                <w:bCs/>
                <w:sz w:val="20"/>
                <w:szCs w:val="20"/>
              </w:rPr>
            </w:pPr>
            <w:r>
              <w:rPr>
                <w:sz w:val="20"/>
                <w:szCs w:val="20"/>
              </w:rPr>
              <w:t xml:space="preserve"> 4,773,819.02 </w:t>
            </w:r>
          </w:p>
        </w:tc>
      </w:tr>
      <w:tr>
        <w:tc>
          <w:tcPr>
            <w:tcW w:w="4140" w:type="dxa"/>
          </w:tcPr>
          <w:p>
            <w:pPr>
              <w:tabs>
                <w:tab w:val="left" w:pos="1200"/>
              </w:tabs>
              <w:rPr>
                <w:bCs/>
                <w:sz w:val="20"/>
                <w:szCs w:val="20"/>
              </w:rPr>
            </w:pPr>
            <w:r>
              <w:rPr>
                <w:sz w:val="20"/>
                <w:szCs w:val="20"/>
              </w:rPr>
              <w:t>Construction and Heavy Equipment</w:t>
            </w:r>
          </w:p>
        </w:tc>
        <w:tc>
          <w:tcPr>
            <w:tcW w:w="1350" w:type="dxa"/>
          </w:tcPr>
          <w:p>
            <w:pPr>
              <w:tabs>
                <w:tab w:val="left" w:pos="1200"/>
              </w:tabs>
              <w:jc w:val="center"/>
              <w:rPr>
                <w:bCs/>
                <w:sz w:val="20"/>
                <w:szCs w:val="20"/>
              </w:rPr>
            </w:pPr>
            <w:r>
              <w:rPr>
                <w:sz w:val="20"/>
                <w:szCs w:val="20"/>
              </w:rPr>
              <w:t>1</w:t>
            </w:r>
          </w:p>
        </w:tc>
        <w:tc>
          <w:tcPr>
            <w:tcW w:w="2070" w:type="dxa"/>
          </w:tcPr>
          <w:p>
            <w:pPr>
              <w:tabs>
                <w:tab w:val="left" w:pos="1200"/>
              </w:tabs>
              <w:jc w:val="right"/>
              <w:rPr>
                <w:bCs/>
                <w:sz w:val="20"/>
                <w:szCs w:val="20"/>
              </w:rPr>
            </w:pPr>
            <w:r>
              <w:rPr>
                <w:sz w:val="20"/>
                <w:szCs w:val="20"/>
              </w:rPr>
              <w:t xml:space="preserve"> 4,825,000.00 </w:t>
            </w:r>
          </w:p>
        </w:tc>
      </w:tr>
      <w:tr>
        <w:tc>
          <w:tcPr>
            <w:tcW w:w="4140" w:type="dxa"/>
          </w:tcPr>
          <w:p>
            <w:pPr>
              <w:tabs>
                <w:tab w:val="left" w:pos="1200"/>
              </w:tabs>
              <w:rPr>
                <w:bCs/>
                <w:sz w:val="20"/>
                <w:szCs w:val="20"/>
              </w:rPr>
            </w:pPr>
            <w:r>
              <w:rPr>
                <w:sz w:val="20"/>
                <w:szCs w:val="20"/>
              </w:rPr>
              <w:t>Military, Police and Security Equipment</w:t>
            </w:r>
          </w:p>
        </w:tc>
        <w:tc>
          <w:tcPr>
            <w:tcW w:w="1350" w:type="dxa"/>
          </w:tcPr>
          <w:p>
            <w:pPr>
              <w:tabs>
                <w:tab w:val="left" w:pos="1200"/>
              </w:tabs>
              <w:jc w:val="center"/>
              <w:rPr>
                <w:bCs/>
                <w:sz w:val="20"/>
                <w:szCs w:val="20"/>
              </w:rPr>
            </w:pPr>
            <w:r>
              <w:rPr>
                <w:sz w:val="20"/>
                <w:szCs w:val="20"/>
              </w:rPr>
              <w:t>281</w:t>
            </w:r>
          </w:p>
        </w:tc>
        <w:tc>
          <w:tcPr>
            <w:tcW w:w="2070" w:type="dxa"/>
          </w:tcPr>
          <w:p>
            <w:pPr>
              <w:tabs>
                <w:tab w:val="left" w:pos="1200"/>
              </w:tabs>
              <w:jc w:val="right"/>
              <w:rPr>
                <w:bCs/>
                <w:sz w:val="20"/>
                <w:szCs w:val="20"/>
              </w:rPr>
            </w:pPr>
            <w:r>
              <w:rPr>
                <w:sz w:val="20"/>
                <w:szCs w:val="20"/>
              </w:rPr>
              <w:t xml:space="preserve"> 6,333,166.02 </w:t>
            </w:r>
          </w:p>
        </w:tc>
      </w:tr>
      <w:tr>
        <w:tc>
          <w:tcPr>
            <w:tcW w:w="4140" w:type="dxa"/>
          </w:tcPr>
          <w:p>
            <w:pPr>
              <w:tabs>
                <w:tab w:val="left" w:pos="1200"/>
              </w:tabs>
              <w:rPr>
                <w:bCs/>
                <w:sz w:val="20"/>
                <w:szCs w:val="20"/>
              </w:rPr>
            </w:pPr>
            <w:r>
              <w:rPr>
                <w:sz w:val="20"/>
                <w:szCs w:val="20"/>
              </w:rPr>
              <w:t>Medical Equipment</w:t>
            </w:r>
          </w:p>
        </w:tc>
        <w:tc>
          <w:tcPr>
            <w:tcW w:w="1350" w:type="dxa"/>
          </w:tcPr>
          <w:p>
            <w:pPr>
              <w:tabs>
                <w:tab w:val="left" w:pos="1200"/>
              </w:tabs>
              <w:jc w:val="center"/>
              <w:rPr>
                <w:bCs/>
                <w:sz w:val="20"/>
                <w:szCs w:val="20"/>
              </w:rPr>
            </w:pPr>
            <w:r>
              <w:rPr>
                <w:sz w:val="20"/>
                <w:szCs w:val="20"/>
              </w:rPr>
              <w:t>844</w:t>
            </w:r>
          </w:p>
        </w:tc>
        <w:tc>
          <w:tcPr>
            <w:tcW w:w="2070" w:type="dxa"/>
          </w:tcPr>
          <w:p>
            <w:pPr>
              <w:tabs>
                <w:tab w:val="left" w:pos="1200"/>
              </w:tabs>
              <w:jc w:val="right"/>
              <w:rPr>
                <w:bCs/>
                <w:sz w:val="20"/>
                <w:szCs w:val="20"/>
              </w:rPr>
            </w:pPr>
            <w:r>
              <w:rPr>
                <w:sz w:val="20"/>
                <w:szCs w:val="20"/>
              </w:rPr>
              <w:t xml:space="preserve"> 203,416,563.29 </w:t>
            </w:r>
          </w:p>
        </w:tc>
      </w:tr>
      <w:tr>
        <w:tc>
          <w:tcPr>
            <w:tcW w:w="4140" w:type="dxa"/>
          </w:tcPr>
          <w:p>
            <w:pPr>
              <w:tabs>
                <w:tab w:val="left" w:pos="1200"/>
              </w:tabs>
              <w:rPr>
                <w:bCs/>
                <w:sz w:val="20"/>
                <w:szCs w:val="20"/>
              </w:rPr>
            </w:pPr>
            <w:r>
              <w:rPr>
                <w:sz w:val="20"/>
                <w:szCs w:val="20"/>
              </w:rPr>
              <w:t>Technical and Scientific Equipment</w:t>
            </w:r>
          </w:p>
        </w:tc>
        <w:tc>
          <w:tcPr>
            <w:tcW w:w="1350" w:type="dxa"/>
          </w:tcPr>
          <w:p>
            <w:pPr>
              <w:tabs>
                <w:tab w:val="left" w:pos="1200"/>
              </w:tabs>
              <w:jc w:val="center"/>
              <w:rPr>
                <w:bCs/>
                <w:sz w:val="20"/>
                <w:szCs w:val="20"/>
              </w:rPr>
            </w:pPr>
            <w:r>
              <w:rPr>
                <w:sz w:val="20"/>
                <w:szCs w:val="20"/>
              </w:rPr>
              <w:t>5</w:t>
            </w:r>
          </w:p>
        </w:tc>
        <w:tc>
          <w:tcPr>
            <w:tcW w:w="2070" w:type="dxa"/>
          </w:tcPr>
          <w:p>
            <w:pPr>
              <w:tabs>
                <w:tab w:val="left" w:pos="1200"/>
              </w:tabs>
              <w:jc w:val="right"/>
              <w:rPr>
                <w:bCs/>
                <w:sz w:val="20"/>
                <w:szCs w:val="20"/>
              </w:rPr>
            </w:pPr>
            <w:r>
              <w:rPr>
                <w:sz w:val="20"/>
                <w:szCs w:val="20"/>
              </w:rPr>
              <w:t xml:space="preserve"> 151,464.00 </w:t>
            </w:r>
          </w:p>
        </w:tc>
      </w:tr>
      <w:tr>
        <w:tc>
          <w:tcPr>
            <w:tcW w:w="4140" w:type="dxa"/>
          </w:tcPr>
          <w:p>
            <w:pPr>
              <w:tabs>
                <w:tab w:val="left" w:pos="1200"/>
              </w:tabs>
              <w:rPr>
                <w:bCs/>
                <w:sz w:val="20"/>
                <w:szCs w:val="20"/>
              </w:rPr>
            </w:pPr>
            <w:r>
              <w:rPr>
                <w:sz w:val="20"/>
                <w:szCs w:val="20"/>
              </w:rPr>
              <w:t>Other Machinery and Equipment</w:t>
            </w:r>
          </w:p>
        </w:tc>
        <w:tc>
          <w:tcPr>
            <w:tcW w:w="1350" w:type="dxa"/>
          </w:tcPr>
          <w:p>
            <w:pPr>
              <w:tabs>
                <w:tab w:val="left" w:pos="1200"/>
              </w:tabs>
              <w:jc w:val="center"/>
              <w:rPr>
                <w:bCs/>
                <w:sz w:val="20"/>
                <w:szCs w:val="20"/>
              </w:rPr>
            </w:pPr>
            <w:r>
              <w:rPr>
                <w:sz w:val="20"/>
                <w:szCs w:val="20"/>
              </w:rPr>
              <w:t>315</w:t>
            </w:r>
          </w:p>
        </w:tc>
        <w:tc>
          <w:tcPr>
            <w:tcW w:w="2070" w:type="dxa"/>
          </w:tcPr>
          <w:p>
            <w:pPr>
              <w:tabs>
                <w:tab w:val="left" w:pos="1200"/>
              </w:tabs>
              <w:jc w:val="right"/>
              <w:rPr>
                <w:bCs/>
                <w:sz w:val="20"/>
                <w:szCs w:val="20"/>
              </w:rPr>
            </w:pPr>
            <w:r>
              <w:rPr>
                <w:sz w:val="20"/>
                <w:szCs w:val="20"/>
              </w:rPr>
              <w:t xml:space="preserve"> 225,059,758.30 </w:t>
            </w:r>
          </w:p>
        </w:tc>
      </w:tr>
      <w:tr>
        <w:tc>
          <w:tcPr>
            <w:tcW w:w="4140" w:type="dxa"/>
          </w:tcPr>
          <w:p>
            <w:pPr>
              <w:tabs>
                <w:tab w:val="left" w:pos="1200"/>
              </w:tabs>
              <w:rPr>
                <w:bCs/>
                <w:sz w:val="20"/>
                <w:szCs w:val="20"/>
              </w:rPr>
            </w:pPr>
            <w:r>
              <w:rPr>
                <w:sz w:val="20"/>
                <w:szCs w:val="20"/>
              </w:rPr>
              <w:t>Motor Vehicles</w:t>
            </w:r>
          </w:p>
        </w:tc>
        <w:tc>
          <w:tcPr>
            <w:tcW w:w="1350" w:type="dxa"/>
          </w:tcPr>
          <w:p>
            <w:pPr>
              <w:tabs>
                <w:tab w:val="left" w:pos="1200"/>
              </w:tabs>
              <w:jc w:val="center"/>
              <w:rPr>
                <w:bCs/>
                <w:sz w:val="20"/>
                <w:szCs w:val="20"/>
              </w:rPr>
            </w:pPr>
            <w:r>
              <w:rPr>
                <w:sz w:val="20"/>
                <w:szCs w:val="20"/>
              </w:rPr>
              <w:t>33</w:t>
            </w:r>
          </w:p>
        </w:tc>
        <w:tc>
          <w:tcPr>
            <w:tcW w:w="2070" w:type="dxa"/>
          </w:tcPr>
          <w:p>
            <w:pPr>
              <w:tabs>
                <w:tab w:val="left" w:pos="1200"/>
              </w:tabs>
              <w:jc w:val="right"/>
              <w:rPr>
                <w:bCs/>
                <w:sz w:val="20"/>
                <w:szCs w:val="20"/>
              </w:rPr>
            </w:pPr>
            <w:r>
              <w:rPr>
                <w:sz w:val="20"/>
                <w:szCs w:val="20"/>
              </w:rPr>
              <w:t xml:space="preserve"> 25,694,764.16 </w:t>
            </w:r>
          </w:p>
        </w:tc>
      </w:tr>
      <w:tr>
        <w:tc>
          <w:tcPr>
            <w:tcW w:w="4140" w:type="dxa"/>
          </w:tcPr>
          <w:p>
            <w:pPr>
              <w:tabs>
                <w:tab w:val="left" w:pos="1200"/>
              </w:tabs>
              <w:rPr>
                <w:bCs/>
                <w:sz w:val="20"/>
                <w:szCs w:val="20"/>
              </w:rPr>
            </w:pPr>
            <w:r>
              <w:rPr>
                <w:sz w:val="20"/>
                <w:szCs w:val="20"/>
              </w:rPr>
              <w:t>Furniture and Fixtures</w:t>
            </w:r>
          </w:p>
        </w:tc>
        <w:tc>
          <w:tcPr>
            <w:tcW w:w="1350" w:type="dxa"/>
          </w:tcPr>
          <w:p>
            <w:pPr>
              <w:tabs>
                <w:tab w:val="left" w:pos="1200"/>
              </w:tabs>
              <w:jc w:val="center"/>
              <w:rPr>
                <w:bCs/>
                <w:sz w:val="20"/>
                <w:szCs w:val="20"/>
              </w:rPr>
            </w:pPr>
            <w:r>
              <w:rPr>
                <w:sz w:val="20"/>
                <w:szCs w:val="20"/>
              </w:rPr>
              <w:t>399</w:t>
            </w:r>
          </w:p>
        </w:tc>
        <w:tc>
          <w:tcPr>
            <w:tcW w:w="2070" w:type="dxa"/>
          </w:tcPr>
          <w:p>
            <w:pPr>
              <w:tabs>
                <w:tab w:val="left" w:pos="1200"/>
              </w:tabs>
              <w:jc w:val="right"/>
              <w:rPr>
                <w:bCs/>
                <w:sz w:val="20"/>
                <w:szCs w:val="20"/>
              </w:rPr>
            </w:pPr>
            <w:r>
              <w:rPr>
                <w:sz w:val="20"/>
                <w:szCs w:val="20"/>
              </w:rPr>
              <w:t xml:space="preserve"> 18,308,381.59 </w:t>
            </w:r>
          </w:p>
        </w:tc>
      </w:tr>
      <w:tr>
        <w:tc>
          <w:tcPr>
            <w:tcW w:w="4140" w:type="dxa"/>
          </w:tcPr>
          <w:p>
            <w:pPr>
              <w:tabs>
                <w:tab w:val="left" w:pos="1200"/>
              </w:tabs>
              <w:rPr>
                <w:bCs/>
                <w:sz w:val="20"/>
                <w:szCs w:val="20"/>
              </w:rPr>
            </w:pPr>
            <w:r>
              <w:rPr>
                <w:sz w:val="20"/>
                <w:szCs w:val="20"/>
              </w:rPr>
              <w:t>Books</w:t>
            </w:r>
          </w:p>
        </w:tc>
        <w:tc>
          <w:tcPr>
            <w:tcW w:w="1350" w:type="dxa"/>
          </w:tcPr>
          <w:p>
            <w:pPr>
              <w:tabs>
                <w:tab w:val="left" w:pos="1200"/>
              </w:tabs>
              <w:jc w:val="center"/>
              <w:rPr>
                <w:bCs/>
                <w:sz w:val="20"/>
                <w:szCs w:val="20"/>
              </w:rPr>
            </w:pPr>
            <w:r>
              <w:rPr>
                <w:sz w:val="20"/>
                <w:szCs w:val="20"/>
              </w:rPr>
              <w:t>6</w:t>
            </w:r>
          </w:p>
        </w:tc>
        <w:tc>
          <w:tcPr>
            <w:tcW w:w="2070" w:type="dxa"/>
          </w:tcPr>
          <w:p>
            <w:pPr>
              <w:tabs>
                <w:tab w:val="left" w:pos="1200"/>
              </w:tabs>
              <w:jc w:val="right"/>
              <w:rPr>
                <w:bCs/>
                <w:sz w:val="20"/>
                <w:szCs w:val="20"/>
              </w:rPr>
            </w:pPr>
            <w:r>
              <w:rPr>
                <w:sz w:val="20"/>
                <w:szCs w:val="20"/>
              </w:rPr>
              <w:t xml:space="preserve"> 530,090.65 </w:t>
            </w:r>
          </w:p>
        </w:tc>
      </w:tr>
      <w:tr>
        <w:tc>
          <w:tcPr>
            <w:tcW w:w="4140" w:type="dxa"/>
          </w:tcPr>
          <w:p>
            <w:pPr>
              <w:tabs>
                <w:tab w:val="left" w:pos="1200"/>
              </w:tabs>
              <w:rPr>
                <w:bCs/>
                <w:sz w:val="20"/>
                <w:szCs w:val="20"/>
              </w:rPr>
            </w:pPr>
            <w:r>
              <w:rPr>
                <w:sz w:val="20"/>
                <w:szCs w:val="20"/>
              </w:rPr>
              <w:t>Construction in Progress - Buildings and Other Structures</w:t>
            </w:r>
          </w:p>
        </w:tc>
        <w:tc>
          <w:tcPr>
            <w:tcW w:w="1350" w:type="dxa"/>
          </w:tcPr>
          <w:p>
            <w:pPr>
              <w:tabs>
                <w:tab w:val="left" w:pos="1200"/>
              </w:tabs>
              <w:jc w:val="center"/>
              <w:rPr>
                <w:bCs/>
                <w:sz w:val="20"/>
                <w:szCs w:val="20"/>
              </w:rPr>
            </w:pPr>
            <w:r>
              <w:rPr>
                <w:sz w:val="20"/>
                <w:szCs w:val="20"/>
              </w:rPr>
              <w:t>3</w:t>
            </w:r>
          </w:p>
        </w:tc>
        <w:tc>
          <w:tcPr>
            <w:tcW w:w="2070" w:type="dxa"/>
          </w:tcPr>
          <w:p>
            <w:pPr>
              <w:tabs>
                <w:tab w:val="left" w:pos="1200"/>
              </w:tabs>
              <w:jc w:val="right"/>
              <w:rPr>
                <w:bCs/>
                <w:sz w:val="20"/>
                <w:szCs w:val="20"/>
              </w:rPr>
            </w:pPr>
            <w:r>
              <w:rPr>
                <w:sz w:val="20"/>
                <w:szCs w:val="20"/>
              </w:rPr>
              <w:t xml:space="preserve"> 59,763,530.84 </w:t>
            </w:r>
          </w:p>
        </w:tc>
      </w:tr>
      <w:tr>
        <w:tc>
          <w:tcPr>
            <w:tcW w:w="4140" w:type="dxa"/>
          </w:tcPr>
          <w:p>
            <w:pPr>
              <w:tabs>
                <w:tab w:val="left" w:pos="1200"/>
              </w:tabs>
              <w:rPr>
                <w:bCs/>
                <w:sz w:val="20"/>
                <w:szCs w:val="20"/>
              </w:rPr>
            </w:pPr>
            <w:r>
              <w:rPr>
                <w:sz w:val="20"/>
                <w:szCs w:val="20"/>
              </w:rPr>
              <w:t>Work/Zoo Animals</w:t>
            </w:r>
          </w:p>
        </w:tc>
        <w:tc>
          <w:tcPr>
            <w:tcW w:w="1350" w:type="dxa"/>
          </w:tcPr>
          <w:p>
            <w:pPr>
              <w:tabs>
                <w:tab w:val="left" w:pos="1200"/>
              </w:tabs>
              <w:jc w:val="center"/>
              <w:rPr>
                <w:bCs/>
                <w:sz w:val="20"/>
                <w:szCs w:val="20"/>
              </w:rPr>
            </w:pPr>
            <w:r>
              <w:rPr>
                <w:sz w:val="20"/>
                <w:szCs w:val="20"/>
              </w:rPr>
              <w:t>110</w:t>
            </w:r>
          </w:p>
        </w:tc>
        <w:tc>
          <w:tcPr>
            <w:tcW w:w="2070" w:type="dxa"/>
          </w:tcPr>
          <w:p>
            <w:pPr>
              <w:tabs>
                <w:tab w:val="left" w:pos="1200"/>
              </w:tabs>
              <w:jc w:val="right"/>
              <w:rPr>
                <w:bCs/>
                <w:sz w:val="20"/>
                <w:szCs w:val="20"/>
              </w:rPr>
            </w:pPr>
            <w:r>
              <w:rPr>
                <w:sz w:val="20"/>
                <w:szCs w:val="20"/>
              </w:rPr>
              <w:t xml:space="preserve"> 32,976,800.00 </w:t>
            </w:r>
          </w:p>
        </w:tc>
      </w:tr>
      <w:tr>
        <w:tc>
          <w:tcPr>
            <w:tcW w:w="4140" w:type="dxa"/>
          </w:tcPr>
          <w:p>
            <w:pPr>
              <w:tabs>
                <w:tab w:val="left" w:pos="1200"/>
              </w:tabs>
              <w:rPr>
                <w:bCs/>
                <w:sz w:val="20"/>
                <w:szCs w:val="20"/>
              </w:rPr>
            </w:pPr>
            <w:r>
              <w:rPr>
                <w:sz w:val="20"/>
                <w:szCs w:val="20"/>
              </w:rPr>
              <w:t>Other Property, Plant and Equipment</w:t>
            </w:r>
          </w:p>
        </w:tc>
        <w:tc>
          <w:tcPr>
            <w:tcW w:w="1350" w:type="dxa"/>
          </w:tcPr>
          <w:p>
            <w:pPr>
              <w:tabs>
                <w:tab w:val="left" w:pos="1200"/>
              </w:tabs>
              <w:jc w:val="center"/>
              <w:rPr>
                <w:bCs/>
                <w:sz w:val="20"/>
                <w:szCs w:val="20"/>
              </w:rPr>
            </w:pPr>
            <w:r>
              <w:rPr>
                <w:sz w:val="20"/>
                <w:szCs w:val="20"/>
              </w:rPr>
              <w:t>71</w:t>
            </w:r>
          </w:p>
        </w:tc>
        <w:tc>
          <w:tcPr>
            <w:tcW w:w="2070" w:type="dxa"/>
          </w:tcPr>
          <w:p>
            <w:pPr>
              <w:tabs>
                <w:tab w:val="left" w:pos="1200"/>
              </w:tabs>
              <w:jc w:val="right"/>
              <w:rPr>
                <w:bCs/>
                <w:sz w:val="20"/>
                <w:szCs w:val="20"/>
              </w:rPr>
            </w:pPr>
            <w:r>
              <w:rPr>
                <w:sz w:val="20"/>
                <w:szCs w:val="20"/>
              </w:rPr>
              <w:t xml:space="preserve"> 3,339,722.54 </w:t>
            </w:r>
          </w:p>
        </w:tc>
      </w:tr>
      <w:tr>
        <w:tc>
          <w:tcPr>
            <w:tcW w:w="4140" w:type="dxa"/>
          </w:tcPr>
          <w:p>
            <w:pPr>
              <w:tabs>
                <w:tab w:val="left" w:pos="1200"/>
              </w:tabs>
              <w:jc w:val="both"/>
              <w:rPr>
                <w:b/>
                <w:sz w:val="20"/>
                <w:szCs w:val="20"/>
              </w:rPr>
            </w:pPr>
            <w:r>
              <w:rPr>
                <w:b/>
                <w:sz w:val="20"/>
                <w:szCs w:val="20"/>
              </w:rPr>
              <w:t>Total</w:t>
            </w:r>
          </w:p>
        </w:tc>
        <w:tc>
          <w:tcPr>
            <w:tcW w:w="1350" w:type="dxa"/>
          </w:tcPr>
          <w:p>
            <w:pPr>
              <w:tabs>
                <w:tab w:val="left" w:pos="1200"/>
              </w:tabs>
              <w:jc w:val="center"/>
              <w:rPr>
                <w:b/>
                <w:sz w:val="20"/>
                <w:szCs w:val="20"/>
              </w:rPr>
            </w:pPr>
            <w:r>
              <w:rPr>
                <w:b/>
                <w:sz w:val="20"/>
                <w:szCs w:val="20"/>
              </w:rPr>
              <w:t>4,087</w:t>
            </w:r>
          </w:p>
        </w:tc>
        <w:tc>
          <w:tcPr>
            <w:tcW w:w="2070" w:type="dxa"/>
          </w:tcPr>
          <w:p>
            <w:pPr>
              <w:tabs>
                <w:tab w:val="left" w:pos="1200"/>
              </w:tabs>
              <w:jc w:val="right"/>
              <w:rPr>
                <w:b/>
                <w:sz w:val="20"/>
                <w:szCs w:val="20"/>
              </w:rPr>
            </w:pPr>
            <w:r>
              <w:rPr>
                <w:b/>
                <w:sz w:val="20"/>
                <w:szCs w:val="20"/>
              </w:rPr>
              <w:t xml:space="preserve"> P10,262,638,264.46 </w:t>
            </w:r>
          </w:p>
        </w:tc>
      </w:tr>
    </w:tbl>
    <w:p>
      <w:pPr>
        <w:tabs>
          <w:tab w:val="left" w:pos="1200"/>
        </w:tabs>
        <w:jc w:val="both"/>
        <w:rPr>
          <w:bCs/>
        </w:rPr>
      </w:pPr>
    </w:p>
    <w:p>
      <w:pPr>
        <w:tabs>
          <w:tab w:val="left" w:pos="1200"/>
        </w:tabs>
        <w:ind w:left="2430"/>
        <w:jc w:val="both"/>
        <w:rPr>
          <w:bCs/>
          <w:sz w:val="20"/>
          <w:szCs w:val="20"/>
        </w:rPr>
      </w:pPr>
      <w:r>
        <w:rPr>
          <w:bCs/>
          <w:sz w:val="20"/>
          <w:szCs w:val="20"/>
        </w:rPr>
        <w:t>Table 6 -</w:t>
      </w:r>
      <w:r>
        <w:t xml:space="preserve"> </w:t>
      </w:r>
      <w:r>
        <w:rPr>
          <w:bCs/>
          <w:sz w:val="20"/>
          <w:szCs w:val="20"/>
        </w:rPr>
        <w:t>PPE Recognized at Nominal Cost</w:t>
      </w:r>
    </w:p>
    <w:tbl>
      <w:tblPr>
        <w:tblStyle w:val="TableGrid"/>
        <w:tblW w:w="0" w:type="auto"/>
        <w:tblInd w:w="2425" w:type="dxa"/>
        <w:tblLook w:val="04A0" w:firstRow="1" w:lastRow="0" w:firstColumn="1" w:lastColumn="0" w:noHBand="0" w:noVBand="1"/>
      </w:tblPr>
      <w:tblGrid>
        <w:gridCol w:w="2813"/>
        <w:gridCol w:w="2061"/>
      </w:tblGrid>
      <w:tr>
        <w:tc>
          <w:tcPr>
            <w:tcW w:w="2813" w:type="dxa"/>
          </w:tcPr>
          <w:p>
            <w:pPr>
              <w:tabs>
                <w:tab w:val="left" w:pos="1200"/>
              </w:tabs>
              <w:jc w:val="center"/>
              <w:rPr>
                <w:b/>
                <w:sz w:val="20"/>
                <w:szCs w:val="20"/>
              </w:rPr>
            </w:pPr>
            <w:r>
              <w:rPr>
                <w:b/>
                <w:sz w:val="20"/>
                <w:szCs w:val="20"/>
              </w:rPr>
              <w:t>PPE account</w:t>
            </w:r>
          </w:p>
        </w:tc>
        <w:tc>
          <w:tcPr>
            <w:tcW w:w="2061" w:type="dxa"/>
          </w:tcPr>
          <w:p>
            <w:pPr>
              <w:tabs>
                <w:tab w:val="left" w:pos="1200"/>
              </w:tabs>
              <w:jc w:val="center"/>
              <w:rPr>
                <w:b/>
                <w:sz w:val="20"/>
                <w:szCs w:val="20"/>
              </w:rPr>
            </w:pPr>
            <w:r>
              <w:rPr>
                <w:b/>
                <w:sz w:val="20"/>
                <w:szCs w:val="20"/>
              </w:rPr>
              <w:t>Cost</w:t>
            </w:r>
          </w:p>
        </w:tc>
      </w:tr>
      <w:tr>
        <w:tc>
          <w:tcPr>
            <w:tcW w:w="2813" w:type="dxa"/>
          </w:tcPr>
          <w:p>
            <w:pPr>
              <w:tabs>
                <w:tab w:val="left" w:pos="1200"/>
              </w:tabs>
              <w:jc w:val="both"/>
              <w:rPr>
                <w:bCs/>
                <w:sz w:val="20"/>
                <w:szCs w:val="20"/>
              </w:rPr>
            </w:pPr>
            <w:r>
              <w:rPr>
                <w:sz w:val="20"/>
                <w:szCs w:val="20"/>
              </w:rPr>
              <w:t>Land</w:t>
            </w:r>
          </w:p>
        </w:tc>
        <w:tc>
          <w:tcPr>
            <w:tcW w:w="2061" w:type="dxa"/>
          </w:tcPr>
          <w:p>
            <w:pPr>
              <w:tabs>
                <w:tab w:val="left" w:pos="1200"/>
              </w:tabs>
              <w:jc w:val="right"/>
              <w:rPr>
                <w:bCs/>
                <w:sz w:val="20"/>
                <w:szCs w:val="20"/>
              </w:rPr>
            </w:pPr>
            <w:r>
              <w:rPr>
                <w:sz w:val="20"/>
                <w:szCs w:val="20"/>
              </w:rPr>
              <w:t xml:space="preserve">P         1.93 </w:t>
            </w:r>
          </w:p>
        </w:tc>
      </w:tr>
      <w:tr>
        <w:tc>
          <w:tcPr>
            <w:tcW w:w="2813" w:type="dxa"/>
          </w:tcPr>
          <w:p>
            <w:pPr>
              <w:tabs>
                <w:tab w:val="left" w:pos="1200"/>
              </w:tabs>
              <w:jc w:val="both"/>
              <w:rPr>
                <w:bCs/>
                <w:sz w:val="20"/>
                <w:szCs w:val="20"/>
              </w:rPr>
            </w:pPr>
            <w:r>
              <w:rPr>
                <w:sz w:val="20"/>
                <w:szCs w:val="20"/>
              </w:rPr>
              <w:t>Buildings</w:t>
            </w:r>
          </w:p>
        </w:tc>
        <w:tc>
          <w:tcPr>
            <w:tcW w:w="2061" w:type="dxa"/>
          </w:tcPr>
          <w:p>
            <w:pPr>
              <w:tabs>
                <w:tab w:val="left" w:pos="1200"/>
              </w:tabs>
              <w:jc w:val="right"/>
              <w:rPr>
                <w:bCs/>
                <w:sz w:val="20"/>
                <w:szCs w:val="20"/>
              </w:rPr>
            </w:pPr>
            <w:r>
              <w:rPr>
                <w:sz w:val="20"/>
                <w:szCs w:val="20"/>
              </w:rPr>
              <w:t xml:space="preserve"> 59.50 </w:t>
            </w:r>
          </w:p>
        </w:tc>
      </w:tr>
      <w:tr>
        <w:tc>
          <w:tcPr>
            <w:tcW w:w="2813" w:type="dxa"/>
          </w:tcPr>
          <w:p>
            <w:pPr>
              <w:tabs>
                <w:tab w:val="left" w:pos="1200"/>
              </w:tabs>
              <w:jc w:val="both"/>
              <w:rPr>
                <w:bCs/>
                <w:sz w:val="20"/>
                <w:szCs w:val="20"/>
              </w:rPr>
            </w:pPr>
            <w:r>
              <w:rPr>
                <w:sz w:val="20"/>
                <w:szCs w:val="20"/>
              </w:rPr>
              <w:t>School Buildings</w:t>
            </w:r>
          </w:p>
        </w:tc>
        <w:tc>
          <w:tcPr>
            <w:tcW w:w="2061" w:type="dxa"/>
          </w:tcPr>
          <w:p>
            <w:pPr>
              <w:tabs>
                <w:tab w:val="left" w:pos="1200"/>
              </w:tabs>
              <w:jc w:val="right"/>
              <w:rPr>
                <w:bCs/>
                <w:sz w:val="20"/>
                <w:szCs w:val="20"/>
              </w:rPr>
            </w:pPr>
            <w:r>
              <w:rPr>
                <w:sz w:val="20"/>
                <w:szCs w:val="20"/>
              </w:rPr>
              <w:t xml:space="preserve"> 20,000.00 </w:t>
            </w:r>
          </w:p>
        </w:tc>
      </w:tr>
      <w:tr>
        <w:tc>
          <w:tcPr>
            <w:tcW w:w="2813" w:type="dxa"/>
          </w:tcPr>
          <w:p>
            <w:pPr>
              <w:tabs>
                <w:tab w:val="left" w:pos="1200"/>
              </w:tabs>
              <w:jc w:val="both"/>
              <w:rPr>
                <w:b/>
                <w:bCs/>
                <w:sz w:val="20"/>
                <w:szCs w:val="20"/>
              </w:rPr>
            </w:pPr>
            <w:r>
              <w:rPr>
                <w:b/>
                <w:bCs/>
                <w:sz w:val="20"/>
                <w:szCs w:val="20"/>
              </w:rPr>
              <w:t>Total</w:t>
            </w:r>
          </w:p>
        </w:tc>
        <w:tc>
          <w:tcPr>
            <w:tcW w:w="2061" w:type="dxa"/>
          </w:tcPr>
          <w:p>
            <w:pPr>
              <w:tabs>
                <w:tab w:val="left" w:pos="1200"/>
              </w:tabs>
              <w:jc w:val="right"/>
              <w:rPr>
                <w:b/>
                <w:bCs/>
                <w:sz w:val="20"/>
                <w:szCs w:val="20"/>
              </w:rPr>
            </w:pPr>
            <w:r>
              <w:rPr>
                <w:b/>
                <w:bCs/>
                <w:sz w:val="20"/>
                <w:szCs w:val="20"/>
              </w:rPr>
              <w:t>P20,061.43</w:t>
            </w:r>
          </w:p>
        </w:tc>
      </w:tr>
    </w:tbl>
    <w:p>
      <w:pPr>
        <w:tabs>
          <w:tab w:val="left" w:pos="1200"/>
        </w:tabs>
        <w:jc w:val="both"/>
        <w:rPr>
          <w:bCs/>
        </w:rPr>
      </w:pPr>
    </w:p>
    <w:p>
      <w:pPr>
        <w:pStyle w:val="ListParagraph"/>
        <w:numPr>
          <w:ilvl w:val="1"/>
          <w:numId w:val="1"/>
        </w:numPr>
        <w:tabs>
          <w:tab w:val="left" w:pos="1200"/>
        </w:tabs>
        <w:ind w:left="1080" w:hanging="540"/>
        <w:jc w:val="both"/>
        <w:rPr>
          <w:bCs/>
        </w:rPr>
      </w:pPr>
      <w:r>
        <w:rPr>
          <w:bCs/>
        </w:rPr>
        <w:lastRenderedPageBreak/>
        <w:t xml:space="preserve">The foregoing accounting deficiencies came about mainly because of the breakdown in the operation of the PPE reconciliation. While physical inventory was conducted for most of the PPE, the results were not fully reconciled with the recognized accountabilities, thus, accounting deficiencies, among others, were not timely detected and corrected. It must be emphasized that the operation of control in PPE reconciliation is neither in the conduct of the physical inventory nor in the comparison of records but in addressing the issues found during such reconciliation.  </w:t>
      </w:r>
    </w:p>
    <w:p>
      <w:pPr>
        <w:pStyle w:val="ListParagraph"/>
        <w:numPr>
          <w:ilvl w:val="255"/>
          <w:numId w:val="0"/>
        </w:numPr>
        <w:tabs>
          <w:tab w:val="left" w:pos="1200"/>
        </w:tabs>
        <w:ind w:left="540"/>
        <w:jc w:val="both"/>
        <w:rPr>
          <w:bCs/>
          <w:sz w:val="20"/>
        </w:rPr>
      </w:pPr>
    </w:p>
    <w:p>
      <w:pPr>
        <w:pStyle w:val="ListParagraph"/>
        <w:numPr>
          <w:ilvl w:val="1"/>
          <w:numId w:val="1"/>
        </w:numPr>
        <w:tabs>
          <w:tab w:val="left" w:pos="1200"/>
        </w:tabs>
        <w:ind w:left="1080" w:hanging="540"/>
        <w:jc w:val="both"/>
      </w:pPr>
      <w:r>
        <w:rPr>
          <w:bCs/>
        </w:rPr>
        <w:t>The</w:t>
      </w:r>
      <w:r>
        <w:t xml:space="preserve"> breakdown in the operation of the PPE reconciliation is also evident in the following:</w:t>
      </w:r>
    </w:p>
    <w:p>
      <w:pPr>
        <w:pStyle w:val="ListParagraph"/>
        <w:tabs>
          <w:tab w:val="left" w:pos="1200"/>
        </w:tabs>
        <w:ind w:left="1080"/>
        <w:jc w:val="both"/>
        <w:rPr>
          <w:sz w:val="20"/>
        </w:rPr>
      </w:pPr>
    </w:p>
    <w:p>
      <w:pPr>
        <w:pStyle w:val="ListParagraph"/>
        <w:numPr>
          <w:ilvl w:val="0"/>
          <w:numId w:val="4"/>
        </w:numPr>
        <w:ind w:left="1710" w:hanging="630"/>
        <w:jc w:val="both"/>
      </w:pPr>
      <w:r>
        <w:t>There are items of PPE recognized in the accounting and property records in bulk amount and counted as a single unit of PPE, thus, tracking them and establishing accountability using these records is extremely difficult if not practically impossible (Table 7);</w:t>
      </w:r>
    </w:p>
    <w:p>
      <w:pPr>
        <w:tabs>
          <w:tab w:val="left" w:pos="1200"/>
        </w:tabs>
        <w:jc w:val="both"/>
        <w:rPr>
          <w:sz w:val="20"/>
        </w:rPr>
      </w:pPr>
    </w:p>
    <w:p>
      <w:pPr>
        <w:tabs>
          <w:tab w:val="left" w:pos="1200"/>
        </w:tabs>
        <w:ind w:left="1710"/>
        <w:jc w:val="both"/>
        <w:rPr>
          <w:sz w:val="20"/>
          <w:szCs w:val="20"/>
        </w:rPr>
      </w:pPr>
      <w:r>
        <w:rPr>
          <w:rFonts w:eastAsia="SimSun"/>
          <w:sz w:val="20"/>
          <w:szCs w:val="20"/>
          <w:lang w:eastAsia="zh-CN"/>
        </w:rPr>
        <w:t xml:space="preserve">Table 7 - </w:t>
      </w:r>
      <w:r>
        <w:rPr>
          <w:sz w:val="20"/>
          <w:szCs w:val="20"/>
          <w:lang w:eastAsia="zh-CN"/>
        </w:rPr>
        <w:t>PPE recognized in the accounting and property records in bulk amount and counted as a single unit of PPE</w:t>
      </w:r>
    </w:p>
    <w:tbl>
      <w:tblPr>
        <w:tblW w:w="7020" w:type="dxa"/>
        <w:tblInd w:w="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8"/>
        <w:gridCol w:w="1165"/>
        <w:gridCol w:w="1847"/>
      </w:tblGrid>
      <w:tr>
        <w:trPr>
          <w:trHeight w:val="255"/>
          <w:tblHeader/>
        </w:trPr>
        <w:tc>
          <w:tcPr>
            <w:tcW w:w="4008" w:type="dxa"/>
            <w:shd w:val="clear" w:color="auto" w:fill="auto"/>
            <w:vAlign w:val="center"/>
          </w:tcPr>
          <w:p>
            <w:pPr>
              <w:jc w:val="center"/>
              <w:textAlignment w:val="center"/>
              <w:rPr>
                <w:rFonts w:eastAsia="SimSun"/>
                <w:b/>
                <w:bCs/>
                <w:sz w:val="20"/>
                <w:szCs w:val="20"/>
                <w:lang w:eastAsia="zh-CN"/>
              </w:rPr>
            </w:pPr>
            <w:r>
              <w:rPr>
                <w:rFonts w:eastAsia="SimSun"/>
                <w:b/>
                <w:bCs/>
                <w:sz w:val="20"/>
                <w:szCs w:val="20"/>
                <w:lang w:eastAsia="zh-CN"/>
              </w:rPr>
              <w:t>Not itemized</w:t>
            </w:r>
          </w:p>
        </w:tc>
        <w:tc>
          <w:tcPr>
            <w:tcW w:w="1165" w:type="dxa"/>
            <w:shd w:val="clear" w:color="auto" w:fill="auto"/>
            <w:vAlign w:val="center"/>
          </w:tcPr>
          <w:p>
            <w:pPr>
              <w:ind w:left="-66"/>
              <w:jc w:val="center"/>
              <w:rPr>
                <w:b/>
                <w:bCs/>
                <w:sz w:val="20"/>
                <w:szCs w:val="20"/>
              </w:rPr>
            </w:pPr>
            <w:r>
              <w:rPr>
                <w:b/>
                <w:bCs/>
                <w:sz w:val="20"/>
                <w:szCs w:val="20"/>
              </w:rPr>
              <w:t>Unit Count</w:t>
            </w:r>
          </w:p>
        </w:tc>
        <w:tc>
          <w:tcPr>
            <w:tcW w:w="1847" w:type="dxa"/>
            <w:shd w:val="clear" w:color="auto" w:fill="auto"/>
            <w:vAlign w:val="center"/>
          </w:tcPr>
          <w:p>
            <w:pPr>
              <w:jc w:val="center"/>
              <w:rPr>
                <w:b/>
                <w:bCs/>
                <w:sz w:val="20"/>
                <w:szCs w:val="20"/>
              </w:rPr>
            </w:pPr>
            <w:r>
              <w:rPr>
                <w:b/>
                <w:bCs/>
                <w:sz w:val="20"/>
                <w:szCs w:val="20"/>
              </w:rPr>
              <w:t>Amount</w:t>
            </w:r>
          </w:p>
        </w:tc>
      </w:tr>
      <w:tr>
        <w:trPr>
          <w:trHeight w:val="255"/>
        </w:trPr>
        <w:tc>
          <w:tcPr>
            <w:tcW w:w="4008" w:type="dxa"/>
            <w:shd w:val="clear" w:color="auto" w:fill="auto"/>
            <w:vAlign w:val="center"/>
          </w:tcPr>
          <w:p>
            <w:pPr>
              <w:textAlignment w:val="center"/>
              <w:rPr>
                <w:sz w:val="20"/>
                <w:szCs w:val="20"/>
              </w:rPr>
            </w:pPr>
            <w:r>
              <w:rPr>
                <w:rFonts w:eastAsia="SimSun"/>
                <w:sz w:val="20"/>
                <w:szCs w:val="20"/>
                <w:lang w:eastAsia="zh-CN"/>
              </w:rPr>
              <w:t>GF</w:t>
            </w:r>
          </w:p>
        </w:tc>
        <w:tc>
          <w:tcPr>
            <w:tcW w:w="1165" w:type="dxa"/>
            <w:shd w:val="clear" w:color="auto" w:fill="auto"/>
            <w:vAlign w:val="center"/>
          </w:tcPr>
          <w:p>
            <w:pPr>
              <w:jc w:val="center"/>
              <w:rPr>
                <w:sz w:val="20"/>
                <w:szCs w:val="20"/>
              </w:rPr>
            </w:pPr>
          </w:p>
        </w:tc>
        <w:tc>
          <w:tcPr>
            <w:tcW w:w="1847" w:type="dxa"/>
            <w:shd w:val="clear" w:color="auto" w:fill="auto"/>
            <w:vAlign w:val="center"/>
          </w:tcPr>
          <w:p>
            <w:pPr>
              <w:rPr>
                <w:sz w:val="20"/>
                <w:szCs w:val="20"/>
              </w:rPr>
            </w:pPr>
          </w:p>
        </w:tc>
      </w:tr>
      <w:tr>
        <w:trPr>
          <w:trHeight w:val="255"/>
        </w:trPr>
        <w:tc>
          <w:tcPr>
            <w:tcW w:w="4008" w:type="dxa"/>
            <w:shd w:val="clear" w:color="auto" w:fill="auto"/>
            <w:vAlign w:val="center"/>
          </w:tcPr>
          <w:p>
            <w:pPr>
              <w:textAlignment w:val="center"/>
              <w:rPr>
                <w:rFonts w:eastAsia="Calibri Light"/>
                <w:sz w:val="20"/>
                <w:szCs w:val="20"/>
              </w:rPr>
            </w:pPr>
            <w:r>
              <w:rPr>
                <w:rFonts w:eastAsia="Calibri Light"/>
                <w:sz w:val="20"/>
                <w:szCs w:val="20"/>
                <w:lang w:eastAsia="zh-CN"/>
              </w:rPr>
              <w:t>Work/Zoo Animals</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4</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P  14,896,800.00 </w:t>
            </w:r>
          </w:p>
        </w:tc>
      </w:tr>
      <w:tr>
        <w:trPr>
          <w:trHeight w:val="255"/>
        </w:trPr>
        <w:tc>
          <w:tcPr>
            <w:tcW w:w="4008" w:type="dxa"/>
            <w:shd w:val="clear" w:color="auto" w:fill="auto"/>
            <w:vAlign w:val="center"/>
          </w:tcPr>
          <w:p>
            <w:pPr>
              <w:textAlignment w:val="center"/>
              <w:rPr>
                <w:rFonts w:eastAsia="Calibri Light"/>
                <w:sz w:val="20"/>
                <w:szCs w:val="20"/>
              </w:rPr>
            </w:pPr>
            <w:r>
              <w:rPr>
                <w:rFonts w:eastAsia="Calibri Light"/>
                <w:sz w:val="20"/>
                <w:szCs w:val="20"/>
                <w:lang w:eastAsia="zh-CN"/>
              </w:rPr>
              <w:t>Office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3</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1,451,870.69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Information and Communication Technology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1</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335,200.00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Furniture and Fixtures</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2</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4,458,881.50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Medical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3</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47,677,044.00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Disaster Response and Rescue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1</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34,968,750.00 </w:t>
            </w:r>
          </w:p>
        </w:tc>
      </w:tr>
      <w:tr>
        <w:trPr>
          <w:trHeight w:val="255"/>
        </w:trPr>
        <w:tc>
          <w:tcPr>
            <w:tcW w:w="4008" w:type="dxa"/>
            <w:shd w:val="clear" w:color="auto" w:fill="auto"/>
            <w:noWrap/>
          </w:tcPr>
          <w:p>
            <w:pPr>
              <w:textAlignment w:val="top"/>
              <w:rPr>
                <w:rFonts w:eastAsia="Calibri Light"/>
                <w:b/>
                <w:bCs/>
                <w:sz w:val="20"/>
                <w:szCs w:val="20"/>
                <w:lang w:eastAsia="zh-CN"/>
              </w:rPr>
            </w:pPr>
            <w:r>
              <w:rPr>
                <w:rFonts w:eastAsia="Calibri Light"/>
                <w:b/>
                <w:bCs/>
                <w:sz w:val="20"/>
                <w:szCs w:val="20"/>
                <w:lang w:eastAsia="zh-CN"/>
              </w:rPr>
              <w:t>Total GF</w:t>
            </w:r>
          </w:p>
        </w:tc>
        <w:tc>
          <w:tcPr>
            <w:tcW w:w="1165" w:type="dxa"/>
            <w:shd w:val="clear" w:color="auto" w:fill="auto"/>
            <w:vAlign w:val="center"/>
          </w:tcPr>
          <w:p>
            <w:pPr>
              <w:jc w:val="center"/>
              <w:rPr>
                <w:rFonts w:eastAsia="Calibri Light"/>
                <w:b/>
                <w:bCs/>
                <w:sz w:val="20"/>
                <w:szCs w:val="20"/>
              </w:rPr>
            </w:pPr>
            <w:r>
              <w:rPr>
                <w:rFonts w:eastAsia="Calibri Light"/>
                <w:b/>
                <w:bCs/>
                <w:sz w:val="20"/>
                <w:szCs w:val="20"/>
                <w:lang w:eastAsia="zh-CN"/>
              </w:rPr>
              <w:t>14</w:t>
            </w:r>
          </w:p>
        </w:tc>
        <w:tc>
          <w:tcPr>
            <w:tcW w:w="1847" w:type="dxa"/>
            <w:shd w:val="clear" w:color="auto" w:fill="auto"/>
            <w:vAlign w:val="center"/>
          </w:tcPr>
          <w:p>
            <w:pPr>
              <w:jc w:val="right"/>
              <w:rPr>
                <w:rFonts w:eastAsia="Calibri Light"/>
                <w:b/>
                <w:bCs/>
                <w:sz w:val="20"/>
                <w:szCs w:val="20"/>
              </w:rPr>
            </w:pPr>
            <w:r>
              <w:rPr>
                <w:rFonts w:eastAsia="Calibri Light"/>
                <w:b/>
                <w:bCs/>
                <w:sz w:val="20"/>
                <w:szCs w:val="20"/>
                <w:lang w:eastAsia="zh-CN"/>
              </w:rPr>
              <w:t xml:space="preserve">P103,788,546.19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SEF</w:t>
            </w:r>
          </w:p>
        </w:tc>
        <w:tc>
          <w:tcPr>
            <w:tcW w:w="1165" w:type="dxa"/>
            <w:shd w:val="clear" w:color="auto" w:fill="auto"/>
            <w:vAlign w:val="center"/>
          </w:tcPr>
          <w:p>
            <w:pPr>
              <w:jc w:val="center"/>
              <w:rPr>
                <w:rFonts w:eastAsia="Calibri Light"/>
                <w:sz w:val="20"/>
                <w:szCs w:val="20"/>
              </w:rPr>
            </w:pPr>
          </w:p>
        </w:tc>
        <w:tc>
          <w:tcPr>
            <w:tcW w:w="1847" w:type="dxa"/>
            <w:shd w:val="clear" w:color="auto" w:fill="auto"/>
            <w:vAlign w:val="center"/>
          </w:tcPr>
          <w:p>
            <w:pPr>
              <w:jc w:val="right"/>
              <w:rPr>
                <w:rFonts w:eastAsia="Calibri Light"/>
                <w:sz w:val="20"/>
                <w:szCs w:val="20"/>
              </w:rPr>
            </w:pP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Office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1</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14,600,000.00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Information and Communication Technology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4</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381,249,500.00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Machinery</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1</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37,622,700.00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Communication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1</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100,980,000.00 </w:t>
            </w:r>
          </w:p>
        </w:tc>
      </w:tr>
      <w:tr>
        <w:trPr>
          <w:trHeight w:val="255"/>
        </w:trPr>
        <w:tc>
          <w:tcPr>
            <w:tcW w:w="4008" w:type="dxa"/>
            <w:shd w:val="clear" w:color="auto" w:fill="auto"/>
            <w:noWrap/>
          </w:tcPr>
          <w:p>
            <w:pPr>
              <w:textAlignment w:val="top"/>
              <w:rPr>
                <w:rFonts w:eastAsia="Calibri Light"/>
                <w:sz w:val="20"/>
                <w:szCs w:val="20"/>
              </w:rPr>
            </w:pPr>
            <w:r>
              <w:rPr>
                <w:rFonts w:eastAsia="Calibri Light"/>
                <w:sz w:val="20"/>
                <w:szCs w:val="20"/>
                <w:lang w:eastAsia="zh-CN"/>
              </w:rPr>
              <w:t>Other Machinery and Equipment</w:t>
            </w:r>
          </w:p>
        </w:tc>
        <w:tc>
          <w:tcPr>
            <w:tcW w:w="1165" w:type="dxa"/>
            <w:shd w:val="clear" w:color="auto" w:fill="auto"/>
            <w:vAlign w:val="center"/>
          </w:tcPr>
          <w:p>
            <w:pPr>
              <w:jc w:val="center"/>
              <w:textAlignment w:val="center"/>
              <w:rPr>
                <w:rFonts w:eastAsia="Calibri Light"/>
                <w:sz w:val="20"/>
                <w:szCs w:val="20"/>
              </w:rPr>
            </w:pPr>
            <w:r>
              <w:rPr>
                <w:rFonts w:eastAsia="Calibri Light"/>
                <w:sz w:val="20"/>
                <w:szCs w:val="20"/>
                <w:lang w:eastAsia="zh-CN"/>
              </w:rPr>
              <w:t>1</w:t>
            </w:r>
          </w:p>
        </w:tc>
        <w:tc>
          <w:tcPr>
            <w:tcW w:w="1847" w:type="dxa"/>
            <w:shd w:val="clear" w:color="auto" w:fill="auto"/>
            <w:vAlign w:val="center"/>
          </w:tcPr>
          <w:p>
            <w:pPr>
              <w:jc w:val="right"/>
              <w:textAlignment w:val="center"/>
              <w:rPr>
                <w:rFonts w:eastAsia="Calibri Light"/>
                <w:sz w:val="20"/>
                <w:szCs w:val="20"/>
              </w:rPr>
            </w:pPr>
            <w:r>
              <w:rPr>
                <w:rFonts w:eastAsia="Calibri Light"/>
                <w:sz w:val="20"/>
                <w:szCs w:val="20"/>
                <w:lang w:eastAsia="zh-CN"/>
              </w:rPr>
              <w:t xml:space="preserve"> 102,089,999.80 </w:t>
            </w:r>
          </w:p>
        </w:tc>
      </w:tr>
      <w:tr>
        <w:trPr>
          <w:trHeight w:val="255"/>
        </w:trPr>
        <w:tc>
          <w:tcPr>
            <w:tcW w:w="4008" w:type="dxa"/>
            <w:shd w:val="clear" w:color="auto" w:fill="auto"/>
            <w:noWrap/>
          </w:tcPr>
          <w:p>
            <w:pPr>
              <w:textAlignment w:val="top"/>
              <w:rPr>
                <w:rFonts w:eastAsia="Calibri Light"/>
                <w:b/>
                <w:bCs/>
                <w:sz w:val="20"/>
                <w:szCs w:val="20"/>
                <w:lang w:eastAsia="zh-CN"/>
              </w:rPr>
            </w:pPr>
            <w:r>
              <w:rPr>
                <w:rFonts w:eastAsia="Calibri Light"/>
                <w:b/>
                <w:bCs/>
                <w:sz w:val="20"/>
                <w:szCs w:val="20"/>
                <w:lang w:eastAsia="zh-CN"/>
              </w:rPr>
              <w:t>Total SEF</w:t>
            </w:r>
          </w:p>
        </w:tc>
        <w:tc>
          <w:tcPr>
            <w:tcW w:w="1165" w:type="dxa"/>
            <w:shd w:val="clear" w:color="auto" w:fill="auto"/>
            <w:vAlign w:val="center"/>
          </w:tcPr>
          <w:p>
            <w:pPr>
              <w:jc w:val="center"/>
              <w:textAlignment w:val="center"/>
              <w:rPr>
                <w:rFonts w:eastAsia="Calibri Light"/>
                <w:b/>
                <w:bCs/>
                <w:sz w:val="20"/>
                <w:szCs w:val="20"/>
                <w:lang w:eastAsia="zh-CN"/>
              </w:rPr>
            </w:pPr>
            <w:r>
              <w:rPr>
                <w:rFonts w:eastAsia="Calibri Light"/>
                <w:b/>
                <w:bCs/>
                <w:sz w:val="20"/>
                <w:szCs w:val="20"/>
                <w:lang w:eastAsia="zh-CN"/>
              </w:rPr>
              <w:t>8</w:t>
            </w:r>
          </w:p>
        </w:tc>
        <w:tc>
          <w:tcPr>
            <w:tcW w:w="1847" w:type="dxa"/>
            <w:shd w:val="clear" w:color="auto" w:fill="auto"/>
            <w:vAlign w:val="center"/>
          </w:tcPr>
          <w:p>
            <w:pPr>
              <w:jc w:val="right"/>
              <w:textAlignment w:val="center"/>
              <w:rPr>
                <w:rFonts w:eastAsia="Calibri Light"/>
                <w:b/>
                <w:bCs/>
                <w:sz w:val="20"/>
                <w:szCs w:val="20"/>
                <w:lang w:eastAsia="zh-CN"/>
              </w:rPr>
            </w:pPr>
            <w:r>
              <w:rPr>
                <w:rFonts w:eastAsia="Calibri Light"/>
                <w:b/>
                <w:bCs/>
                <w:sz w:val="20"/>
                <w:szCs w:val="20"/>
                <w:lang w:eastAsia="zh-CN"/>
              </w:rPr>
              <w:t xml:space="preserve">P636,542,199.80 </w:t>
            </w:r>
          </w:p>
        </w:tc>
      </w:tr>
      <w:tr>
        <w:trPr>
          <w:trHeight w:val="255"/>
        </w:trPr>
        <w:tc>
          <w:tcPr>
            <w:tcW w:w="4008" w:type="dxa"/>
            <w:shd w:val="clear" w:color="auto" w:fill="auto"/>
            <w:noWrap/>
            <w:vAlign w:val="center"/>
          </w:tcPr>
          <w:p>
            <w:pPr>
              <w:textAlignment w:val="top"/>
              <w:rPr>
                <w:rFonts w:eastAsia="Calibri Light"/>
                <w:b/>
                <w:bCs/>
                <w:sz w:val="20"/>
                <w:szCs w:val="20"/>
                <w:lang w:eastAsia="zh-CN"/>
              </w:rPr>
            </w:pPr>
            <w:r>
              <w:rPr>
                <w:rFonts w:eastAsia="SimSun"/>
                <w:b/>
                <w:bCs/>
                <w:sz w:val="20"/>
                <w:szCs w:val="20"/>
                <w:lang w:eastAsia="zh-CN"/>
              </w:rPr>
              <w:t>Grand Total</w:t>
            </w:r>
          </w:p>
        </w:tc>
        <w:tc>
          <w:tcPr>
            <w:tcW w:w="1165" w:type="dxa"/>
            <w:shd w:val="clear" w:color="auto" w:fill="auto"/>
            <w:vAlign w:val="center"/>
          </w:tcPr>
          <w:p>
            <w:pPr>
              <w:jc w:val="center"/>
              <w:textAlignment w:val="center"/>
              <w:rPr>
                <w:rFonts w:eastAsia="Calibri Light"/>
                <w:b/>
                <w:bCs/>
                <w:sz w:val="20"/>
                <w:szCs w:val="20"/>
                <w:lang w:eastAsia="zh-CN"/>
              </w:rPr>
            </w:pPr>
            <w:r>
              <w:rPr>
                <w:rFonts w:eastAsia="SimSun"/>
                <w:b/>
                <w:bCs/>
                <w:sz w:val="20"/>
                <w:szCs w:val="20"/>
                <w:lang w:eastAsia="zh-CN"/>
              </w:rPr>
              <w:t>22</w:t>
            </w:r>
          </w:p>
        </w:tc>
        <w:tc>
          <w:tcPr>
            <w:tcW w:w="1847" w:type="dxa"/>
            <w:shd w:val="clear" w:color="auto" w:fill="auto"/>
            <w:vAlign w:val="center"/>
          </w:tcPr>
          <w:p>
            <w:pPr>
              <w:jc w:val="right"/>
              <w:textAlignment w:val="center"/>
              <w:rPr>
                <w:rFonts w:eastAsia="Calibri Light"/>
                <w:b/>
                <w:bCs/>
                <w:sz w:val="20"/>
                <w:szCs w:val="20"/>
                <w:lang w:eastAsia="zh-CN"/>
              </w:rPr>
            </w:pPr>
            <w:r>
              <w:rPr>
                <w:rFonts w:eastAsia="Calibri Light"/>
                <w:b/>
                <w:bCs/>
                <w:sz w:val="20"/>
                <w:szCs w:val="20"/>
                <w:lang w:eastAsia="zh-CN"/>
              </w:rPr>
              <w:t xml:space="preserve"> P740,330,745.99 </w:t>
            </w:r>
          </w:p>
        </w:tc>
      </w:tr>
    </w:tbl>
    <w:p>
      <w:pPr>
        <w:tabs>
          <w:tab w:val="left" w:pos="1200"/>
        </w:tabs>
        <w:jc w:val="both"/>
        <w:rPr>
          <w:sz w:val="20"/>
        </w:rPr>
      </w:pPr>
      <w:r>
        <w:tab/>
      </w:r>
    </w:p>
    <w:p>
      <w:pPr>
        <w:pStyle w:val="ListParagraph"/>
        <w:numPr>
          <w:ilvl w:val="0"/>
          <w:numId w:val="4"/>
        </w:numPr>
        <w:ind w:left="1710" w:hanging="630"/>
        <w:jc w:val="both"/>
      </w:pPr>
      <w:r>
        <w:t>The following information are NOT in the PPE records (Table 8) which rendered tracking and establishing accountability for the PPE arduous and inefficient;</w:t>
      </w:r>
    </w:p>
    <w:p>
      <w:pPr>
        <w:pStyle w:val="ListParagraph"/>
        <w:ind w:left="1710"/>
        <w:jc w:val="both"/>
        <w:rPr>
          <w:sz w:val="20"/>
        </w:rPr>
      </w:pPr>
    </w:p>
    <w:p>
      <w:pPr>
        <w:pStyle w:val="ListParagraph"/>
        <w:ind w:left="2430"/>
        <w:jc w:val="both"/>
      </w:pPr>
      <w:r>
        <w:rPr>
          <w:rFonts w:eastAsia="Calibri Light"/>
          <w:sz w:val="20"/>
          <w:szCs w:val="20"/>
          <w:lang w:eastAsia="zh-CN"/>
        </w:rPr>
        <w:t xml:space="preserve">Table 8 - PPE information </w:t>
      </w:r>
      <w:proofErr w:type="gramStart"/>
      <w:r>
        <w:rPr>
          <w:rFonts w:eastAsia="Calibri Light"/>
          <w:sz w:val="20"/>
          <w:szCs w:val="20"/>
          <w:lang w:eastAsia="zh-CN"/>
        </w:rPr>
        <w:t>Not</w:t>
      </w:r>
      <w:proofErr w:type="gramEnd"/>
      <w:r>
        <w:rPr>
          <w:rFonts w:eastAsia="Calibri Light"/>
          <w:sz w:val="20"/>
          <w:szCs w:val="20"/>
          <w:lang w:eastAsia="zh-CN"/>
        </w:rPr>
        <w:t xml:space="preserve"> in the PPE Records</w:t>
      </w:r>
    </w:p>
    <w:tbl>
      <w:tblPr>
        <w:tblW w:w="5400" w:type="dxa"/>
        <w:tblInd w:w="2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62"/>
        <w:gridCol w:w="2138"/>
      </w:tblGrid>
      <w:tr>
        <w:trPr>
          <w:trHeight w:val="255"/>
          <w:tblHeader/>
        </w:trPr>
        <w:tc>
          <w:tcPr>
            <w:tcW w:w="3262" w:type="dxa"/>
            <w:shd w:val="clear" w:color="auto" w:fill="auto"/>
            <w:tcMar>
              <w:top w:w="15" w:type="dxa"/>
              <w:left w:w="15" w:type="dxa"/>
              <w:right w:w="15" w:type="dxa"/>
            </w:tcMar>
          </w:tcPr>
          <w:p>
            <w:pPr>
              <w:jc w:val="center"/>
              <w:textAlignment w:val="center"/>
              <w:rPr>
                <w:rFonts w:eastAsia="SimSun"/>
                <w:b/>
                <w:bCs/>
                <w:sz w:val="20"/>
                <w:szCs w:val="20"/>
                <w:lang w:eastAsia="zh-CN"/>
              </w:rPr>
            </w:pPr>
            <w:r>
              <w:rPr>
                <w:b/>
                <w:bCs/>
                <w:sz w:val="20"/>
                <w:szCs w:val="20"/>
              </w:rPr>
              <w:t>Information</w:t>
            </w:r>
          </w:p>
        </w:tc>
        <w:tc>
          <w:tcPr>
            <w:tcW w:w="2138" w:type="dxa"/>
            <w:shd w:val="clear" w:color="auto" w:fill="auto"/>
            <w:tcMar>
              <w:top w:w="15" w:type="dxa"/>
              <w:left w:w="15" w:type="dxa"/>
              <w:right w:w="15" w:type="dxa"/>
            </w:tcMar>
          </w:tcPr>
          <w:p>
            <w:pPr>
              <w:jc w:val="center"/>
              <w:textAlignment w:val="center"/>
              <w:rPr>
                <w:rFonts w:eastAsia="Calibri Light"/>
                <w:b/>
                <w:bCs/>
                <w:sz w:val="20"/>
                <w:szCs w:val="20"/>
              </w:rPr>
            </w:pPr>
            <w:r>
              <w:rPr>
                <w:b/>
                <w:bCs/>
                <w:sz w:val="20"/>
                <w:szCs w:val="20"/>
              </w:rPr>
              <w:t>No. of PPE items</w:t>
            </w:r>
          </w:p>
        </w:tc>
      </w:tr>
      <w:tr>
        <w:trPr>
          <w:trHeight w:val="255"/>
        </w:trPr>
        <w:tc>
          <w:tcPr>
            <w:tcW w:w="3262" w:type="dxa"/>
            <w:shd w:val="clear" w:color="auto" w:fill="auto"/>
            <w:tcMar>
              <w:top w:w="15" w:type="dxa"/>
              <w:left w:w="15" w:type="dxa"/>
              <w:right w:w="15" w:type="dxa"/>
            </w:tcMar>
            <w:vAlign w:val="center"/>
          </w:tcPr>
          <w:p>
            <w:pPr>
              <w:ind w:firstLineChars="50" w:firstLine="100"/>
              <w:textAlignment w:val="center"/>
              <w:rPr>
                <w:sz w:val="20"/>
                <w:szCs w:val="20"/>
              </w:rPr>
            </w:pPr>
            <w:r>
              <w:rPr>
                <w:rFonts w:eastAsia="SimSun"/>
                <w:color w:val="000000"/>
                <w:sz w:val="20"/>
                <w:szCs w:val="20"/>
                <w:lang w:eastAsia="zh-CN"/>
              </w:rPr>
              <w:t>Property Number</w:t>
            </w:r>
          </w:p>
        </w:tc>
        <w:tc>
          <w:tcPr>
            <w:tcW w:w="2138" w:type="dxa"/>
            <w:shd w:val="clear" w:color="auto" w:fill="auto"/>
            <w:tcMar>
              <w:top w:w="15" w:type="dxa"/>
              <w:left w:w="15" w:type="dxa"/>
              <w:right w:w="15" w:type="dxa"/>
            </w:tcMar>
            <w:vAlign w:val="center"/>
          </w:tcPr>
          <w:p>
            <w:pPr>
              <w:jc w:val="center"/>
              <w:textAlignment w:val="center"/>
              <w:rPr>
                <w:rFonts w:eastAsia="Calibri Light"/>
                <w:sz w:val="20"/>
                <w:szCs w:val="20"/>
              </w:rPr>
            </w:pPr>
            <w:r>
              <w:rPr>
                <w:rFonts w:eastAsia="Calibri Light"/>
                <w:color w:val="000000"/>
                <w:sz w:val="20"/>
                <w:szCs w:val="20"/>
              </w:rPr>
              <w:t>3,137</w:t>
            </w:r>
          </w:p>
        </w:tc>
      </w:tr>
      <w:tr>
        <w:trPr>
          <w:trHeight w:val="255"/>
        </w:trPr>
        <w:tc>
          <w:tcPr>
            <w:tcW w:w="3262" w:type="dxa"/>
            <w:shd w:val="clear" w:color="auto" w:fill="auto"/>
            <w:tcMar>
              <w:top w:w="15" w:type="dxa"/>
              <w:left w:w="15" w:type="dxa"/>
              <w:right w:w="15" w:type="dxa"/>
            </w:tcMar>
            <w:vAlign w:val="center"/>
          </w:tcPr>
          <w:p>
            <w:pPr>
              <w:ind w:firstLineChars="50" w:firstLine="100"/>
              <w:textAlignment w:val="center"/>
              <w:rPr>
                <w:sz w:val="20"/>
                <w:szCs w:val="20"/>
              </w:rPr>
            </w:pPr>
            <w:r>
              <w:rPr>
                <w:rFonts w:eastAsia="SimSun"/>
                <w:color w:val="000000"/>
                <w:sz w:val="20"/>
                <w:szCs w:val="20"/>
                <w:lang w:eastAsia="zh-CN"/>
              </w:rPr>
              <w:t>Article (Sub-account of PPE)</w:t>
            </w:r>
          </w:p>
        </w:tc>
        <w:tc>
          <w:tcPr>
            <w:tcW w:w="2138" w:type="dxa"/>
            <w:shd w:val="clear" w:color="auto" w:fill="auto"/>
            <w:tcMar>
              <w:top w:w="15" w:type="dxa"/>
              <w:left w:w="15" w:type="dxa"/>
              <w:right w:w="15" w:type="dxa"/>
            </w:tcMar>
            <w:vAlign w:val="center"/>
          </w:tcPr>
          <w:p>
            <w:pPr>
              <w:jc w:val="center"/>
              <w:textAlignment w:val="center"/>
              <w:rPr>
                <w:rFonts w:eastAsia="Calibri Light"/>
                <w:sz w:val="20"/>
                <w:szCs w:val="20"/>
              </w:rPr>
            </w:pPr>
            <w:r>
              <w:rPr>
                <w:rFonts w:eastAsia="Calibri Light"/>
                <w:color w:val="000000"/>
                <w:sz w:val="20"/>
                <w:szCs w:val="20"/>
              </w:rPr>
              <w:t>7,435</w:t>
            </w:r>
          </w:p>
        </w:tc>
      </w:tr>
      <w:tr>
        <w:trPr>
          <w:trHeight w:val="255"/>
        </w:trPr>
        <w:tc>
          <w:tcPr>
            <w:tcW w:w="3262" w:type="dxa"/>
            <w:shd w:val="clear" w:color="auto" w:fill="auto"/>
            <w:tcMar>
              <w:top w:w="15" w:type="dxa"/>
              <w:left w:w="15" w:type="dxa"/>
              <w:right w:w="15" w:type="dxa"/>
            </w:tcMar>
            <w:vAlign w:val="center"/>
          </w:tcPr>
          <w:p>
            <w:pPr>
              <w:ind w:firstLineChars="50" w:firstLine="100"/>
              <w:textAlignment w:val="center"/>
              <w:rPr>
                <w:sz w:val="20"/>
                <w:szCs w:val="20"/>
              </w:rPr>
            </w:pPr>
            <w:r>
              <w:rPr>
                <w:rFonts w:eastAsia="SimSun"/>
                <w:color w:val="000000"/>
                <w:sz w:val="20"/>
                <w:szCs w:val="20"/>
                <w:lang w:eastAsia="zh-CN"/>
              </w:rPr>
              <w:t>Description (e.g. serial number)</w:t>
            </w:r>
          </w:p>
        </w:tc>
        <w:tc>
          <w:tcPr>
            <w:tcW w:w="2138" w:type="dxa"/>
            <w:shd w:val="clear" w:color="auto" w:fill="auto"/>
            <w:tcMar>
              <w:top w:w="15" w:type="dxa"/>
              <w:left w:w="15" w:type="dxa"/>
              <w:right w:w="15" w:type="dxa"/>
            </w:tcMar>
            <w:vAlign w:val="center"/>
          </w:tcPr>
          <w:p>
            <w:pPr>
              <w:jc w:val="center"/>
              <w:textAlignment w:val="center"/>
              <w:rPr>
                <w:rFonts w:eastAsia="Calibri Light"/>
                <w:sz w:val="20"/>
                <w:szCs w:val="20"/>
              </w:rPr>
            </w:pPr>
            <w:r>
              <w:rPr>
                <w:rFonts w:eastAsia="Calibri Light"/>
                <w:color w:val="000000"/>
                <w:sz w:val="20"/>
                <w:szCs w:val="20"/>
              </w:rPr>
              <w:t>2,108</w:t>
            </w:r>
          </w:p>
        </w:tc>
      </w:tr>
      <w:tr>
        <w:trPr>
          <w:trHeight w:val="255"/>
        </w:trPr>
        <w:tc>
          <w:tcPr>
            <w:tcW w:w="3262" w:type="dxa"/>
            <w:shd w:val="clear" w:color="auto" w:fill="auto"/>
            <w:tcMar>
              <w:top w:w="15" w:type="dxa"/>
              <w:left w:w="15" w:type="dxa"/>
              <w:right w:w="15" w:type="dxa"/>
            </w:tcMar>
            <w:vAlign w:val="center"/>
          </w:tcPr>
          <w:p>
            <w:pPr>
              <w:ind w:firstLineChars="50" w:firstLine="100"/>
              <w:textAlignment w:val="center"/>
              <w:rPr>
                <w:sz w:val="20"/>
                <w:szCs w:val="20"/>
              </w:rPr>
            </w:pPr>
            <w:r>
              <w:rPr>
                <w:rFonts w:eastAsia="SimSun"/>
                <w:color w:val="000000"/>
                <w:sz w:val="20"/>
                <w:szCs w:val="20"/>
                <w:lang w:eastAsia="zh-CN"/>
              </w:rPr>
              <w:t>Office</w:t>
            </w:r>
          </w:p>
        </w:tc>
        <w:tc>
          <w:tcPr>
            <w:tcW w:w="2138" w:type="dxa"/>
            <w:shd w:val="clear" w:color="auto" w:fill="auto"/>
            <w:tcMar>
              <w:top w:w="15" w:type="dxa"/>
              <w:left w:w="15" w:type="dxa"/>
              <w:right w:w="15" w:type="dxa"/>
            </w:tcMar>
            <w:vAlign w:val="center"/>
          </w:tcPr>
          <w:p>
            <w:pPr>
              <w:jc w:val="center"/>
              <w:textAlignment w:val="center"/>
              <w:rPr>
                <w:rFonts w:eastAsia="Calibri Light"/>
                <w:sz w:val="20"/>
                <w:szCs w:val="20"/>
              </w:rPr>
            </w:pPr>
            <w:r>
              <w:rPr>
                <w:rFonts w:eastAsia="Calibri Light"/>
                <w:color w:val="000000"/>
                <w:sz w:val="20"/>
                <w:szCs w:val="20"/>
              </w:rPr>
              <w:t>1,239</w:t>
            </w:r>
          </w:p>
        </w:tc>
      </w:tr>
    </w:tbl>
    <w:p>
      <w:pPr>
        <w:pStyle w:val="ListParagraph"/>
        <w:numPr>
          <w:ilvl w:val="0"/>
          <w:numId w:val="4"/>
        </w:numPr>
        <w:ind w:left="1710" w:hanging="630"/>
        <w:jc w:val="both"/>
      </w:pPr>
      <w:r>
        <w:lastRenderedPageBreak/>
        <w:t>The condition of most of the PPE is not specified in the inventory records which raises valuation and PPE management issues.</w:t>
      </w:r>
    </w:p>
    <w:p>
      <w:pPr>
        <w:pStyle w:val="ListParagraph"/>
        <w:spacing w:line="259" w:lineRule="auto"/>
        <w:ind w:left="0"/>
        <w:jc w:val="both"/>
        <w:rPr>
          <w:b/>
          <w:bCs/>
        </w:rPr>
      </w:pPr>
    </w:p>
    <w:p>
      <w:pPr>
        <w:pStyle w:val="ListParagraph"/>
        <w:numPr>
          <w:ilvl w:val="1"/>
          <w:numId w:val="5"/>
        </w:numPr>
        <w:tabs>
          <w:tab w:val="clear" w:pos="1377"/>
        </w:tabs>
        <w:ind w:left="1080" w:hanging="540"/>
        <w:jc w:val="both"/>
        <w:rPr>
          <w:b/>
          <w:bCs/>
        </w:rPr>
      </w:pPr>
      <w:r>
        <w:rPr>
          <w:b/>
          <w:bCs/>
        </w:rPr>
        <w:t xml:space="preserve">We recommended that Management: </w:t>
      </w:r>
    </w:p>
    <w:p>
      <w:pPr>
        <w:pStyle w:val="ListParagraph"/>
        <w:tabs>
          <w:tab w:val="left" w:pos="425"/>
        </w:tabs>
        <w:ind w:left="1080"/>
        <w:jc w:val="both"/>
        <w:rPr>
          <w:b/>
          <w:bCs/>
        </w:rPr>
      </w:pPr>
    </w:p>
    <w:p>
      <w:pPr>
        <w:pStyle w:val="ListParagraph"/>
        <w:numPr>
          <w:ilvl w:val="2"/>
          <w:numId w:val="6"/>
        </w:numPr>
        <w:ind w:left="1440" w:hanging="360"/>
        <w:jc w:val="both"/>
        <w:rPr>
          <w:b/>
          <w:bCs/>
        </w:rPr>
      </w:pPr>
      <w:r>
        <w:rPr>
          <w:b/>
          <w:bCs/>
        </w:rPr>
        <w:t xml:space="preserve">Provide depreciation for the </w:t>
      </w:r>
      <w:r>
        <w:rPr>
          <w:b/>
          <w:bCs/>
          <w:lang w:val="en-PH" w:eastAsia="en-PH"/>
        </w:rPr>
        <w:t>4,087</w:t>
      </w:r>
      <w:r>
        <w:rPr>
          <w:b/>
          <w:bCs/>
        </w:rPr>
        <w:t xml:space="preserve"> depreciable PPE items totaling </w:t>
      </w:r>
      <w:r>
        <w:rPr>
          <w:b/>
          <w:bCs/>
          <w:lang w:val="en-PH" w:eastAsia="en-PH"/>
        </w:rPr>
        <w:t>P10.263 billion;</w:t>
      </w:r>
    </w:p>
    <w:p>
      <w:pPr>
        <w:pStyle w:val="ListParagraph"/>
        <w:tabs>
          <w:tab w:val="left" w:pos="425"/>
          <w:tab w:val="left" w:pos="709"/>
        </w:tabs>
        <w:ind w:left="1440"/>
        <w:jc w:val="both"/>
        <w:rPr>
          <w:b/>
          <w:bCs/>
        </w:rPr>
      </w:pPr>
    </w:p>
    <w:p>
      <w:pPr>
        <w:pStyle w:val="ListParagraph"/>
        <w:numPr>
          <w:ilvl w:val="2"/>
          <w:numId w:val="6"/>
        </w:numPr>
        <w:ind w:left="1440" w:hanging="360"/>
        <w:jc w:val="both"/>
        <w:rPr>
          <w:b/>
          <w:bCs/>
        </w:rPr>
      </w:pPr>
      <w:r>
        <w:rPr>
          <w:b/>
          <w:bCs/>
        </w:rPr>
        <w:t xml:space="preserve">In the </w:t>
      </w:r>
      <w:r>
        <w:rPr>
          <w:b/>
          <w:bCs/>
          <w:lang w:eastAsia="zh-CN"/>
        </w:rPr>
        <w:t>absence</w:t>
      </w:r>
      <w:r>
        <w:rPr>
          <w:b/>
          <w:bCs/>
        </w:rPr>
        <w:t xml:space="preserve"> of documents establishing the acquisition cost of four PPE items with nominal costs totaling P20,061.43, measure these PPE using their fair value and disclose the valuation in the Notes to FS;</w:t>
      </w:r>
    </w:p>
    <w:p>
      <w:pPr>
        <w:pStyle w:val="ListParagraph"/>
        <w:tabs>
          <w:tab w:val="left" w:pos="425"/>
          <w:tab w:val="left" w:pos="709"/>
        </w:tabs>
        <w:ind w:left="1440"/>
        <w:jc w:val="both"/>
        <w:rPr>
          <w:b/>
          <w:bCs/>
        </w:rPr>
      </w:pPr>
    </w:p>
    <w:p>
      <w:pPr>
        <w:pStyle w:val="ListParagraph"/>
        <w:numPr>
          <w:ilvl w:val="2"/>
          <w:numId w:val="6"/>
        </w:numPr>
        <w:ind w:left="1440" w:hanging="360"/>
        <w:jc w:val="both"/>
        <w:rPr>
          <w:b/>
          <w:bCs/>
        </w:rPr>
      </w:pPr>
      <w:r>
        <w:rPr>
          <w:b/>
          <w:bCs/>
        </w:rPr>
        <w:t>Record PPE individually in the PPE records (para. 2.3.1); and</w:t>
      </w:r>
    </w:p>
    <w:p>
      <w:pPr>
        <w:tabs>
          <w:tab w:val="left" w:pos="1200"/>
        </w:tabs>
        <w:jc w:val="both"/>
        <w:rPr>
          <w:b/>
          <w:bCs/>
          <w:lang w:eastAsia="zh-CN"/>
        </w:rPr>
      </w:pPr>
    </w:p>
    <w:p>
      <w:pPr>
        <w:pStyle w:val="ListParagraph"/>
        <w:numPr>
          <w:ilvl w:val="2"/>
          <w:numId w:val="6"/>
        </w:numPr>
        <w:ind w:left="1440" w:hanging="360"/>
        <w:jc w:val="both"/>
        <w:rPr>
          <w:b/>
          <w:bCs/>
          <w:lang w:eastAsia="zh-CN"/>
        </w:rPr>
      </w:pPr>
      <w:r>
        <w:rPr>
          <w:b/>
          <w:bCs/>
          <w:lang w:eastAsia="zh-CN"/>
        </w:rPr>
        <w:t>Instruct the OCAT and City General Services Office (CGSO) to indicate in their PPE records the condition of the PPE using common condition codes as well as the information listed in para. 2.3.2.</w:t>
      </w:r>
    </w:p>
    <w:p>
      <w:pPr>
        <w:jc w:val="both"/>
        <w:rPr>
          <w:b/>
        </w:rPr>
      </w:pPr>
    </w:p>
    <w:p>
      <w:pPr>
        <w:jc w:val="both"/>
        <w:rPr>
          <w:b/>
        </w:rPr>
      </w:pPr>
    </w:p>
    <w:p>
      <w:pPr>
        <w:pStyle w:val="ListParagraph"/>
        <w:numPr>
          <w:ilvl w:val="0"/>
          <w:numId w:val="1"/>
        </w:numPr>
        <w:tabs>
          <w:tab w:val="clear" w:pos="425"/>
          <w:tab w:val="left" w:pos="540"/>
        </w:tabs>
        <w:ind w:left="540" w:hanging="540"/>
        <w:jc w:val="both"/>
        <w:rPr>
          <w:rFonts w:eastAsiaTheme="minorHAnsi"/>
          <w:b/>
        </w:rPr>
      </w:pPr>
      <w:r>
        <w:rPr>
          <w:rFonts w:eastAsiaTheme="minorHAnsi"/>
          <w:b/>
        </w:rPr>
        <w:t xml:space="preserve">The Joint Venture Agreement (JVA) entered into by the City of Manila with     B. Braun </w:t>
      </w:r>
      <w:proofErr w:type="spellStart"/>
      <w:r>
        <w:rPr>
          <w:rFonts w:eastAsiaTheme="minorHAnsi"/>
          <w:b/>
        </w:rPr>
        <w:t>Avitum</w:t>
      </w:r>
      <w:proofErr w:type="spellEnd"/>
      <w:r>
        <w:rPr>
          <w:rFonts w:eastAsiaTheme="minorHAnsi"/>
          <w:b/>
        </w:rPr>
        <w:t xml:space="preserve"> Philippines, Inc. (BBAPI) does not have certain provisions prescribed in City Ordinance No. 8346 and has unclear and inadequate stipulations which are disadvantageous to the interest of the CGM.</w:t>
      </w:r>
    </w:p>
    <w:p>
      <w:pPr>
        <w:tabs>
          <w:tab w:val="left" w:pos="540"/>
        </w:tabs>
        <w:jc w:val="both"/>
        <w:rPr>
          <w:b/>
          <w:bCs/>
          <w:kern w:val="28"/>
          <w:lang w:eastAsia="en-PH"/>
        </w:rPr>
      </w:pPr>
    </w:p>
    <w:p>
      <w:pPr>
        <w:pStyle w:val="ListParagraph"/>
        <w:numPr>
          <w:ilvl w:val="1"/>
          <w:numId w:val="1"/>
        </w:numPr>
        <w:tabs>
          <w:tab w:val="left" w:pos="1200"/>
        </w:tabs>
        <w:ind w:left="1080" w:hanging="540"/>
        <w:jc w:val="both"/>
        <w:rPr>
          <w:lang w:eastAsia="zh-CN"/>
        </w:rPr>
      </w:pPr>
      <w:r>
        <w:rPr>
          <w:lang w:eastAsia="zh-CN"/>
        </w:rPr>
        <w:t xml:space="preserve">We reviewed the terms and conditions of the 15-year JVA entered into by the CGM with BBAPI on 13 October 2014 for the establishment, management and operation of a New and Modern Dialysis Center at the Gat Andres </w:t>
      </w:r>
      <w:proofErr w:type="spellStart"/>
      <w:r>
        <w:rPr>
          <w:lang w:eastAsia="zh-CN"/>
        </w:rPr>
        <w:t>Bonifacio</w:t>
      </w:r>
      <w:proofErr w:type="spellEnd"/>
      <w:r>
        <w:rPr>
          <w:lang w:eastAsia="zh-CN"/>
        </w:rPr>
        <w:t xml:space="preserve"> Memorial Medical Center (GABMMC) to determine if it conforms to the City Ordinance No. 8346 (JVO) and other pertinent laws, rules and regulation and has no onerous term or condition disadvantageous to the CGM.</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 xml:space="preserve">Our review of the JVA showed that it </w:t>
      </w:r>
      <w:r>
        <w:rPr>
          <w:rFonts w:eastAsiaTheme="minorHAnsi"/>
          <w:bCs/>
        </w:rPr>
        <w:t>does not have certain provisions prescribed in the JVO and has unclear and inadequate stipulations which are disadvantageous to the interest of the CGM as discussed in the succeeding paragraphs.</w:t>
      </w:r>
    </w:p>
    <w:p>
      <w:pPr>
        <w:pStyle w:val="ListParagraph"/>
        <w:tabs>
          <w:tab w:val="left" w:pos="1200"/>
        </w:tabs>
        <w:ind w:left="1377"/>
        <w:jc w:val="both"/>
        <w:rPr>
          <w:lang w:eastAsia="zh-CN"/>
        </w:rPr>
      </w:pPr>
    </w:p>
    <w:p>
      <w:pPr>
        <w:ind w:firstLine="540"/>
        <w:contextualSpacing/>
        <w:jc w:val="both"/>
        <w:rPr>
          <w:i/>
          <w:iCs/>
          <w:lang w:eastAsia="zh-CN"/>
        </w:rPr>
      </w:pPr>
      <w:r>
        <w:rPr>
          <w:i/>
          <w:iCs/>
          <w:lang w:eastAsia="zh-CN"/>
        </w:rPr>
        <w:t xml:space="preserve"> JVA Terms and conditions that work against the interest of the CGM </w:t>
      </w:r>
    </w:p>
    <w:p>
      <w:pPr>
        <w:pStyle w:val="ListParagraph"/>
        <w:tabs>
          <w:tab w:val="left" w:pos="1200"/>
        </w:tabs>
        <w:jc w:val="both"/>
        <w:rPr>
          <w:lang w:eastAsia="zh-CN"/>
        </w:rPr>
      </w:pPr>
    </w:p>
    <w:p>
      <w:pPr>
        <w:pStyle w:val="ListParagraph"/>
        <w:numPr>
          <w:ilvl w:val="1"/>
          <w:numId w:val="1"/>
        </w:numPr>
        <w:tabs>
          <w:tab w:val="left" w:pos="1200"/>
        </w:tabs>
        <w:ind w:left="1080" w:hanging="540"/>
        <w:jc w:val="both"/>
        <w:rPr>
          <w:lang w:eastAsia="zh-CN"/>
        </w:rPr>
      </w:pPr>
      <w:r>
        <w:rPr>
          <w:lang w:eastAsia="zh-CN"/>
        </w:rPr>
        <w:t xml:space="preserve">Section 4.4 of the JVA provides that: “The City of Manila and GABMMC shall provide and perform all laboratory request/requirements of the dialysis patients. Xxx… </w:t>
      </w:r>
      <w:r>
        <w:rPr>
          <w:b/>
          <w:bCs/>
          <w:lang w:eastAsia="zh-CN"/>
        </w:rPr>
        <w:t>For laboratory requirements of patients under BBAPI’s program (</w:t>
      </w:r>
      <w:proofErr w:type="spellStart"/>
      <w:r>
        <w:rPr>
          <w:b/>
          <w:bCs/>
          <w:lang w:eastAsia="zh-CN"/>
        </w:rPr>
        <w:t>PhilHealth</w:t>
      </w:r>
      <w:proofErr w:type="spellEnd"/>
      <w:r>
        <w:rPr>
          <w:b/>
          <w:bCs/>
          <w:lang w:eastAsia="zh-CN"/>
        </w:rPr>
        <w:t xml:space="preserve"> &amp; PCSO), GABMMC shall provide and extend twenty percent (20%) discount to BBAPI or come up with a special discounted laboratory package for said requirements, whichever is higher</w:t>
      </w:r>
      <w:r>
        <w:rPr>
          <w:lang w:eastAsia="zh-CN"/>
        </w:rPr>
        <w:t>.” (emphasis supplied)</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lastRenderedPageBreak/>
        <w:t xml:space="preserve">It must be emphasized that the operation of the City hospital, GABMMC, is service rather than profit-oriented such that costing its services should be for cost recovery and not factor in profit. The mandatory granting of this 20-percent discount is a cost burden to GABMMC and, in effect, could be considered as additional investment by the CGM in the joint venture (JV). </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The JVA does not have a provision passing this discount to the patients, thus, only BBAPI is directly benefiting from this privilege (lesser cost for the BBAPI), while the City is left with the burden of shouldering 100 percent of this discount. This effectively reduces the percent-share of the City in the revenue of the JV.</w:t>
      </w:r>
    </w:p>
    <w:p>
      <w:pPr>
        <w:pStyle w:val="ListParagraph"/>
        <w:tabs>
          <w:tab w:val="left" w:pos="1200"/>
        </w:tabs>
        <w:ind w:left="1377"/>
        <w:jc w:val="both"/>
        <w:rPr>
          <w:lang w:eastAsia="zh-CN"/>
        </w:rPr>
      </w:pPr>
    </w:p>
    <w:p>
      <w:pPr>
        <w:pStyle w:val="ListParagraph"/>
        <w:tabs>
          <w:tab w:val="left" w:pos="1200"/>
        </w:tabs>
        <w:ind w:left="1800" w:right="720"/>
        <w:jc w:val="both"/>
        <w:rPr>
          <w:i/>
          <w:iCs/>
          <w:lang w:eastAsia="zh-CN"/>
        </w:rPr>
      </w:pPr>
      <w:r>
        <w:rPr>
          <w:i/>
          <w:iCs/>
          <w:lang w:eastAsia="zh-CN"/>
        </w:rPr>
        <w:t xml:space="preserve">Section 6(1). Specifies the revenue sharing scheme of the JV partners wherein B. Braun </w:t>
      </w:r>
      <w:proofErr w:type="spellStart"/>
      <w:r>
        <w:rPr>
          <w:i/>
          <w:iCs/>
          <w:lang w:eastAsia="zh-CN"/>
        </w:rPr>
        <w:t>Avitum</w:t>
      </w:r>
      <w:proofErr w:type="spellEnd"/>
      <w:r>
        <w:rPr>
          <w:i/>
          <w:iCs/>
          <w:lang w:eastAsia="zh-CN"/>
        </w:rPr>
        <w:t xml:space="preserve"> Philippines, Inc. shall be entitled to 75% of standard treatment rate, net of Professional Fee (PF), while the City of Manila thru GABMMC shall be entitled to 25% of standard treatment rate, net of PF or One Hundred Fifty Thousand Pesos (P150</w:t>
      </w:r>
      <w:proofErr w:type="gramStart"/>
      <w:r>
        <w:rPr>
          <w:i/>
          <w:iCs/>
          <w:lang w:eastAsia="zh-CN"/>
        </w:rPr>
        <w:t>,000.00</w:t>
      </w:r>
      <w:proofErr w:type="gramEnd"/>
      <w:r>
        <w:rPr>
          <w:i/>
          <w:iCs/>
          <w:lang w:eastAsia="zh-CN"/>
        </w:rPr>
        <w:t>) per month whichever is higher.</w:t>
      </w:r>
    </w:p>
    <w:p>
      <w:pPr>
        <w:pStyle w:val="ListParagraph"/>
        <w:tabs>
          <w:tab w:val="left" w:pos="1200"/>
        </w:tabs>
        <w:ind w:left="1377"/>
        <w:jc w:val="both"/>
        <w:rPr>
          <w:i/>
          <w:iCs/>
          <w:lang w:eastAsia="zh-CN"/>
        </w:rPr>
      </w:pPr>
    </w:p>
    <w:p>
      <w:pPr>
        <w:pStyle w:val="ListParagraph"/>
        <w:tabs>
          <w:tab w:val="left" w:pos="1200"/>
        </w:tabs>
        <w:ind w:left="1800" w:right="720"/>
        <w:jc w:val="both"/>
        <w:rPr>
          <w:i/>
          <w:iCs/>
          <w:lang w:eastAsia="zh-CN"/>
        </w:rPr>
      </w:pPr>
      <w:r>
        <w:rPr>
          <w:i/>
          <w:iCs/>
          <w:lang w:eastAsia="zh-CN"/>
        </w:rPr>
        <w:t xml:space="preserve">Section 6.3. Provides that all revenues outside of the treatment revenue such as sales of pharmaceuticals products, other supplies and consumables, emergency fees and surcharges levied on the patients undergoing treatments in the Dialysis Unit as well as other items/supplies included in the PHIC and PCSO package, such as but not limited to dialyzers, EPO, renal vitamins </w:t>
      </w:r>
      <w:r>
        <w:rPr>
          <w:b/>
          <w:bCs/>
          <w:i/>
          <w:iCs/>
          <w:lang w:eastAsia="zh-CN"/>
        </w:rPr>
        <w:t>shall not be covered</w:t>
      </w:r>
      <w:r>
        <w:rPr>
          <w:i/>
          <w:iCs/>
          <w:lang w:eastAsia="zh-CN"/>
        </w:rPr>
        <w:t xml:space="preserve"> by the revenue sharing. As such, all revenue coming from the said items shall accrue exclusively to BBAPI. </w:t>
      </w:r>
      <w:r>
        <w:rPr>
          <w:lang w:eastAsia="zh-CN"/>
        </w:rPr>
        <w:t>(</w:t>
      </w:r>
      <w:proofErr w:type="gramStart"/>
      <w:r>
        <w:rPr>
          <w:lang w:eastAsia="zh-CN"/>
        </w:rPr>
        <w:t>underscoring</w:t>
      </w:r>
      <w:proofErr w:type="gramEnd"/>
      <w:r>
        <w:rPr>
          <w:lang w:eastAsia="zh-CN"/>
        </w:rPr>
        <w:t xml:space="preserve"> supplied)</w:t>
      </w:r>
    </w:p>
    <w:p>
      <w:pPr>
        <w:pStyle w:val="ListParagraph"/>
        <w:tabs>
          <w:tab w:val="left" w:pos="1200"/>
        </w:tabs>
        <w:ind w:left="1377"/>
        <w:jc w:val="both"/>
        <w:rPr>
          <w:lang w:eastAsia="zh-CN"/>
        </w:rPr>
      </w:pPr>
    </w:p>
    <w:p>
      <w:pPr>
        <w:pStyle w:val="ListParagraph"/>
        <w:tabs>
          <w:tab w:val="left" w:pos="1200"/>
        </w:tabs>
        <w:ind w:left="1800" w:right="720"/>
        <w:jc w:val="both"/>
        <w:rPr>
          <w:lang w:eastAsia="zh-CN"/>
        </w:rPr>
      </w:pPr>
      <w:r>
        <w:rPr>
          <w:i/>
          <w:iCs/>
          <w:lang w:eastAsia="zh-CN"/>
        </w:rPr>
        <w:t xml:space="preserve">Section 10. Miscellaneous Provisions. The City of Manila and/or GABMMC </w:t>
      </w:r>
      <w:r>
        <w:rPr>
          <w:b/>
          <w:bCs/>
          <w:i/>
          <w:iCs/>
          <w:lang w:eastAsia="zh-CN"/>
        </w:rPr>
        <w:t>shall not set-up and establish a separate Dialysis Unit or allow any other party to set up another Dialysis Unit in the premises of the hospital</w:t>
      </w:r>
      <w:r>
        <w:rPr>
          <w:i/>
          <w:iCs/>
          <w:lang w:eastAsia="zh-CN"/>
        </w:rPr>
        <w:t>.</w:t>
      </w:r>
      <w:r>
        <w:rPr>
          <w:lang w:eastAsia="zh-CN"/>
        </w:rPr>
        <w:t xml:space="preserve"> (</w:t>
      </w:r>
      <w:proofErr w:type="gramStart"/>
      <w:r>
        <w:rPr>
          <w:lang w:eastAsia="zh-CN"/>
        </w:rPr>
        <w:t>underscoring</w:t>
      </w:r>
      <w:proofErr w:type="gramEnd"/>
      <w:r>
        <w:rPr>
          <w:lang w:eastAsia="zh-CN"/>
        </w:rPr>
        <w:t xml:space="preserve"> supplied)</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The CGM’s books of accounts show that its investment in this JV as of 31 December 2020 amounts to P75</w:t>
      </w:r>
      <w:proofErr w:type="gramStart"/>
      <w:r>
        <w:rPr>
          <w:lang w:eastAsia="zh-CN"/>
        </w:rPr>
        <w:t>,613,174.31</w:t>
      </w:r>
      <w:proofErr w:type="gramEnd"/>
      <w:r>
        <w:rPr>
          <w:lang w:eastAsia="zh-CN"/>
        </w:rPr>
        <w:t xml:space="preserve"> and is already 39 percent of the total JV investment at the outset (Table 9). This is on top of: (a) the value of existing structure and land where the dialysis center is situated; (b) the cost of air conditioning system, security and janitorial services for the common areas in the Dialysis Unit; (c) the salary of the dialysis unit medical director; and (d) the foregone revenue in the form of the 20-percent discount for the laboratory requirements of the BBAPI earlier discussed. </w:t>
      </w:r>
    </w:p>
    <w:p>
      <w:pPr>
        <w:pStyle w:val="ListParagraph"/>
        <w:tabs>
          <w:tab w:val="left" w:pos="1200"/>
        </w:tabs>
        <w:ind w:left="1080"/>
        <w:jc w:val="both"/>
        <w:rPr>
          <w:sz w:val="20"/>
          <w:shd w:val="clear" w:color="auto" w:fill="FFFFFF"/>
        </w:rPr>
      </w:pPr>
    </w:p>
    <w:p>
      <w:pPr>
        <w:pStyle w:val="ListParagraph"/>
        <w:tabs>
          <w:tab w:val="left" w:pos="1200"/>
        </w:tabs>
        <w:ind w:left="1080"/>
        <w:jc w:val="both"/>
        <w:rPr>
          <w:sz w:val="20"/>
          <w:shd w:val="clear" w:color="auto" w:fill="FFFFFF"/>
        </w:rPr>
      </w:pPr>
    </w:p>
    <w:p>
      <w:pPr>
        <w:pStyle w:val="ListParagraph"/>
        <w:tabs>
          <w:tab w:val="left" w:pos="1200"/>
        </w:tabs>
        <w:ind w:left="1080"/>
        <w:jc w:val="both"/>
        <w:rPr>
          <w:sz w:val="20"/>
          <w:shd w:val="clear" w:color="auto" w:fill="FFFFFF"/>
        </w:rPr>
      </w:pPr>
    </w:p>
    <w:p>
      <w:pPr>
        <w:pStyle w:val="ListParagraph"/>
        <w:tabs>
          <w:tab w:val="left" w:pos="1200"/>
        </w:tabs>
        <w:ind w:left="1080"/>
        <w:jc w:val="both"/>
        <w:rPr>
          <w:sz w:val="20"/>
          <w:shd w:val="clear" w:color="auto" w:fill="FFFFFF"/>
        </w:rPr>
      </w:pPr>
    </w:p>
    <w:p>
      <w:pPr>
        <w:pStyle w:val="ListParagraph"/>
        <w:tabs>
          <w:tab w:val="left" w:pos="1200"/>
        </w:tabs>
        <w:ind w:left="1080"/>
        <w:jc w:val="both"/>
        <w:rPr>
          <w:lang w:eastAsia="zh-CN"/>
        </w:rPr>
      </w:pPr>
      <w:r>
        <w:rPr>
          <w:sz w:val="20"/>
          <w:shd w:val="clear" w:color="auto" w:fill="FFFFFF"/>
        </w:rPr>
        <w:lastRenderedPageBreak/>
        <w:t>Table 9 – Amount and ratio of investment by the JV partners (as of December 31, 2019)</w:t>
      </w:r>
    </w:p>
    <w:tbl>
      <w:tblPr>
        <w:tblStyle w:val="TableGrid"/>
        <w:tblW w:w="7530" w:type="dxa"/>
        <w:tblInd w:w="1105" w:type="dxa"/>
        <w:tblLook w:val="04A0" w:firstRow="1" w:lastRow="0" w:firstColumn="1" w:lastColumn="0" w:noHBand="0" w:noVBand="1"/>
      </w:tblPr>
      <w:tblGrid>
        <w:gridCol w:w="2919"/>
        <w:gridCol w:w="2505"/>
        <w:gridCol w:w="2106"/>
      </w:tblGrid>
      <w:tr>
        <w:trPr>
          <w:tblHeader/>
        </w:trPr>
        <w:tc>
          <w:tcPr>
            <w:tcW w:w="2919" w:type="dxa"/>
          </w:tcPr>
          <w:p>
            <w:pPr>
              <w:pStyle w:val="NoSpacing"/>
              <w:jc w:val="center"/>
              <w:rPr>
                <w:rFonts w:ascii="Times New Roman" w:eastAsia="SimSun" w:hAnsi="Times New Roman" w:cs="Times New Roman"/>
                <w:b/>
                <w:bCs/>
                <w:sz w:val="20"/>
                <w:szCs w:val="20"/>
                <w:u w:val="none"/>
                <w:shd w:val="clear" w:color="auto" w:fill="FFFFFF"/>
                <w:lang w:val="en-PH" w:eastAsia="en-PH"/>
              </w:rPr>
            </w:pPr>
            <w:r>
              <w:rPr>
                <w:rFonts w:ascii="Times New Roman" w:eastAsia="SimSun" w:hAnsi="Times New Roman" w:cs="Times New Roman"/>
                <w:b/>
                <w:bCs/>
                <w:sz w:val="20"/>
                <w:szCs w:val="20"/>
                <w:u w:val="none"/>
                <w:shd w:val="clear" w:color="auto" w:fill="FFFFFF"/>
                <w:lang w:val="en-PH" w:eastAsia="en-PH"/>
              </w:rPr>
              <w:t>Parties to the JVA</w:t>
            </w:r>
          </w:p>
        </w:tc>
        <w:tc>
          <w:tcPr>
            <w:tcW w:w="2505" w:type="dxa"/>
          </w:tcPr>
          <w:p>
            <w:pPr>
              <w:pStyle w:val="NoSpacing"/>
              <w:jc w:val="center"/>
              <w:rPr>
                <w:rFonts w:ascii="Times New Roman" w:eastAsia="SimSun" w:hAnsi="Times New Roman" w:cs="Times New Roman"/>
                <w:b/>
                <w:bCs/>
                <w:sz w:val="20"/>
                <w:szCs w:val="20"/>
                <w:u w:val="none"/>
                <w:shd w:val="clear" w:color="auto" w:fill="FFFFFF"/>
                <w:lang w:val="en-PH" w:eastAsia="en-PH"/>
              </w:rPr>
            </w:pPr>
            <w:r>
              <w:rPr>
                <w:rFonts w:ascii="Times New Roman" w:eastAsia="SimSun" w:hAnsi="Times New Roman" w:cs="Times New Roman"/>
                <w:b/>
                <w:bCs/>
                <w:sz w:val="20"/>
                <w:szCs w:val="20"/>
                <w:u w:val="none"/>
                <w:shd w:val="clear" w:color="auto" w:fill="FFFFFF"/>
                <w:lang w:val="en-PH" w:eastAsia="en-PH"/>
              </w:rPr>
              <w:t>Investment</w:t>
            </w:r>
          </w:p>
        </w:tc>
        <w:tc>
          <w:tcPr>
            <w:tcW w:w="2106" w:type="dxa"/>
          </w:tcPr>
          <w:p>
            <w:pPr>
              <w:pStyle w:val="NoSpacing"/>
              <w:jc w:val="center"/>
              <w:rPr>
                <w:rFonts w:ascii="Times New Roman" w:eastAsia="SimSun" w:hAnsi="Times New Roman" w:cs="Times New Roman"/>
                <w:b/>
                <w:bCs/>
                <w:sz w:val="20"/>
                <w:szCs w:val="20"/>
                <w:u w:val="none"/>
                <w:shd w:val="clear" w:color="auto" w:fill="FFFFFF"/>
                <w:lang w:val="en-PH" w:eastAsia="en-PH"/>
              </w:rPr>
            </w:pPr>
            <w:r>
              <w:rPr>
                <w:rFonts w:ascii="Times New Roman" w:eastAsia="SimSun" w:hAnsi="Times New Roman" w:cs="Times New Roman"/>
                <w:b/>
                <w:bCs/>
                <w:sz w:val="20"/>
                <w:szCs w:val="20"/>
                <w:u w:val="none"/>
                <w:shd w:val="clear" w:color="auto" w:fill="FFFFFF"/>
                <w:lang w:val="en-PH" w:eastAsia="en-PH"/>
              </w:rPr>
              <w:t>Ratio</w:t>
            </w:r>
          </w:p>
        </w:tc>
      </w:tr>
      <w:tr>
        <w:tc>
          <w:tcPr>
            <w:tcW w:w="2919" w:type="dxa"/>
          </w:tcPr>
          <w:p>
            <w:pPr>
              <w:pStyle w:val="NoSpacing"/>
              <w:jc w:val="both"/>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sz w:val="20"/>
                <w:szCs w:val="20"/>
                <w:u w:val="none"/>
                <w:shd w:val="clear" w:color="auto" w:fill="FFFFFF"/>
                <w:lang w:val="en-PH" w:eastAsia="en-PH"/>
              </w:rPr>
              <w:t xml:space="preserve">B. Braun </w:t>
            </w:r>
            <w:proofErr w:type="spellStart"/>
            <w:r>
              <w:rPr>
                <w:rFonts w:ascii="Times New Roman" w:eastAsia="SimSun" w:hAnsi="Times New Roman" w:cs="Times New Roman"/>
                <w:sz w:val="20"/>
                <w:szCs w:val="20"/>
                <w:u w:val="none"/>
                <w:shd w:val="clear" w:color="auto" w:fill="FFFFFF"/>
                <w:lang w:val="en-PH" w:eastAsia="en-PH"/>
              </w:rPr>
              <w:t>Avitum</w:t>
            </w:r>
            <w:proofErr w:type="spellEnd"/>
            <w:r>
              <w:rPr>
                <w:rFonts w:ascii="Times New Roman" w:eastAsia="SimSun" w:hAnsi="Times New Roman" w:cs="Times New Roman"/>
                <w:sz w:val="20"/>
                <w:szCs w:val="20"/>
                <w:u w:val="none"/>
                <w:shd w:val="clear" w:color="auto" w:fill="FFFFFF"/>
                <w:lang w:val="en-PH" w:eastAsia="en-PH"/>
              </w:rPr>
              <w:t xml:space="preserve"> </w:t>
            </w:r>
            <w:proofErr w:type="spellStart"/>
            <w:r>
              <w:rPr>
                <w:rFonts w:ascii="Times New Roman" w:eastAsia="SimSun" w:hAnsi="Times New Roman" w:cs="Times New Roman"/>
                <w:sz w:val="20"/>
                <w:szCs w:val="20"/>
                <w:u w:val="none"/>
                <w:shd w:val="clear" w:color="auto" w:fill="FFFFFF"/>
                <w:lang w:val="en-PH" w:eastAsia="en-PH"/>
              </w:rPr>
              <w:t>Phils</w:t>
            </w:r>
            <w:proofErr w:type="spellEnd"/>
            <w:r>
              <w:rPr>
                <w:rFonts w:ascii="Times New Roman" w:eastAsia="SimSun" w:hAnsi="Times New Roman" w:cs="Times New Roman"/>
                <w:sz w:val="20"/>
                <w:szCs w:val="20"/>
                <w:u w:val="none"/>
                <w:shd w:val="clear" w:color="auto" w:fill="FFFFFF"/>
                <w:lang w:val="en-PH" w:eastAsia="en-PH"/>
              </w:rPr>
              <w:t>., Inc. (equipment and systems)</w:t>
            </w:r>
          </w:p>
        </w:tc>
        <w:tc>
          <w:tcPr>
            <w:tcW w:w="2505" w:type="dxa"/>
          </w:tcPr>
          <w:p>
            <w:pPr>
              <w:pStyle w:val="NoSpacing"/>
              <w:jc w:val="right"/>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sz w:val="20"/>
                <w:szCs w:val="20"/>
                <w:u w:val="none"/>
                <w:shd w:val="clear" w:color="auto" w:fill="FFFFFF"/>
                <w:lang w:val="en-PH" w:eastAsia="en-PH"/>
              </w:rPr>
              <w:t>P120,000,000.00</w:t>
            </w:r>
          </w:p>
        </w:tc>
        <w:tc>
          <w:tcPr>
            <w:tcW w:w="2106" w:type="dxa"/>
          </w:tcPr>
          <w:p>
            <w:pPr>
              <w:pStyle w:val="NoSpacing"/>
              <w:jc w:val="right"/>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sz w:val="20"/>
                <w:szCs w:val="20"/>
                <w:u w:val="none"/>
                <w:shd w:val="clear" w:color="auto" w:fill="FFFFFF"/>
                <w:lang w:val="en-PH" w:eastAsia="en-PH"/>
              </w:rPr>
              <w:t>61%</w:t>
            </w:r>
          </w:p>
        </w:tc>
      </w:tr>
      <w:tr>
        <w:tc>
          <w:tcPr>
            <w:tcW w:w="2919" w:type="dxa"/>
          </w:tcPr>
          <w:p>
            <w:pPr>
              <w:pStyle w:val="NoSpacing"/>
              <w:jc w:val="both"/>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sz w:val="20"/>
                <w:szCs w:val="20"/>
                <w:u w:val="none"/>
                <w:shd w:val="clear" w:color="auto" w:fill="FFFFFF"/>
                <w:lang w:val="en-PH" w:eastAsia="en-PH"/>
              </w:rPr>
              <w:t>City of Manila (building improvements)</w:t>
            </w:r>
          </w:p>
        </w:tc>
        <w:tc>
          <w:tcPr>
            <w:tcW w:w="2505" w:type="dxa"/>
          </w:tcPr>
          <w:p>
            <w:pPr>
              <w:pStyle w:val="NoSpacing"/>
              <w:jc w:val="right"/>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sz w:val="20"/>
                <w:szCs w:val="20"/>
                <w:u w:val="none"/>
                <w:shd w:val="clear" w:color="auto" w:fill="FFFFFF"/>
                <w:lang w:val="en-PH" w:eastAsia="en-PH"/>
              </w:rPr>
              <w:t>75,613,174.31</w:t>
            </w:r>
          </w:p>
        </w:tc>
        <w:tc>
          <w:tcPr>
            <w:tcW w:w="2106" w:type="dxa"/>
          </w:tcPr>
          <w:p>
            <w:pPr>
              <w:pStyle w:val="NoSpacing"/>
              <w:jc w:val="right"/>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sz w:val="20"/>
                <w:szCs w:val="20"/>
                <w:u w:val="none"/>
                <w:shd w:val="clear" w:color="auto" w:fill="FFFFFF"/>
                <w:lang w:val="en-PH" w:eastAsia="en-PH"/>
              </w:rPr>
              <w:t>39%</w:t>
            </w:r>
          </w:p>
        </w:tc>
      </w:tr>
      <w:tr>
        <w:tc>
          <w:tcPr>
            <w:tcW w:w="2919" w:type="dxa"/>
          </w:tcPr>
          <w:p>
            <w:pPr>
              <w:pStyle w:val="NoSpacing"/>
              <w:jc w:val="both"/>
              <w:rPr>
                <w:rFonts w:ascii="Times New Roman" w:eastAsia="SimSun" w:hAnsi="Times New Roman" w:cs="Times New Roman"/>
                <w:sz w:val="20"/>
                <w:szCs w:val="20"/>
                <w:u w:val="none"/>
                <w:shd w:val="clear" w:color="auto" w:fill="FFFFFF"/>
                <w:lang w:val="en-PH" w:eastAsia="en-PH"/>
              </w:rPr>
            </w:pPr>
            <w:r>
              <w:rPr>
                <w:rFonts w:ascii="Times New Roman" w:eastAsia="SimSun" w:hAnsi="Times New Roman" w:cs="Times New Roman"/>
                <w:b/>
                <w:bCs/>
                <w:sz w:val="20"/>
                <w:szCs w:val="20"/>
                <w:u w:val="none"/>
                <w:shd w:val="clear" w:color="auto" w:fill="FFFFFF"/>
                <w:lang w:val="en-PH" w:eastAsia="en-PH"/>
              </w:rPr>
              <w:t>Total</w:t>
            </w:r>
          </w:p>
        </w:tc>
        <w:tc>
          <w:tcPr>
            <w:tcW w:w="2505" w:type="dxa"/>
          </w:tcPr>
          <w:p>
            <w:pPr>
              <w:pStyle w:val="NoSpacing"/>
              <w:jc w:val="right"/>
              <w:rPr>
                <w:rFonts w:ascii="Times New Roman" w:eastAsia="SimSun" w:hAnsi="Times New Roman" w:cs="Times New Roman"/>
                <w:b/>
                <w:sz w:val="20"/>
                <w:szCs w:val="20"/>
                <w:u w:val="none"/>
                <w:shd w:val="clear" w:color="auto" w:fill="FFFFFF"/>
                <w:lang w:val="en-PH" w:eastAsia="en-PH"/>
              </w:rPr>
            </w:pPr>
            <w:r>
              <w:rPr>
                <w:rFonts w:ascii="Times New Roman" w:eastAsia="SimSun" w:hAnsi="Times New Roman" w:cs="Times New Roman"/>
                <w:b/>
                <w:sz w:val="20"/>
                <w:szCs w:val="20"/>
                <w:u w:val="none"/>
                <w:shd w:val="clear" w:color="auto" w:fill="FFFFFF"/>
                <w:lang w:val="en-PH" w:eastAsia="en-PH"/>
              </w:rPr>
              <w:t>P195,613,174.31</w:t>
            </w:r>
          </w:p>
        </w:tc>
        <w:tc>
          <w:tcPr>
            <w:tcW w:w="2106" w:type="dxa"/>
          </w:tcPr>
          <w:p>
            <w:pPr>
              <w:pStyle w:val="NoSpacing"/>
              <w:jc w:val="right"/>
              <w:rPr>
                <w:rFonts w:ascii="Times New Roman" w:eastAsia="SimSun" w:hAnsi="Times New Roman" w:cs="Times New Roman"/>
                <w:b/>
                <w:sz w:val="20"/>
                <w:szCs w:val="20"/>
                <w:u w:val="none"/>
                <w:shd w:val="clear" w:color="auto" w:fill="FFFFFF"/>
                <w:lang w:val="en-PH" w:eastAsia="en-PH"/>
              </w:rPr>
            </w:pPr>
            <w:r>
              <w:rPr>
                <w:rFonts w:ascii="Times New Roman" w:eastAsia="SimSun" w:hAnsi="Times New Roman" w:cs="Times New Roman"/>
                <w:b/>
                <w:sz w:val="20"/>
                <w:szCs w:val="20"/>
                <w:u w:val="none"/>
                <w:shd w:val="clear" w:color="auto" w:fill="FFFFFF"/>
                <w:lang w:val="en-PH" w:eastAsia="en-PH"/>
              </w:rPr>
              <w:t>100%</w:t>
            </w:r>
          </w:p>
        </w:tc>
      </w:tr>
    </w:tbl>
    <w:p>
      <w:pPr>
        <w:tabs>
          <w:tab w:val="left" w:pos="1200"/>
        </w:tabs>
        <w:jc w:val="both"/>
        <w:rPr>
          <w:lang w:eastAsia="zh-CN"/>
        </w:rPr>
      </w:pPr>
    </w:p>
    <w:p>
      <w:pPr>
        <w:pStyle w:val="ListParagraph"/>
        <w:numPr>
          <w:ilvl w:val="1"/>
          <w:numId w:val="1"/>
        </w:numPr>
        <w:tabs>
          <w:tab w:val="left" w:pos="1200"/>
        </w:tabs>
        <w:ind w:left="1080" w:hanging="540"/>
        <w:jc w:val="both"/>
        <w:rPr>
          <w:lang w:eastAsia="zh-CN"/>
        </w:rPr>
      </w:pPr>
      <w:r>
        <w:rPr>
          <w:lang w:eastAsia="zh-CN"/>
        </w:rPr>
        <w:t xml:space="preserve">Given the CGM’s investment in the JV, the revenue share of the CGM is inequitable especially that, (a) based on the JV’s business model, the CGM has provided the BBAPI guaranteed earnings (more so given the monopoly provision in Section 10 of the JVA); and (b) the CGM only shares in the revenue Net of “sales of pharmaceuticals products, other supplies and consumables, emergency fees and surcharges levied on the patients undergoing treatments in the Dialysis Unit as well as other items/supplies included in the PHIC and PCSO package, such as but not limited to dialyzers, EPO, renal vitamins.” </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It must also be pointed out that, while BBAPI had been granted the 20-percent discount on the laboratory requirements referred to GABMMC, the same is NOT even being extended to the City for the cost of pharmaceuticals, supplies and consumables charged to the indigent patients subsidized by the City under its Orange Card Program.</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 xml:space="preserve">The JVA passed on to the BBAPI complete control of the procurement and pricing of the pharmaceuticals products, other supplies and consumables arising from the JV’s dialysis operations, which is neither transparent nor competitive. The JVA has not also provided how the City will ensure equitable pricing, safety and quality of these items. This bypasses/circumvents the requirement of RA No. 9184 (Government Procurement Reform Act) enacted to ensure transparency, competitiveness and that the government obtains the most advantageous prices (as provided under Section 2 of its Implementing Rules and Regulations). </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 xml:space="preserve">The foregoing terms and conditions work against the interest of the CGM and are valid grounds in the termination of the JVA.  </w:t>
      </w:r>
    </w:p>
    <w:p>
      <w:pPr>
        <w:tabs>
          <w:tab w:val="left" w:pos="1200"/>
        </w:tabs>
        <w:jc w:val="both"/>
        <w:rPr>
          <w:lang w:eastAsia="zh-CN"/>
        </w:rPr>
      </w:pPr>
    </w:p>
    <w:p>
      <w:pPr>
        <w:ind w:firstLine="540"/>
        <w:contextualSpacing/>
        <w:jc w:val="both"/>
        <w:rPr>
          <w:i/>
          <w:iCs/>
          <w:lang w:eastAsia="zh-CN"/>
        </w:rPr>
      </w:pPr>
      <w:r>
        <w:rPr>
          <w:i/>
          <w:iCs/>
          <w:lang w:eastAsia="zh-CN"/>
        </w:rPr>
        <w:t>Stipulations prescribed in the JVO but not in the JVA</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Section 9 of the City’s JVO provides that, as far as practicable, the JVA includes certain provisions which are vital in enforcing and managing JV obligations and accountability. However, we noted that some of these provisions are not among those stated in the JVA:</w:t>
      </w:r>
    </w:p>
    <w:p>
      <w:pPr>
        <w:pStyle w:val="ListParagraph"/>
        <w:tabs>
          <w:tab w:val="left" w:pos="1200"/>
        </w:tabs>
        <w:ind w:left="1377"/>
        <w:jc w:val="both"/>
        <w:rPr>
          <w:lang w:eastAsia="zh-CN"/>
        </w:rPr>
      </w:pPr>
    </w:p>
    <w:p>
      <w:pPr>
        <w:pStyle w:val="ListParagraph"/>
        <w:numPr>
          <w:ilvl w:val="0"/>
          <w:numId w:val="7"/>
        </w:numPr>
        <w:tabs>
          <w:tab w:val="left" w:pos="1200"/>
        </w:tabs>
        <w:ind w:left="1440"/>
        <w:jc w:val="both"/>
        <w:rPr>
          <w:lang w:eastAsia="zh-CN"/>
        </w:rPr>
      </w:pPr>
      <w:r>
        <w:rPr>
          <w:lang w:eastAsia="zh-CN"/>
        </w:rPr>
        <w:t>Anti-corruption warranties which work against establishing accountability for graft and corruption;</w:t>
      </w:r>
    </w:p>
    <w:p>
      <w:pPr>
        <w:pStyle w:val="ListParagraph"/>
        <w:tabs>
          <w:tab w:val="left" w:pos="1200"/>
        </w:tabs>
        <w:ind w:left="1377"/>
        <w:jc w:val="both"/>
        <w:rPr>
          <w:lang w:eastAsia="zh-CN"/>
        </w:rPr>
      </w:pPr>
    </w:p>
    <w:p>
      <w:pPr>
        <w:pStyle w:val="ListParagraph"/>
        <w:numPr>
          <w:ilvl w:val="0"/>
          <w:numId w:val="7"/>
        </w:numPr>
        <w:tabs>
          <w:tab w:val="left" w:pos="1200"/>
        </w:tabs>
        <w:ind w:left="1440"/>
        <w:jc w:val="both"/>
        <w:rPr>
          <w:lang w:eastAsia="zh-CN"/>
        </w:rPr>
      </w:pPr>
      <w:r>
        <w:rPr>
          <w:lang w:eastAsia="zh-CN"/>
        </w:rPr>
        <w:lastRenderedPageBreak/>
        <w:t>The manner of valuation of the JV assets/properties and their ownership during and after the term of the Agreements, thus the: (</w:t>
      </w:r>
      <w:proofErr w:type="spellStart"/>
      <w:r>
        <w:rPr>
          <w:lang w:eastAsia="zh-CN"/>
        </w:rPr>
        <w:t>i</w:t>
      </w:r>
      <w:proofErr w:type="spellEnd"/>
      <w:r>
        <w:rPr>
          <w:lang w:eastAsia="zh-CN"/>
        </w:rPr>
        <w:t>) the risk of undervaluation or overvaluation of the interest of the City, and (ii) adverse claims against the City during the dissolution of the JVs; and</w:t>
      </w:r>
    </w:p>
    <w:p>
      <w:pPr>
        <w:pStyle w:val="ListParagraph"/>
        <w:tabs>
          <w:tab w:val="left" w:pos="1200"/>
        </w:tabs>
        <w:ind w:left="1377"/>
        <w:jc w:val="both"/>
        <w:rPr>
          <w:lang w:eastAsia="zh-CN"/>
        </w:rPr>
      </w:pPr>
    </w:p>
    <w:p>
      <w:pPr>
        <w:pStyle w:val="ListParagraph"/>
        <w:numPr>
          <w:ilvl w:val="0"/>
          <w:numId w:val="7"/>
        </w:numPr>
        <w:tabs>
          <w:tab w:val="left" w:pos="1200"/>
        </w:tabs>
        <w:ind w:left="1440"/>
        <w:jc w:val="both"/>
        <w:rPr>
          <w:lang w:eastAsia="zh-CN"/>
        </w:rPr>
      </w:pPr>
      <w:r>
        <w:rPr>
          <w:lang w:eastAsia="zh-CN"/>
        </w:rPr>
        <w:t>Procedure for divestment and disposition which will ensure the smooth and efficient auction and abandoning/discarding of JV assets.</w:t>
      </w:r>
    </w:p>
    <w:p>
      <w:pPr>
        <w:tabs>
          <w:tab w:val="left" w:pos="1200"/>
        </w:tabs>
        <w:jc w:val="both"/>
        <w:rPr>
          <w:lang w:eastAsia="zh-CN"/>
        </w:rPr>
      </w:pPr>
    </w:p>
    <w:p>
      <w:pPr>
        <w:ind w:firstLine="540"/>
        <w:contextualSpacing/>
        <w:jc w:val="both"/>
        <w:rPr>
          <w:i/>
          <w:iCs/>
          <w:lang w:eastAsia="zh-CN"/>
        </w:rPr>
      </w:pPr>
      <w:r>
        <w:rPr>
          <w:i/>
          <w:iCs/>
          <w:lang w:eastAsia="zh-CN"/>
        </w:rPr>
        <w:t>Absence of relevant/vital provisions in the JVA</w:t>
      </w:r>
    </w:p>
    <w:p>
      <w:pPr>
        <w:pStyle w:val="ListParagraph"/>
        <w:tabs>
          <w:tab w:val="left" w:pos="1200"/>
        </w:tabs>
        <w:ind w:left="1377"/>
        <w:jc w:val="both"/>
        <w:rPr>
          <w:lang w:eastAsia="zh-CN"/>
        </w:rPr>
      </w:pPr>
    </w:p>
    <w:p>
      <w:pPr>
        <w:pStyle w:val="ListParagraph"/>
        <w:numPr>
          <w:ilvl w:val="1"/>
          <w:numId w:val="1"/>
        </w:numPr>
        <w:tabs>
          <w:tab w:val="left" w:pos="1200"/>
        </w:tabs>
        <w:ind w:left="1080" w:hanging="540"/>
        <w:jc w:val="both"/>
        <w:rPr>
          <w:lang w:eastAsia="zh-CN"/>
        </w:rPr>
      </w:pPr>
      <w:r>
        <w:rPr>
          <w:lang w:eastAsia="zh-CN"/>
        </w:rPr>
        <w:t>We have further noted that the JVA failed to include certain provisions vital in protecting the interest of the CGM, its constituents and general public.</w:t>
      </w:r>
    </w:p>
    <w:p>
      <w:pPr>
        <w:pStyle w:val="ListParagraph"/>
        <w:tabs>
          <w:tab w:val="left" w:pos="1200"/>
        </w:tabs>
        <w:ind w:left="1377"/>
        <w:jc w:val="both"/>
        <w:rPr>
          <w:lang w:eastAsia="zh-CN"/>
        </w:rPr>
      </w:pPr>
    </w:p>
    <w:p>
      <w:pPr>
        <w:pStyle w:val="ListParagraph"/>
        <w:numPr>
          <w:ilvl w:val="0"/>
          <w:numId w:val="8"/>
        </w:numPr>
        <w:tabs>
          <w:tab w:val="left" w:pos="1200"/>
        </w:tabs>
        <w:ind w:left="1440"/>
        <w:jc w:val="both"/>
        <w:rPr>
          <w:lang w:eastAsia="zh-CN"/>
        </w:rPr>
      </w:pPr>
      <w:r>
        <w:rPr>
          <w:lang w:eastAsia="zh-CN"/>
        </w:rPr>
        <w:t xml:space="preserve">There is no provision on the imposition of penalty in case of late remittance of City share in the JVA. The absence of such provision would provide BBAPI the luxury of time in the performance of its obligations without being sanctioned for its inability to timely remit the city share, to the detriment of the CGM. </w:t>
      </w:r>
    </w:p>
    <w:p>
      <w:pPr>
        <w:pStyle w:val="ListParagraph"/>
        <w:tabs>
          <w:tab w:val="left" w:pos="1200"/>
        </w:tabs>
        <w:ind w:left="1377"/>
        <w:jc w:val="both"/>
        <w:rPr>
          <w:lang w:eastAsia="zh-CN"/>
        </w:rPr>
      </w:pPr>
    </w:p>
    <w:p>
      <w:pPr>
        <w:pStyle w:val="ListParagraph"/>
        <w:numPr>
          <w:ilvl w:val="0"/>
          <w:numId w:val="8"/>
        </w:numPr>
        <w:tabs>
          <w:tab w:val="left" w:pos="1200"/>
        </w:tabs>
        <w:ind w:left="1440"/>
        <w:jc w:val="both"/>
        <w:rPr>
          <w:lang w:eastAsia="zh-CN"/>
        </w:rPr>
      </w:pPr>
      <w:r>
        <w:rPr>
          <w:lang w:eastAsia="zh-CN"/>
        </w:rPr>
        <w:t>Although the applicable treatment rates are specifically provided in the JVA, there is no standard cost therein of the pharmaceutical products, other supplies and consumables that will be levied (per dialysis session) to the patients. Further, there is no provision in the JVA on how the costs of these items are to be regulated by the City. This poses the risk of exorbitant pricing, thus, both detrimental to the dialysis patients and the CGM.</w:t>
      </w:r>
    </w:p>
    <w:p>
      <w:pPr>
        <w:pStyle w:val="ListParagraph"/>
        <w:tabs>
          <w:tab w:val="left" w:pos="1200"/>
        </w:tabs>
        <w:ind w:left="1377"/>
        <w:jc w:val="both"/>
        <w:rPr>
          <w:lang w:eastAsia="zh-CN"/>
        </w:rPr>
      </w:pPr>
    </w:p>
    <w:p>
      <w:pPr>
        <w:pStyle w:val="ListParagraph"/>
        <w:numPr>
          <w:ilvl w:val="0"/>
          <w:numId w:val="8"/>
        </w:numPr>
        <w:tabs>
          <w:tab w:val="left" w:pos="1200"/>
        </w:tabs>
        <w:ind w:left="1440"/>
        <w:jc w:val="both"/>
        <w:rPr>
          <w:lang w:eastAsia="zh-CN"/>
        </w:rPr>
      </w:pPr>
      <w:r>
        <w:rPr>
          <w:lang w:eastAsia="zh-CN"/>
        </w:rPr>
        <w:t>There is NO provision on the ownership of the JV data/information generated during the dissolution of the JVA. The lack of this provision is very disadvantageous as this asset is very valuable. The JVA is providing opportunity for B. Braun to arrogate to itself this asset.</w:t>
      </w:r>
    </w:p>
    <w:p>
      <w:pPr>
        <w:pStyle w:val="ListParagraph"/>
        <w:tabs>
          <w:tab w:val="left" w:pos="1200"/>
        </w:tabs>
        <w:ind w:left="1377"/>
        <w:jc w:val="both"/>
        <w:rPr>
          <w:lang w:eastAsia="zh-CN"/>
        </w:rPr>
      </w:pPr>
    </w:p>
    <w:p>
      <w:pPr>
        <w:pStyle w:val="ListParagraph"/>
        <w:numPr>
          <w:ilvl w:val="0"/>
          <w:numId w:val="8"/>
        </w:numPr>
        <w:tabs>
          <w:tab w:val="left" w:pos="1200"/>
        </w:tabs>
        <w:ind w:left="1440"/>
        <w:jc w:val="both"/>
        <w:rPr>
          <w:lang w:eastAsia="zh-CN"/>
        </w:rPr>
      </w:pPr>
      <w:r>
        <w:rPr>
          <w:lang w:eastAsia="zh-CN"/>
        </w:rPr>
        <w:t>There is NO clear stipulation as to what will happen to the assets/properties contributed by the City upon dissolution of the JV. This poses serious risk of loss of assets and conflict/disagreement among the JV partners during the dissolution of the JV.</w:t>
      </w:r>
    </w:p>
    <w:p>
      <w:pPr>
        <w:pStyle w:val="ListParagraph"/>
        <w:tabs>
          <w:tab w:val="left" w:pos="1200"/>
        </w:tabs>
        <w:ind w:left="1377"/>
        <w:jc w:val="both"/>
        <w:rPr>
          <w:lang w:eastAsia="zh-CN"/>
        </w:rPr>
      </w:pPr>
    </w:p>
    <w:p>
      <w:pPr>
        <w:pStyle w:val="ListParagraph"/>
        <w:numPr>
          <w:ilvl w:val="1"/>
          <w:numId w:val="5"/>
        </w:numPr>
        <w:tabs>
          <w:tab w:val="clear" w:pos="1377"/>
        </w:tabs>
        <w:ind w:left="1080" w:hanging="540"/>
        <w:jc w:val="both"/>
        <w:rPr>
          <w:b/>
          <w:lang w:eastAsia="zh-CN"/>
        </w:rPr>
      </w:pPr>
      <w:r>
        <w:rPr>
          <w:b/>
          <w:lang w:val="en-PH"/>
        </w:rPr>
        <w:t>Pursuant</w:t>
      </w:r>
      <w:r>
        <w:rPr>
          <w:b/>
          <w:lang w:eastAsia="zh-CN"/>
        </w:rPr>
        <w:t xml:space="preserve"> to para. 10 of the JVA, we recommended that Management come up with JVA addendum/amendments or similar binding document to correct the provisions and deficiencies therein that work against the interest of the CGM (paragraphs 3.3, 3.10 and 3.11) with the end view of, among others:</w:t>
      </w:r>
    </w:p>
    <w:p>
      <w:pPr>
        <w:pStyle w:val="ListParagraph"/>
        <w:tabs>
          <w:tab w:val="left" w:pos="1200"/>
        </w:tabs>
        <w:ind w:left="1377"/>
        <w:jc w:val="both"/>
        <w:rPr>
          <w:lang w:eastAsia="zh-CN"/>
        </w:rPr>
      </w:pPr>
    </w:p>
    <w:p>
      <w:pPr>
        <w:pStyle w:val="ListParagraph"/>
        <w:numPr>
          <w:ilvl w:val="2"/>
          <w:numId w:val="9"/>
        </w:numPr>
        <w:tabs>
          <w:tab w:val="clear" w:pos="709"/>
          <w:tab w:val="left" w:pos="1440"/>
        </w:tabs>
        <w:ind w:left="1440" w:hanging="360"/>
        <w:jc w:val="both"/>
        <w:rPr>
          <w:b/>
          <w:bCs/>
          <w:lang w:eastAsia="zh-CN"/>
        </w:rPr>
      </w:pPr>
      <w:r>
        <w:rPr>
          <w:b/>
          <w:bCs/>
          <w:lang w:eastAsia="en-GB"/>
        </w:rPr>
        <w:t>increasing</w:t>
      </w:r>
      <w:r>
        <w:rPr>
          <w:b/>
          <w:bCs/>
          <w:lang w:eastAsia="zh-CN"/>
        </w:rPr>
        <w:t xml:space="preserve"> the CGM share in the revenue of the JV commensurate to the CGM’s contribution/investment therein; and</w:t>
      </w:r>
    </w:p>
    <w:p>
      <w:pPr>
        <w:pStyle w:val="ListParagraph"/>
        <w:tabs>
          <w:tab w:val="left" w:pos="1200"/>
        </w:tabs>
        <w:ind w:left="1377"/>
        <w:jc w:val="both"/>
        <w:rPr>
          <w:lang w:eastAsia="zh-CN"/>
        </w:rPr>
      </w:pPr>
    </w:p>
    <w:p>
      <w:pPr>
        <w:pStyle w:val="ListParagraph"/>
        <w:numPr>
          <w:ilvl w:val="2"/>
          <w:numId w:val="9"/>
        </w:numPr>
        <w:tabs>
          <w:tab w:val="clear" w:pos="709"/>
          <w:tab w:val="left" w:pos="1440"/>
        </w:tabs>
        <w:ind w:left="1440" w:hanging="360"/>
        <w:jc w:val="both"/>
        <w:rPr>
          <w:b/>
          <w:bCs/>
          <w:lang w:eastAsia="zh-CN"/>
        </w:rPr>
      </w:pPr>
      <w:proofErr w:type="gramStart"/>
      <w:r>
        <w:rPr>
          <w:b/>
          <w:bCs/>
          <w:lang w:eastAsia="en-GB"/>
        </w:rPr>
        <w:lastRenderedPageBreak/>
        <w:t>taking</w:t>
      </w:r>
      <w:r>
        <w:rPr>
          <w:b/>
          <w:bCs/>
          <w:lang w:eastAsia="zh-CN"/>
        </w:rPr>
        <w:t>-over</w:t>
      </w:r>
      <w:proofErr w:type="gramEnd"/>
      <w:r>
        <w:rPr>
          <w:b/>
          <w:bCs/>
          <w:lang w:eastAsia="zh-CN"/>
        </w:rPr>
        <w:t xml:space="preserve"> the procurement of pharmaceuticals and other consumable items utilized in the dialysis of patients to: (</w:t>
      </w:r>
      <w:proofErr w:type="spellStart"/>
      <w:r>
        <w:rPr>
          <w:b/>
          <w:bCs/>
          <w:lang w:eastAsia="zh-CN"/>
        </w:rPr>
        <w:t>i</w:t>
      </w:r>
      <w:proofErr w:type="spellEnd"/>
      <w:r>
        <w:rPr>
          <w:b/>
          <w:bCs/>
          <w:lang w:eastAsia="zh-CN"/>
        </w:rPr>
        <w:t>) conform with the relevant provisions of RA No. 9184; and (ii) ensure reasonable pricing and compliance to quality standards of these items.</w:t>
      </w:r>
    </w:p>
    <w:p>
      <w:pPr>
        <w:pStyle w:val="ListParagraph"/>
        <w:tabs>
          <w:tab w:val="left" w:pos="1200"/>
        </w:tabs>
        <w:ind w:left="1377"/>
        <w:jc w:val="both"/>
        <w:rPr>
          <w:lang w:eastAsia="zh-CN"/>
        </w:rPr>
      </w:pPr>
    </w:p>
    <w:p>
      <w:pPr>
        <w:pStyle w:val="ListParagraph"/>
        <w:numPr>
          <w:ilvl w:val="1"/>
          <w:numId w:val="5"/>
        </w:numPr>
        <w:tabs>
          <w:tab w:val="clear" w:pos="1377"/>
        </w:tabs>
        <w:ind w:left="1080" w:hanging="540"/>
        <w:jc w:val="both"/>
        <w:rPr>
          <w:b/>
          <w:bCs/>
          <w:lang w:eastAsia="zh-CN"/>
        </w:rPr>
      </w:pPr>
      <w:r>
        <w:rPr>
          <w:b/>
          <w:bCs/>
          <w:lang w:eastAsia="zh-CN"/>
        </w:rPr>
        <w:t>If BBAPI refuses the correction of the foregoing</w:t>
      </w:r>
      <w:r>
        <w:rPr>
          <w:b/>
          <w:lang w:eastAsia="zh-CN"/>
        </w:rPr>
        <w:t xml:space="preserve"> provisions and deficiencies therein that work against the interest of the CGM</w:t>
      </w:r>
      <w:r>
        <w:rPr>
          <w:b/>
          <w:bCs/>
          <w:lang w:eastAsia="zh-CN"/>
        </w:rPr>
        <w:t>, terminate the JVA but ensuring in the process the uninterrupted dialysis treatment services by the City.</w:t>
      </w:r>
    </w:p>
    <w:p>
      <w:pPr>
        <w:pStyle w:val="ListParagraph"/>
        <w:tabs>
          <w:tab w:val="left" w:pos="425"/>
        </w:tabs>
        <w:ind w:left="1080"/>
        <w:jc w:val="both"/>
        <w:rPr>
          <w:b/>
          <w:bCs/>
          <w:lang w:eastAsia="zh-CN"/>
        </w:rPr>
      </w:pPr>
    </w:p>
    <w:p>
      <w:pPr>
        <w:pStyle w:val="ListParagraph"/>
        <w:tabs>
          <w:tab w:val="left" w:pos="425"/>
        </w:tabs>
        <w:ind w:left="540"/>
        <w:jc w:val="both"/>
        <w:rPr>
          <w:lang w:eastAsia="zh-CN"/>
        </w:rPr>
      </w:pPr>
      <w:r>
        <w:rPr>
          <w:lang w:eastAsia="zh-CN"/>
        </w:rPr>
        <w:t>Management comment/action:</w:t>
      </w:r>
    </w:p>
    <w:p>
      <w:pPr>
        <w:tabs>
          <w:tab w:val="left" w:pos="1200"/>
        </w:tabs>
        <w:jc w:val="both"/>
        <w:rPr>
          <w:bCs/>
        </w:rPr>
      </w:pPr>
    </w:p>
    <w:p>
      <w:pPr>
        <w:pStyle w:val="ListParagraph"/>
        <w:numPr>
          <w:ilvl w:val="1"/>
          <w:numId w:val="1"/>
        </w:numPr>
        <w:tabs>
          <w:tab w:val="left" w:pos="1200"/>
        </w:tabs>
        <w:ind w:left="1080" w:hanging="540"/>
        <w:jc w:val="both"/>
        <w:rPr>
          <w:lang w:eastAsia="zh-CN"/>
        </w:rPr>
      </w:pPr>
      <w:r>
        <w:rPr>
          <w:lang w:eastAsia="zh-CN"/>
        </w:rPr>
        <w:t>The CGM Management submitted its reply on January 2021 together with the B. Braun’s position paper.  B. Braun’s position was that, it agreed that the mandatory 20 percent discount granted to B. Braun’s patient in the JVA be removed. It disagreed, however, to our audit recommendation on increasing CGM’s share in the revenue sharing commensurate to its investment. It also disagreed that the CGM take over the procurement pharmaceuticals and other consumable items utilized in the dialysis of patients. It is amenable to the recommendation that the CGM procure the items that are not directly used for the dialysis treatment itself, but may nevertheless be required for the patients as prescribed by the doctors.</w:t>
      </w:r>
    </w:p>
    <w:p>
      <w:pPr>
        <w:tabs>
          <w:tab w:val="left" w:pos="1200"/>
        </w:tabs>
        <w:jc w:val="both"/>
        <w:rPr>
          <w:bCs/>
        </w:rPr>
      </w:pPr>
    </w:p>
    <w:p>
      <w:pPr>
        <w:pStyle w:val="ListParagraph"/>
        <w:tabs>
          <w:tab w:val="left" w:pos="1200"/>
        </w:tabs>
        <w:ind w:left="540"/>
        <w:jc w:val="both"/>
        <w:rPr>
          <w:lang w:eastAsia="zh-CN"/>
        </w:rPr>
      </w:pPr>
      <w:r>
        <w:rPr>
          <w:lang w:eastAsia="zh-CN"/>
        </w:rPr>
        <w:t>Auditor’s rejoinder:</w:t>
      </w:r>
    </w:p>
    <w:p>
      <w:pPr>
        <w:tabs>
          <w:tab w:val="left" w:pos="1200"/>
        </w:tabs>
        <w:jc w:val="both"/>
        <w:rPr>
          <w:bCs/>
        </w:rPr>
      </w:pPr>
    </w:p>
    <w:p>
      <w:pPr>
        <w:pStyle w:val="ListParagraph"/>
        <w:numPr>
          <w:ilvl w:val="1"/>
          <w:numId w:val="1"/>
        </w:numPr>
        <w:tabs>
          <w:tab w:val="left" w:pos="1200"/>
        </w:tabs>
        <w:ind w:left="1080" w:hanging="540"/>
        <w:jc w:val="both"/>
        <w:rPr>
          <w:lang w:eastAsia="zh-CN"/>
        </w:rPr>
      </w:pPr>
      <w:r>
        <w:rPr>
          <w:lang w:eastAsia="zh-CN"/>
        </w:rPr>
        <w:t xml:space="preserve">Section 8 (f) of the JVO explicitly provides that each party </w:t>
      </w:r>
      <w:r>
        <w:rPr>
          <w:b/>
          <w:bCs/>
          <w:lang w:eastAsia="zh-CN"/>
        </w:rPr>
        <w:t>shall be entitled to profits, income and revenues, in proportion to its share</w:t>
      </w:r>
      <w:r>
        <w:rPr>
          <w:lang w:eastAsia="zh-CN"/>
        </w:rPr>
        <w:t xml:space="preserve">. We also anchored our stand to Sections 9 (9) &amp; 10 of the JVO. We have established that B. Braun failed to deliver P47,910,000.00 worth of investments as committed contribution in the JVA making the investment ratio to 52%:48% (B. </w:t>
      </w:r>
      <w:proofErr w:type="spellStart"/>
      <w:r>
        <w:rPr>
          <w:lang w:eastAsia="zh-CN"/>
        </w:rPr>
        <w:t>Braun:CGM</w:t>
      </w:r>
      <w:proofErr w:type="spellEnd"/>
      <w:r>
        <w:rPr>
          <w:lang w:eastAsia="zh-CN"/>
        </w:rPr>
        <w:t xml:space="preserve">). </w:t>
      </w:r>
    </w:p>
    <w:p>
      <w:pPr>
        <w:jc w:val="both"/>
        <w:rPr>
          <w:rFonts w:asciiTheme="minorHAnsi" w:hAnsiTheme="minorHAnsi" w:cstheme="minorHAnsi"/>
          <w:bCs/>
          <w:sz w:val="22"/>
          <w:szCs w:val="22"/>
        </w:rPr>
      </w:pPr>
    </w:p>
    <w:p>
      <w:pPr>
        <w:pStyle w:val="ListParagraph"/>
        <w:numPr>
          <w:ilvl w:val="1"/>
          <w:numId w:val="1"/>
        </w:numPr>
        <w:tabs>
          <w:tab w:val="left" w:pos="1200"/>
        </w:tabs>
        <w:ind w:left="1080" w:hanging="540"/>
        <w:jc w:val="both"/>
        <w:rPr>
          <w:lang w:eastAsia="zh-CN"/>
        </w:rPr>
      </w:pPr>
      <w:r>
        <w:rPr>
          <w:lang w:eastAsia="zh-CN"/>
        </w:rPr>
        <w:t xml:space="preserve">B. Braun claims, however, that it placed an additional capital investment in the form of physical improvements, equipment and furniture. Assuming that this is true and correct, the investment ratio should have been: 64%:36%. The ratio derivation is in our reply to the B Braun position paper which had been submitted to the City Legal Office on 28 July 2021.  </w:t>
      </w:r>
    </w:p>
    <w:p>
      <w:pPr>
        <w:ind w:right="110"/>
        <w:jc w:val="both"/>
        <w:rPr>
          <w:rFonts w:asciiTheme="minorHAnsi" w:hAnsiTheme="minorHAnsi" w:cstheme="minorHAnsi"/>
          <w:bCs/>
          <w:sz w:val="22"/>
          <w:szCs w:val="22"/>
        </w:rPr>
      </w:pPr>
    </w:p>
    <w:p>
      <w:pPr>
        <w:pStyle w:val="ListParagraph"/>
        <w:numPr>
          <w:ilvl w:val="1"/>
          <w:numId w:val="1"/>
        </w:numPr>
        <w:tabs>
          <w:tab w:val="left" w:pos="1200"/>
        </w:tabs>
        <w:ind w:left="1080" w:hanging="540"/>
        <w:jc w:val="both"/>
        <w:rPr>
          <w:lang w:eastAsia="zh-CN"/>
        </w:rPr>
      </w:pPr>
      <w:r>
        <w:rPr>
          <w:lang w:eastAsia="zh-CN"/>
        </w:rPr>
        <w:t>We also stand by our previous recommendation that the CGM take over procurement of the items which are not directly used or not standard items used or required for the dialysis treatment.</w:t>
      </w:r>
    </w:p>
    <w:p>
      <w:pPr>
        <w:jc w:val="both"/>
        <w:rPr>
          <w:rFonts w:asciiTheme="minorHAnsi" w:eastAsia="Calibri" w:hAnsiTheme="minorHAnsi" w:cstheme="minorHAnsi"/>
          <w:sz w:val="22"/>
          <w:szCs w:val="22"/>
        </w:rPr>
      </w:pPr>
    </w:p>
    <w:p>
      <w:pPr>
        <w:pStyle w:val="ListParagraph"/>
        <w:numPr>
          <w:ilvl w:val="1"/>
          <w:numId w:val="1"/>
        </w:numPr>
        <w:tabs>
          <w:tab w:val="left" w:pos="1200"/>
        </w:tabs>
        <w:ind w:left="1080" w:hanging="540"/>
        <w:jc w:val="both"/>
        <w:rPr>
          <w:lang w:eastAsia="zh-CN"/>
        </w:rPr>
      </w:pPr>
      <w:r>
        <w:rPr>
          <w:lang w:eastAsia="zh-CN"/>
        </w:rPr>
        <w:t xml:space="preserve">We acknowledge that the procurement for the purpose of running the JV project is beyond the ambit of the GPRA. However, for check and balance and for the protection of City’s interest in the JVA, we recommend that the City of Manila place a control mechanism to ensure equitable pricing, safety and quality of the </w:t>
      </w:r>
      <w:r>
        <w:rPr>
          <w:lang w:eastAsia="zh-CN"/>
        </w:rPr>
        <w:lastRenderedPageBreak/>
        <w:t xml:space="preserve">pharmaceutical products, other supplies and consumables arising from the dialysis treatment. We further recommend that the </w:t>
      </w:r>
      <w:r>
        <w:rPr>
          <w:lang w:val="en-PH" w:eastAsia="zh-CN"/>
        </w:rPr>
        <w:t xml:space="preserve">proper operation of </w:t>
      </w:r>
      <w:r>
        <w:rPr>
          <w:lang w:eastAsia="zh-CN"/>
        </w:rPr>
        <w:t xml:space="preserve">said control mechanism be included in the accountability of the City’s representative in the Joint Management Committee. </w:t>
      </w:r>
    </w:p>
    <w:p>
      <w:pPr>
        <w:tabs>
          <w:tab w:val="left" w:pos="1200"/>
        </w:tabs>
        <w:jc w:val="both"/>
        <w:rPr>
          <w:bCs/>
        </w:rPr>
      </w:pPr>
    </w:p>
    <w:p>
      <w:pPr>
        <w:pStyle w:val="NoSpacing"/>
        <w:jc w:val="both"/>
        <w:rPr>
          <w:rFonts w:ascii="Times New Roman" w:hAnsi="Times New Roman" w:cs="Times New Roman"/>
          <w:sz w:val="24"/>
          <w:szCs w:val="24"/>
          <w:u w:val="none"/>
        </w:rPr>
      </w:pPr>
    </w:p>
    <w:p>
      <w:pPr>
        <w:pStyle w:val="ListParagraph"/>
        <w:numPr>
          <w:ilvl w:val="0"/>
          <w:numId w:val="1"/>
        </w:numPr>
        <w:tabs>
          <w:tab w:val="clear" w:pos="425"/>
          <w:tab w:val="left" w:pos="540"/>
        </w:tabs>
        <w:ind w:left="540" w:hanging="540"/>
        <w:jc w:val="both"/>
        <w:rPr>
          <w:b/>
          <w:bCs/>
          <w:lang w:val="en-PH"/>
        </w:rPr>
      </w:pPr>
      <w:proofErr w:type="spellStart"/>
      <w:r>
        <w:rPr>
          <w:b/>
          <w:bCs/>
          <w:lang w:val="en-PH"/>
        </w:rPr>
        <w:t>Unsubmitted</w:t>
      </w:r>
      <w:proofErr w:type="spellEnd"/>
      <w:r>
        <w:rPr>
          <w:b/>
          <w:bCs/>
          <w:lang w:val="en-PH"/>
        </w:rPr>
        <w:t xml:space="preserve"> documents supporting the JVA with JBROS Construction Corporation for the </w:t>
      </w:r>
      <w:proofErr w:type="spellStart"/>
      <w:r>
        <w:rPr>
          <w:b/>
          <w:bCs/>
          <w:lang w:val="en-PH"/>
        </w:rPr>
        <w:t>Arroceros</w:t>
      </w:r>
      <w:proofErr w:type="spellEnd"/>
      <w:r>
        <w:rPr>
          <w:b/>
          <w:bCs/>
          <w:lang w:val="en-PH"/>
        </w:rPr>
        <w:t xml:space="preserve"> Compound Mixed-Use Development prevented the full evaluation of and casts doubt on the validity of the Swiss Challenge to which such joint venture project was subjected.</w:t>
      </w:r>
      <w:r>
        <w:rPr>
          <w:b/>
          <w:bCs/>
        </w:rPr>
        <w:t xml:space="preserve"> Further, t</w:t>
      </w:r>
      <w:r>
        <w:rPr>
          <w:b/>
          <w:bCs/>
          <w:lang w:val="en-PH"/>
        </w:rPr>
        <w:t xml:space="preserve">he continuing failure of the JBROS to perform its obligations under the JVA deprives the CGM beneficial use of the </w:t>
      </w:r>
      <w:proofErr w:type="spellStart"/>
      <w:r>
        <w:rPr>
          <w:b/>
          <w:bCs/>
          <w:lang w:val="en-PH"/>
        </w:rPr>
        <w:t>Arroceros</w:t>
      </w:r>
      <w:proofErr w:type="spellEnd"/>
      <w:r>
        <w:rPr>
          <w:b/>
          <w:bCs/>
          <w:lang w:val="en-PH"/>
        </w:rPr>
        <w:t xml:space="preserve"> Compound</w:t>
      </w:r>
      <w:r>
        <w:rPr>
          <w:b/>
          <w:bCs/>
        </w:rPr>
        <w:t>; and t</w:t>
      </w:r>
      <w:r>
        <w:rPr>
          <w:b/>
          <w:bCs/>
          <w:lang w:val="en-PH"/>
        </w:rPr>
        <w:t>he CGM has not fully protected its interest by its failure to require JBROS to post performance bond covering the period within which the latter is obligated to complete the joint venture project.</w:t>
      </w:r>
    </w:p>
    <w:p>
      <w:pPr>
        <w:jc w:val="both"/>
        <w:rPr>
          <w:b/>
          <w:bCs/>
        </w:rPr>
      </w:pPr>
    </w:p>
    <w:p>
      <w:pPr>
        <w:pStyle w:val="ListParagraph"/>
        <w:numPr>
          <w:ilvl w:val="1"/>
          <w:numId w:val="1"/>
        </w:numPr>
        <w:tabs>
          <w:tab w:val="left" w:pos="1200"/>
        </w:tabs>
        <w:ind w:left="1080" w:hanging="540"/>
        <w:jc w:val="both"/>
      </w:pPr>
      <w:r>
        <w:t xml:space="preserve">We looked into the JVA of the CGM with </w:t>
      </w:r>
      <w:r>
        <w:rPr>
          <w:lang w:val="en-PH"/>
        </w:rPr>
        <w:t>JBROS</w:t>
      </w:r>
      <w:r>
        <w:t xml:space="preserve"> Construction Corporation (</w:t>
      </w:r>
      <w:r>
        <w:rPr>
          <w:lang w:val="en-PH"/>
        </w:rPr>
        <w:t>JBROS</w:t>
      </w:r>
      <w:r>
        <w:t xml:space="preserve"> for brevity) for the </w:t>
      </w:r>
      <w:proofErr w:type="spellStart"/>
      <w:r>
        <w:t>Arroceros</w:t>
      </w:r>
      <w:proofErr w:type="spellEnd"/>
      <w:r>
        <w:t xml:space="preserve"> Compound Mixed-Use Development Project to: (a) establish adherence to the Manila JVO No. 8346; and (b) performance by the parties of their respective obligations under this JVA.</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Section 15 of the Manila JVO, maps out a three-stage framework, to which negotiated JV Agreements are to be mandatorily subjected, </w:t>
      </w:r>
      <w:proofErr w:type="spellStart"/>
      <w:r>
        <w:t>viz</w:t>
      </w:r>
      <w:proofErr w:type="spellEnd"/>
      <w:r>
        <w:t>:</w:t>
      </w:r>
    </w:p>
    <w:p>
      <w:pPr>
        <w:tabs>
          <w:tab w:val="left" w:pos="1200"/>
        </w:tabs>
        <w:ind w:left="810"/>
        <w:jc w:val="both"/>
      </w:pPr>
    </w:p>
    <w:p>
      <w:pPr>
        <w:pStyle w:val="ListParagraph"/>
        <w:tabs>
          <w:tab w:val="left" w:pos="1200"/>
        </w:tabs>
        <w:ind w:left="1377"/>
        <w:jc w:val="both"/>
      </w:pPr>
      <w:r>
        <w:t xml:space="preserve">           Stage One/Unsolicited Proposal   xxx</w:t>
      </w:r>
    </w:p>
    <w:p>
      <w:pPr>
        <w:pStyle w:val="ListParagraph"/>
        <w:tabs>
          <w:tab w:val="left" w:pos="1200"/>
        </w:tabs>
        <w:ind w:left="1377"/>
        <w:jc w:val="both"/>
      </w:pPr>
      <w:r>
        <w:t xml:space="preserve">           </w:t>
      </w:r>
      <w:proofErr w:type="gramStart"/>
      <w:r>
        <w:t>xxx</w:t>
      </w:r>
      <w:proofErr w:type="gramEnd"/>
    </w:p>
    <w:p>
      <w:pPr>
        <w:pStyle w:val="ListParagraph"/>
        <w:tabs>
          <w:tab w:val="left" w:pos="1200"/>
        </w:tabs>
        <w:ind w:left="1377"/>
        <w:jc w:val="both"/>
      </w:pPr>
      <w:r>
        <w:t xml:space="preserve">           Stage Two/Detailed </w:t>
      </w:r>
      <w:proofErr w:type="gramStart"/>
      <w:r>
        <w:t>Negotiations  xxx</w:t>
      </w:r>
      <w:proofErr w:type="gramEnd"/>
    </w:p>
    <w:p>
      <w:pPr>
        <w:pStyle w:val="ListParagraph"/>
        <w:tabs>
          <w:tab w:val="left" w:pos="1200"/>
        </w:tabs>
        <w:ind w:left="1377"/>
        <w:jc w:val="both"/>
      </w:pPr>
      <w:r>
        <w:t xml:space="preserve">           </w:t>
      </w:r>
      <w:proofErr w:type="gramStart"/>
      <w:r>
        <w:t>xxx</w:t>
      </w:r>
      <w:proofErr w:type="gramEnd"/>
    </w:p>
    <w:p>
      <w:pPr>
        <w:pStyle w:val="ListParagraph"/>
        <w:tabs>
          <w:tab w:val="left" w:pos="1200"/>
        </w:tabs>
        <w:ind w:left="1377"/>
        <w:jc w:val="both"/>
      </w:pPr>
      <w:r>
        <w:t xml:space="preserve">           Stage Three/Swiss Challenge xxx</w:t>
      </w:r>
    </w:p>
    <w:p>
      <w:pPr>
        <w:pStyle w:val="ListParagraph"/>
        <w:tabs>
          <w:tab w:val="left" w:pos="1200"/>
        </w:tabs>
        <w:ind w:left="1377"/>
        <w:jc w:val="both"/>
      </w:pPr>
      <w:r>
        <w:t xml:space="preserve">           </w:t>
      </w:r>
      <w:proofErr w:type="gramStart"/>
      <w:r>
        <w:t>xxx</w:t>
      </w:r>
      <w:proofErr w:type="gramEnd"/>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 A Swiss Challenge is "a hybrid mechanism between the direct negotiation approach and the competitive bidding route. The Swiss Challenge is a system where "[a] third party can bid on a project during a designated period but the original proponent can counter match any superior offer. It is a form of public bidding. </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 In our letter to the Management dated 04 December 2020, we requested documents pertinent to the JVA between the CGM and </w:t>
      </w:r>
      <w:r>
        <w:rPr>
          <w:lang w:val="en-PH"/>
        </w:rPr>
        <w:t>JBROS</w:t>
      </w:r>
      <w:r>
        <w:t xml:space="preserve"> for the </w:t>
      </w:r>
      <w:proofErr w:type="spellStart"/>
      <w:r>
        <w:t>Arroceros</w:t>
      </w:r>
      <w:proofErr w:type="spellEnd"/>
      <w:r>
        <w:t xml:space="preserve"> Compound Mixed-Used Development Project. The Records Division, City General Services Office (central repository of the official documents of the CGM) in its reply dated 10 December 2020, submitted a Certification that a photocopy of the JVA, consisting of 15 pages, is the only document existing in their Office file and without the supporting Annexes.  </w:t>
      </w:r>
    </w:p>
    <w:p>
      <w:pPr>
        <w:pStyle w:val="ListParagraph"/>
        <w:tabs>
          <w:tab w:val="left" w:pos="1200"/>
        </w:tabs>
        <w:ind w:left="1377"/>
        <w:jc w:val="both"/>
      </w:pPr>
    </w:p>
    <w:p>
      <w:pPr>
        <w:pStyle w:val="ListParagraph"/>
        <w:numPr>
          <w:ilvl w:val="1"/>
          <w:numId w:val="1"/>
        </w:numPr>
        <w:tabs>
          <w:tab w:val="left" w:pos="1200"/>
        </w:tabs>
        <w:ind w:left="1080" w:hanging="540"/>
        <w:jc w:val="both"/>
      </w:pPr>
      <w:r>
        <w:lastRenderedPageBreak/>
        <w:t xml:space="preserve">In a letter dated 16 December 2020, the City Legal Officer submitted certified true copies of the following documents relative to the JVA with </w:t>
      </w:r>
      <w:r>
        <w:rPr>
          <w:lang w:val="en-PH"/>
        </w:rPr>
        <w:t>JBROS</w:t>
      </w:r>
      <w:r>
        <w:t>:</w:t>
      </w:r>
    </w:p>
    <w:p>
      <w:pPr>
        <w:pStyle w:val="ListParagraph"/>
        <w:tabs>
          <w:tab w:val="left" w:pos="1200"/>
        </w:tabs>
        <w:ind w:left="1377"/>
        <w:jc w:val="both"/>
      </w:pPr>
    </w:p>
    <w:p>
      <w:pPr>
        <w:pStyle w:val="ListParagraph"/>
        <w:numPr>
          <w:ilvl w:val="1"/>
          <w:numId w:val="10"/>
        </w:numPr>
        <w:tabs>
          <w:tab w:val="clear" w:pos="1377"/>
          <w:tab w:val="left" w:pos="1200"/>
          <w:tab w:val="left" w:pos="1440"/>
        </w:tabs>
        <w:ind w:left="1440" w:hanging="360"/>
        <w:jc w:val="both"/>
      </w:pPr>
      <w:r>
        <w:t>Executive Order No. 25, series of 2016, An Order Reconstituting the Joint Venture Selection Committee (JV-SC) pursuant to City Ordinance No. 8346;</w:t>
      </w:r>
    </w:p>
    <w:p>
      <w:pPr>
        <w:pStyle w:val="ListParagraph"/>
        <w:numPr>
          <w:ilvl w:val="1"/>
          <w:numId w:val="10"/>
        </w:numPr>
        <w:tabs>
          <w:tab w:val="clear" w:pos="1377"/>
          <w:tab w:val="left" w:pos="1200"/>
          <w:tab w:val="left" w:pos="1440"/>
        </w:tabs>
        <w:ind w:left="1440" w:hanging="360"/>
        <w:jc w:val="both"/>
      </w:pPr>
      <w:r>
        <w:t xml:space="preserve">JBROS Letter dated 10 March 2017 to then City Mayor Joseph </w:t>
      </w:r>
      <w:proofErr w:type="spellStart"/>
      <w:r>
        <w:t>Ejercito</w:t>
      </w:r>
      <w:proofErr w:type="spellEnd"/>
      <w:r>
        <w:t xml:space="preserve"> Estrada regarding the Unsolicited Proposal for the </w:t>
      </w:r>
      <w:proofErr w:type="spellStart"/>
      <w:r>
        <w:t>Arroceros</w:t>
      </w:r>
      <w:proofErr w:type="spellEnd"/>
      <w:r>
        <w:t xml:space="preserve"> Compound Mixed-Use Development Project;</w:t>
      </w:r>
    </w:p>
    <w:p>
      <w:pPr>
        <w:pStyle w:val="ListParagraph"/>
        <w:numPr>
          <w:ilvl w:val="1"/>
          <w:numId w:val="10"/>
        </w:numPr>
        <w:tabs>
          <w:tab w:val="clear" w:pos="1377"/>
          <w:tab w:val="left" w:pos="1200"/>
          <w:tab w:val="left" w:pos="1440"/>
        </w:tabs>
        <w:ind w:left="1440" w:hanging="360"/>
        <w:jc w:val="both"/>
      </w:pPr>
      <w:r>
        <w:t xml:space="preserve">Letter dated 13 March 2017 to JBROS from Atty. Edward S. </w:t>
      </w:r>
      <w:proofErr w:type="spellStart"/>
      <w:r>
        <w:t>Serapio</w:t>
      </w:r>
      <w:proofErr w:type="spellEnd"/>
      <w:r>
        <w:t>, then   Secretary to the Mayor and Chairman of JV-SC acknowledging the Unsolicited Proposal;</w:t>
      </w:r>
    </w:p>
    <w:p>
      <w:pPr>
        <w:pStyle w:val="ListParagraph"/>
        <w:numPr>
          <w:ilvl w:val="1"/>
          <w:numId w:val="10"/>
        </w:numPr>
        <w:tabs>
          <w:tab w:val="clear" w:pos="1377"/>
          <w:tab w:val="left" w:pos="1200"/>
          <w:tab w:val="left" w:pos="1440"/>
        </w:tabs>
        <w:ind w:left="1440" w:hanging="360"/>
        <w:jc w:val="both"/>
      </w:pPr>
      <w:r>
        <w:t>JV-SC Resolution dated 14 March 2017 determining the completeness of the Unsolicited Proposal, approved by then City Mayor Estrada;</w:t>
      </w:r>
    </w:p>
    <w:p>
      <w:pPr>
        <w:pStyle w:val="ListParagraph"/>
        <w:numPr>
          <w:ilvl w:val="1"/>
          <w:numId w:val="10"/>
        </w:numPr>
        <w:tabs>
          <w:tab w:val="clear" w:pos="1377"/>
          <w:tab w:val="left" w:pos="1200"/>
          <w:tab w:val="left" w:pos="1440"/>
        </w:tabs>
        <w:ind w:left="1440" w:hanging="360"/>
        <w:jc w:val="both"/>
      </w:pPr>
      <w:r>
        <w:t>JV-SC Letter dated 15 March 2017 to JBROS regarding Declaration of Completeness of the Unsolicited Proposal;</w:t>
      </w:r>
    </w:p>
    <w:p>
      <w:pPr>
        <w:pStyle w:val="ListParagraph"/>
        <w:numPr>
          <w:ilvl w:val="1"/>
          <w:numId w:val="10"/>
        </w:numPr>
        <w:tabs>
          <w:tab w:val="clear" w:pos="1377"/>
          <w:tab w:val="left" w:pos="1200"/>
          <w:tab w:val="left" w:pos="1440"/>
        </w:tabs>
        <w:ind w:left="1440" w:hanging="360"/>
        <w:jc w:val="both"/>
      </w:pPr>
      <w:r>
        <w:t>JV-SC Letter dated 16 March 2017 to the City Council of Manila requesting for authority to enter into negotiations through JV-SC;</w:t>
      </w:r>
    </w:p>
    <w:p>
      <w:pPr>
        <w:pStyle w:val="ListParagraph"/>
        <w:numPr>
          <w:ilvl w:val="1"/>
          <w:numId w:val="10"/>
        </w:numPr>
        <w:tabs>
          <w:tab w:val="clear" w:pos="1377"/>
          <w:tab w:val="left" w:pos="1200"/>
          <w:tab w:val="left" w:pos="1440"/>
        </w:tabs>
        <w:ind w:left="1440" w:hanging="360"/>
        <w:jc w:val="both"/>
      </w:pPr>
      <w:r>
        <w:t>JV-SC Notice of Meeting dated 21 March 2017 for the evaluation of the Unsolicited Proposal;</w:t>
      </w:r>
    </w:p>
    <w:p>
      <w:pPr>
        <w:pStyle w:val="ListParagraph"/>
        <w:numPr>
          <w:ilvl w:val="1"/>
          <w:numId w:val="10"/>
        </w:numPr>
        <w:tabs>
          <w:tab w:val="clear" w:pos="1377"/>
          <w:tab w:val="left" w:pos="1200"/>
          <w:tab w:val="left" w:pos="1440"/>
        </w:tabs>
        <w:ind w:left="1440" w:hanging="360"/>
        <w:jc w:val="both"/>
      </w:pPr>
      <w:r>
        <w:t>City Council Resolution No, 72, series of 2017 adopted on 30 March 2017 authorizing then City Mayor Estrada to enter into a negotiation most advantageous to the City through JVA;</w:t>
      </w:r>
    </w:p>
    <w:p>
      <w:pPr>
        <w:pStyle w:val="ListParagraph"/>
        <w:numPr>
          <w:ilvl w:val="1"/>
          <w:numId w:val="10"/>
        </w:numPr>
        <w:tabs>
          <w:tab w:val="clear" w:pos="1377"/>
          <w:tab w:val="left" w:pos="1200"/>
          <w:tab w:val="left" w:pos="1440"/>
        </w:tabs>
        <w:ind w:left="1440" w:hanging="360"/>
        <w:jc w:val="both"/>
      </w:pPr>
      <w:r>
        <w:t xml:space="preserve">JV-SC Resolution dated 23 March 2017 on evaluating the Unsolicited Proposal and recommending to then City Mayor Estrada to accept the same and to declare JBROS as the original proponent for the </w:t>
      </w:r>
      <w:proofErr w:type="spellStart"/>
      <w:r>
        <w:t>Arroceros</w:t>
      </w:r>
      <w:proofErr w:type="spellEnd"/>
      <w:r>
        <w:t xml:space="preserve"> Compound development project;</w:t>
      </w:r>
    </w:p>
    <w:p>
      <w:pPr>
        <w:pStyle w:val="ListParagraph"/>
        <w:numPr>
          <w:ilvl w:val="1"/>
          <w:numId w:val="10"/>
        </w:numPr>
        <w:tabs>
          <w:tab w:val="clear" w:pos="1377"/>
          <w:tab w:val="left" w:pos="1200"/>
          <w:tab w:val="left" w:pos="1440"/>
        </w:tabs>
        <w:ind w:left="1440" w:hanging="360"/>
        <w:jc w:val="both"/>
      </w:pPr>
      <w:r>
        <w:t>JV-SC Letter dated 24 March 2017, Declaration as Original Proponent for the same development project;</w:t>
      </w:r>
    </w:p>
    <w:p>
      <w:pPr>
        <w:pStyle w:val="ListParagraph"/>
        <w:numPr>
          <w:ilvl w:val="1"/>
          <w:numId w:val="10"/>
        </w:numPr>
        <w:tabs>
          <w:tab w:val="clear" w:pos="1377"/>
          <w:tab w:val="left" w:pos="1200"/>
          <w:tab w:val="left" w:pos="1440"/>
        </w:tabs>
        <w:ind w:left="1440" w:hanging="360"/>
        <w:jc w:val="both"/>
      </w:pPr>
      <w:r>
        <w:t xml:space="preserve">Joint Certification dated 18 April 2017 of </w:t>
      </w:r>
      <w:proofErr w:type="spellStart"/>
      <w:r>
        <w:t>then</w:t>
      </w:r>
      <w:proofErr w:type="spellEnd"/>
      <w:r>
        <w:t xml:space="preserve"> City Mayor Estrada for the City of Manila and JBROS President, </w:t>
      </w:r>
      <w:proofErr w:type="spellStart"/>
      <w:r>
        <w:t>Engr</w:t>
      </w:r>
      <w:proofErr w:type="spellEnd"/>
      <w:r>
        <w:t xml:space="preserve"> </w:t>
      </w:r>
      <w:proofErr w:type="spellStart"/>
      <w:r>
        <w:t>Jesusito</w:t>
      </w:r>
      <w:proofErr w:type="spellEnd"/>
      <w:r>
        <w:t xml:space="preserve"> B. Legaspi, Jr., attested by the Chairman JV-SC;</w:t>
      </w:r>
    </w:p>
    <w:p>
      <w:pPr>
        <w:pStyle w:val="ListParagraph"/>
        <w:numPr>
          <w:ilvl w:val="1"/>
          <w:numId w:val="10"/>
        </w:numPr>
        <w:tabs>
          <w:tab w:val="clear" w:pos="1377"/>
          <w:tab w:val="left" w:pos="1200"/>
          <w:tab w:val="left" w:pos="1440"/>
        </w:tabs>
        <w:ind w:left="1440" w:hanging="360"/>
        <w:jc w:val="both"/>
      </w:pPr>
      <w:r>
        <w:t>JV-SC Resolution dated 18 April 2017, inclusion of revisions on the Draft JVA and approved by then City Mayor Estrada;</w:t>
      </w:r>
    </w:p>
    <w:p>
      <w:pPr>
        <w:pStyle w:val="ListParagraph"/>
        <w:numPr>
          <w:ilvl w:val="1"/>
          <w:numId w:val="10"/>
        </w:numPr>
        <w:tabs>
          <w:tab w:val="clear" w:pos="1377"/>
          <w:tab w:val="left" w:pos="1200"/>
          <w:tab w:val="left" w:pos="1440"/>
        </w:tabs>
        <w:ind w:left="1440" w:hanging="360"/>
        <w:jc w:val="both"/>
      </w:pPr>
      <w:r>
        <w:t>JV-SC Letter dated 18 April 2017 to JBROS on Posting of Proposal Security;</w:t>
      </w:r>
    </w:p>
    <w:p>
      <w:pPr>
        <w:pStyle w:val="ListParagraph"/>
        <w:numPr>
          <w:ilvl w:val="1"/>
          <w:numId w:val="10"/>
        </w:numPr>
        <w:tabs>
          <w:tab w:val="clear" w:pos="1377"/>
          <w:tab w:val="left" w:pos="1200"/>
          <w:tab w:val="left" w:pos="1440"/>
        </w:tabs>
        <w:ind w:left="1440" w:hanging="360"/>
        <w:jc w:val="both"/>
      </w:pPr>
      <w:r>
        <w:t xml:space="preserve">JV-SC Invitation to Submit Comparative Proposals, Apply for Eligibility and if Eligible To Bid/Submit Proposals for the </w:t>
      </w:r>
      <w:proofErr w:type="spellStart"/>
      <w:r>
        <w:t>Arroceros</w:t>
      </w:r>
      <w:proofErr w:type="spellEnd"/>
      <w:r>
        <w:t xml:space="preserve"> Compound Mixed-Use Development Project;</w:t>
      </w:r>
    </w:p>
    <w:p>
      <w:pPr>
        <w:pStyle w:val="ListParagraph"/>
        <w:numPr>
          <w:ilvl w:val="1"/>
          <w:numId w:val="10"/>
        </w:numPr>
        <w:tabs>
          <w:tab w:val="clear" w:pos="1377"/>
          <w:tab w:val="left" w:pos="1200"/>
          <w:tab w:val="left" w:pos="1440"/>
        </w:tabs>
        <w:ind w:left="1440" w:hanging="360"/>
        <w:jc w:val="both"/>
      </w:pPr>
      <w:r>
        <w:t>JBROS Performance Bond No. G(13)-A000415 issued by Western Guaranty Corporation amounting to P75Million, notarized on 24 April 2017;</w:t>
      </w:r>
    </w:p>
    <w:p>
      <w:pPr>
        <w:pStyle w:val="ListParagraph"/>
        <w:numPr>
          <w:ilvl w:val="1"/>
          <w:numId w:val="10"/>
        </w:numPr>
        <w:tabs>
          <w:tab w:val="clear" w:pos="1377"/>
          <w:tab w:val="left" w:pos="1200"/>
          <w:tab w:val="left" w:pos="1440"/>
        </w:tabs>
        <w:ind w:left="1440" w:hanging="360"/>
        <w:jc w:val="both"/>
      </w:pPr>
      <w:r>
        <w:t xml:space="preserve">Certification dated 25 April 2017 by Atty. </w:t>
      </w:r>
      <w:proofErr w:type="spellStart"/>
      <w:r>
        <w:t>Serapio</w:t>
      </w:r>
      <w:proofErr w:type="spellEnd"/>
      <w:r>
        <w:t xml:space="preserve">, then Secretary to the City Mayor on Posting of the Invitation to Submit Comparative Proposal for the </w:t>
      </w:r>
      <w:proofErr w:type="spellStart"/>
      <w:r>
        <w:t>Arroceros</w:t>
      </w:r>
      <w:proofErr w:type="spellEnd"/>
      <w:r>
        <w:t xml:space="preserve"> project on the Bulletin Boards of the Offices of the </w:t>
      </w:r>
      <w:r>
        <w:lastRenderedPageBreak/>
        <w:t>Secretary to the Mayor and CGSO for the duration 25 April 2017 to 02 May 2017;</w:t>
      </w:r>
    </w:p>
    <w:p>
      <w:pPr>
        <w:pStyle w:val="ListParagraph"/>
        <w:numPr>
          <w:ilvl w:val="1"/>
          <w:numId w:val="10"/>
        </w:numPr>
        <w:tabs>
          <w:tab w:val="clear" w:pos="1377"/>
          <w:tab w:val="left" w:pos="1200"/>
          <w:tab w:val="left" w:pos="1440"/>
        </w:tabs>
        <w:ind w:left="1440" w:hanging="360"/>
        <w:jc w:val="both"/>
      </w:pPr>
      <w:r>
        <w:t xml:space="preserve">Affidavit of Publication on 25 April 2017 and 02 May 2017 of the Invitation to Submit Comparative Proposals etc., by the Advertising Coordinator of The Daily </w:t>
      </w:r>
      <w:proofErr w:type="gramStart"/>
      <w:r>
        <w:t>Tribune.;</w:t>
      </w:r>
      <w:proofErr w:type="gramEnd"/>
    </w:p>
    <w:p>
      <w:pPr>
        <w:pStyle w:val="ListParagraph"/>
        <w:numPr>
          <w:ilvl w:val="1"/>
          <w:numId w:val="10"/>
        </w:numPr>
        <w:tabs>
          <w:tab w:val="clear" w:pos="1377"/>
          <w:tab w:val="left" w:pos="1200"/>
          <w:tab w:val="left" w:pos="1440"/>
        </w:tabs>
        <w:ind w:left="1440" w:hanging="360"/>
        <w:jc w:val="both"/>
      </w:pPr>
      <w:r>
        <w:t>JV-SC dated 26 May 2017 recommending the Award of the development project to JBROS, approved by then City Mayor Estrada;</w:t>
      </w:r>
    </w:p>
    <w:p>
      <w:pPr>
        <w:pStyle w:val="ListParagraph"/>
        <w:numPr>
          <w:ilvl w:val="1"/>
          <w:numId w:val="10"/>
        </w:numPr>
        <w:tabs>
          <w:tab w:val="clear" w:pos="1377"/>
          <w:tab w:val="left" w:pos="1200"/>
          <w:tab w:val="left" w:pos="1440"/>
        </w:tabs>
        <w:ind w:left="1440" w:hanging="360"/>
        <w:jc w:val="both"/>
      </w:pPr>
      <w:r>
        <w:t xml:space="preserve">Notice of Award dated 29 May 2017, JBROS </w:t>
      </w:r>
      <w:proofErr w:type="spellStart"/>
      <w:r>
        <w:t>Conforme</w:t>
      </w:r>
      <w:proofErr w:type="spellEnd"/>
      <w:r>
        <w:t xml:space="preserve"> dated 30 May 2017 and signed by JBROS President Legaspi;</w:t>
      </w:r>
    </w:p>
    <w:p>
      <w:pPr>
        <w:pStyle w:val="ListParagraph"/>
        <w:numPr>
          <w:ilvl w:val="1"/>
          <w:numId w:val="10"/>
        </w:numPr>
        <w:tabs>
          <w:tab w:val="clear" w:pos="1377"/>
          <w:tab w:val="left" w:pos="1200"/>
          <w:tab w:val="left" w:pos="1440"/>
        </w:tabs>
        <w:ind w:left="1440" w:hanging="360"/>
        <w:jc w:val="both"/>
      </w:pPr>
      <w:r>
        <w:t xml:space="preserve">JV-SC Notice of Award signed by Atty. </w:t>
      </w:r>
      <w:proofErr w:type="spellStart"/>
      <w:r>
        <w:t>Serapio</w:t>
      </w:r>
      <w:proofErr w:type="spellEnd"/>
      <w:r>
        <w:t xml:space="preserve"> and approved by then City Mayor Estrada, Dates of Publication: 31 May 2017 and 07 June 2017;</w:t>
      </w:r>
    </w:p>
    <w:p>
      <w:pPr>
        <w:pStyle w:val="ListParagraph"/>
        <w:numPr>
          <w:ilvl w:val="1"/>
          <w:numId w:val="10"/>
        </w:numPr>
        <w:tabs>
          <w:tab w:val="clear" w:pos="1377"/>
          <w:tab w:val="left" w:pos="1200"/>
          <w:tab w:val="left" w:pos="1440"/>
        </w:tabs>
        <w:ind w:left="1440" w:hanging="360"/>
        <w:jc w:val="both"/>
      </w:pPr>
      <w:r>
        <w:t xml:space="preserve">Atty. </w:t>
      </w:r>
      <w:proofErr w:type="spellStart"/>
      <w:r>
        <w:t>Serapio’s</w:t>
      </w:r>
      <w:proofErr w:type="spellEnd"/>
      <w:r>
        <w:t xml:space="preserve"> Letter dated 31 May 2017, noted by then City Mayor Estrada to the City Council of Manila on the Request for Public Hearing and Ratification;</w:t>
      </w:r>
    </w:p>
    <w:p>
      <w:pPr>
        <w:pStyle w:val="ListParagraph"/>
        <w:numPr>
          <w:ilvl w:val="1"/>
          <w:numId w:val="10"/>
        </w:numPr>
        <w:tabs>
          <w:tab w:val="clear" w:pos="1377"/>
          <w:tab w:val="left" w:pos="1200"/>
          <w:tab w:val="left" w:pos="1440"/>
        </w:tabs>
        <w:ind w:left="1440" w:hanging="360"/>
        <w:jc w:val="both"/>
      </w:pPr>
      <w:r>
        <w:t>City Council Resolution No. 152, series of 2017 ratifying the JVA adopted on 06 June 2017;</w:t>
      </w:r>
    </w:p>
    <w:p>
      <w:pPr>
        <w:pStyle w:val="ListParagraph"/>
        <w:numPr>
          <w:ilvl w:val="1"/>
          <w:numId w:val="10"/>
        </w:numPr>
        <w:tabs>
          <w:tab w:val="clear" w:pos="1377"/>
          <w:tab w:val="left" w:pos="1200"/>
          <w:tab w:val="left" w:pos="1440"/>
        </w:tabs>
        <w:ind w:left="1440" w:hanging="360"/>
        <w:jc w:val="both"/>
      </w:pPr>
      <w:r>
        <w:t>JBROS Western Guaranty Corporation (WGC) Performance Bond No. G(13)-022520 for P75 Million notarized on 01 June 2017;</w:t>
      </w:r>
    </w:p>
    <w:p>
      <w:pPr>
        <w:pStyle w:val="ListParagraph"/>
        <w:numPr>
          <w:ilvl w:val="1"/>
          <w:numId w:val="10"/>
        </w:numPr>
        <w:tabs>
          <w:tab w:val="clear" w:pos="1377"/>
          <w:tab w:val="left" w:pos="1200"/>
          <w:tab w:val="left" w:pos="1440"/>
        </w:tabs>
        <w:ind w:left="1440" w:hanging="360"/>
        <w:jc w:val="both"/>
      </w:pPr>
      <w:r>
        <w:t>WGC Certification on the validity and authenticity of the Performance Bond No. G(13)-022520;</w:t>
      </w:r>
    </w:p>
    <w:p>
      <w:pPr>
        <w:pStyle w:val="ListParagraph"/>
        <w:numPr>
          <w:ilvl w:val="1"/>
          <w:numId w:val="10"/>
        </w:numPr>
        <w:tabs>
          <w:tab w:val="clear" w:pos="1377"/>
          <w:tab w:val="left" w:pos="1200"/>
          <w:tab w:val="left" w:pos="1440"/>
        </w:tabs>
        <w:ind w:left="1440" w:hanging="360"/>
        <w:jc w:val="both"/>
      </w:pPr>
      <w:r>
        <w:t xml:space="preserve">Bank Guaranty dated 01 June 2017 issued by East West bank for P7.725Billion; </w:t>
      </w:r>
    </w:p>
    <w:p>
      <w:pPr>
        <w:pStyle w:val="ListParagraph"/>
        <w:numPr>
          <w:ilvl w:val="1"/>
          <w:numId w:val="10"/>
        </w:numPr>
        <w:tabs>
          <w:tab w:val="clear" w:pos="1377"/>
          <w:tab w:val="left" w:pos="1200"/>
          <w:tab w:val="left" w:pos="1440"/>
        </w:tabs>
        <w:ind w:left="1440" w:hanging="360"/>
        <w:jc w:val="both"/>
      </w:pPr>
      <w:r>
        <w:t>Affidavit of Publication of the Notice of Award on 31 May 2017 and 07 June 2017 by the Advertising Coordinator of The Daily Tribune;</w:t>
      </w:r>
    </w:p>
    <w:p>
      <w:pPr>
        <w:pStyle w:val="ListParagraph"/>
        <w:numPr>
          <w:ilvl w:val="1"/>
          <w:numId w:val="10"/>
        </w:numPr>
        <w:tabs>
          <w:tab w:val="clear" w:pos="1377"/>
          <w:tab w:val="left" w:pos="1200"/>
          <w:tab w:val="left" w:pos="1440"/>
        </w:tabs>
        <w:ind w:left="1440" w:hanging="360"/>
        <w:jc w:val="both"/>
      </w:pPr>
      <w:r>
        <w:t>JBROS Undertaking notarized on 01 June 2017, Makati City; and</w:t>
      </w:r>
    </w:p>
    <w:p>
      <w:pPr>
        <w:pStyle w:val="ListParagraph"/>
        <w:numPr>
          <w:ilvl w:val="1"/>
          <w:numId w:val="10"/>
        </w:numPr>
        <w:tabs>
          <w:tab w:val="clear" w:pos="1377"/>
          <w:tab w:val="left" w:pos="1200"/>
          <w:tab w:val="left" w:pos="1440"/>
        </w:tabs>
        <w:ind w:left="1440" w:hanging="360"/>
        <w:jc w:val="both"/>
      </w:pPr>
      <w:r>
        <w:t>JVA, signed and notarized on 16 June 2017.</w:t>
      </w:r>
    </w:p>
    <w:p>
      <w:pPr>
        <w:pStyle w:val="ListParagraph"/>
        <w:tabs>
          <w:tab w:val="left" w:pos="1200"/>
        </w:tabs>
        <w:ind w:left="1377"/>
        <w:jc w:val="both"/>
      </w:pPr>
    </w:p>
    <w:p>
      <w:pPr>
        <w:pStyle w:val="ListParagraph"/>
        <w:numPr>
          <w:ilvl w:val="1"/>
          <w:numId w:val="1"/>
        </w:numPr>
        <w:tabs>
          <w:tab w:val="left" w:pos="1200"/>
        </w:tabs>
        <w:ind w:left="1080" w:hanging="540"/>
        <w:jc w:val="both"/>
      </w:pPr>
      <w:r>
        <w:t>Stage Three/Swiss Challenge procedure as articulated in the Manila JVO, requires the preparation of the following documents:</w:t>
      </w:r>
    </w:p>
    <w:p>
      <w:pPr>
        <w:pStyle w:val="ListParagraph"/>
        <w:tabs>
          <w:tab w:val="left" w:pos="1200"/>
        </w:tabs>
        <w:ind w:left="1440" w:hanging="360"/>
        <w:jc w:val="both"/>
      </w:pPr>
    </w:p>
    <w:p>
      <w:pPr>
        <w:pStyle w:val="ListParagraph"/>
        <w:numPr>
          <w:ilvl w:val="1"/>
          <w:numId w:val="11"/>
        </w:numPr>
        <w:tabs>
          <w:tab w:val="clear" w:pos="1377"/>
          <w:tab w:val="left" w:pos="1440"/>
        </w:tabs>
        <w:ind w:left="1440" w:hanging="360"/>
        <w:jc w:val="both"/>
      </w:pPr>
      <w:r>
        <w:t>Tender documents which include among others, Instruction to Bidders, Terms of Reference, draft JVA, Bid Form, Forms of Bid and Performance Securities, requirements and timelines, other documents as may be deemed necessary by the JV-SC;</w:t>
      </w:r>
    </w:p>
    <w:p>
      <w:pPr>
        <w:pStyle w:val="ListParagraph"/>
        <w:numPr>
          <w:ilvl w:val="1"/>
          <w:numId w:val="11"/>
        </w:numPr>
        <w:tabs>
          <w:tab w:val="clear" w:pos="1377"/>
          <w:tab w:val="left" w:pos="1440"/>
        </w:tabs>
        <w:ind w:left="1440" w:hanging="360"/>
        <w:jc w:val="both"/>
      </w:pPr>
      <w:r>
        <w:t>Publication of the Invitation for Comparative Proposals in at least one newspaper of general circulation;</w:t>
      </w:r>
    </w:p>
    <w:p>
      <w:pPr>
        <w:pStyle w:val="ListParagraph"/>
        <w:numPr>
          <w:ilvl w:val="1"/>
          <w:numId w:val="11"/>
        </w:numPr>
        <w:tabs>
          <w:tab w:val="clear" w:pos="1377"/>
          <w:tab w:val="left" w:pos="1440"/>
        </w:tabs>
        <w:ind w:left="1440" w:hanging="360"/>
        <w:jc w:val="both"/>
      </w:pPr>
      <w:r>
        <w:t>Posting of the Invitation for Comparative Proposals in two conspicuous places in the City;</w:t>
      </w:r>
    </w:p>
    <w:p>
      <w:pPr>
        <w:pStyle w:val="ListParagraph"/>
        <w:numPr>
          <w:ilvl w:val="1"/>
          <w:numId w:val="11"/>
        </w:numPr>
        <w:tabs>
          <w:tab w:val="clear" w:pos="1377"/>
          <w:tab w:val="left" w:pos="1440"/>
        </w:tabs>
        <w:ind w:left="1440" w:hanging="360"/>
        <w:jc w:val="both"/>
      </w:pPr>
      <w:r>
        <w:t>Posting of the Invitation for Comparative Proposals in the City's Official Website, if available;</w:t>
      </w:r>
    </w:p>
    <w:p>
      <w:pPr>
        <w:pStyle w:val="ListParagraph"/>
        <w:numPr>
          <w:ilvl w:val="1"/>
          <w:numId w:val="11"/>
        </w:numPr>
        <w:tabs>
          <w:tab w:val="clear" w:pos="1377"/>
          <w:tab w:val="left" w:pos="1440"/>
        </w:tabs>
        <w:ind w:left="1440" w:hanging="360"/>
        <w:jc w:val="both"/>
      </w:pPr>
      <w:r>
        <w:t>Posting of the Proposal Security by the Original Proponent; and</w:t>
      </w:r>
    </w:p>
    <w:p>
      <w:pPr>
        <w:pStyle w:val="ListParagraph"/>
        <w:numPr>
          <w:ilvl w:val="1"/>
          <w:numId w:val="11"/>
        </w:numPr>
        <w:tabs>
          <w:tab w:val="clear" w:pos="1377"/>
          <w:tab w:val="left" w:pos="1440"/>
        </w:tabs>
        <w:ind w:left="1440" w:hanging="360"/>
        <w:jc w:val="both"/>
      </w:pPr>
      <w:r>
        <w:t>Proposals Submitted by the challengers.</w:t>
      </w:r>
    </w:p>
    <w:p>
      <w:pPr>
        <w:pStyle w:val="ListParagraph"/>
        <w:tabs>
          <w:tab w:val="left" w:pos="1200"/>
        </w:tabs>
        <w:ind w:left="1377"/>
        <w:jc w:val="both"/>
      </w:pPr>
    </w:p>
    <w:p>
      <w:pPr>
        <w:pStyle w:val="ListParagraph"/>
        <w:numPr>
          <w:ilvl w:val="1"/>
          <w:numId w:val="1"/>
        </w:numPr>
        <w:tabs>
          <w:tab w:val="left" w:pos="1200"/>
        </w:tabs>
        <w:ind w:left="1080" w:hanging="540"/>
        <w:jc w:val="both"/>
      </w:pPr>
      <w:r>
        <w:t>Review of the JVA documents vis-à-vis those required in the Manila JVO showed that the following were not submitted to the Audit Team:</w:t>
      </w:r>
    </w:p>
    <w:p>
      <w:pPr>
        <w:pStyle w:val="ListParagraph"/>
        <w:tabs>
          <w:tab w:val="left" w:pos="1200"/>
        </w:tabs>
        <w:ind w:left="1377"/>
        <w:jc w:val="both"/>
      </w:pPr>
    </w:p>
    <w:p>
      <w:pPr>
        <w:pStyle w:val="ListParagraph"/>
        <w:numPr>
          <w:ilvl w:val="1"/>
          <w:numId w:val="12"/>
        </w:numPr>
        <w:tabs>
          <w:tab w:val="clear" w:pos="1377"/>
        </w:tabs>
        <w:ind w:left="1440" w:hanging="360"/>
        <w:jc w:val="both"/>
      </w:pPr>
      <w:r>
        <w:lastRenderedPageBreak/>
        <w:t>Tender documents;</w:t>
      </w:r>
    </w:p>
    <w:p>
      <w:pPr>
        <w:pStyle w:val="ListParagraph"/>
        <w:numPr>
          <w:ilvl w:val="1"/>
          <w:numId w:val="12"/>
        </w:numPr>
        <w:tabs>
          <w:tab w:val="left" w:pos="1200"/>
        </w:tabs>
        <w:ind w:left="1440" w:hanging="360"/>
        <w:jc w:val="both"/>
      </w:pPr>
      <w:r>
        <w:t>Copy of The Daily Tribune newspapers or page/s thereof where the notices/invites were published;</w:t>
      </w:r>
    </w:p>
    <w:p>
      <w:pPr>
        <w:pStyle w:val="ListParagraph"/>
        <w:numPr>
          <w:ilvl w:val="1"/>
          <w:numId w:val="12"/>
        </w:numPr>
        <w:tabs>
          <w:tab w:val="left" w:pos="1200"/>
        </w:tabs>
        <w:ind w:left="1440" w:hanging="360"/>
        <w:jc w:val="both"/>
      </w:pPr>
      <w:r>
        <w:t>Time-stamped pictures of the postings; and</w:t>
      </w:r>
    </w:p>
    <w:p>
      <w:pPr>
        <w:pStyle w:val="ListParagraph"/>
        <w:numPr>
          <w:ilvl w:val="1"/>
          <w:numId w:val="12"/>
        </w:numPr>
        <w:tabs>
          <w:tab w:val="left" w:pos="1200"/>
        </w:tabs>
        <w:ind w:left="1440" w:hanging="360"/>
        <w:jc w:val="both"/>
      </w:pPr>
      <w:r>
        <w:t>Time-stamped screenshot of the postings.</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As to the documents in b and c of para. 4.7, the CGM submitted only a Certification of the previous JV-SC Chairperson of the postings of the Invitation to Submit Comparative Proposal for the </w:t>
      </w:r>
      <w:proofErr w:type="spellStart"/>
      <w:r>
        <w:t>Arroceros</w:t>
      </w:r>
      <w:proofErr w:type="spellEnd"/>
      <w:r>
        <w:t xml:space="preserve"> project on the Bulletin Boards of the Offices of the Secretary to the Mayor and CGSO, and an affidavit executed by the Advertising Coordinator of the of The Daily Tribune newspaper that the Invitation to Submit Comparative Proposal for the </w:t>
      </w:r>
      <w:proofErr w:type="spellStart"/>
      <w:r>
        <w:t>Arroceros</w:t>
      </w:r>
      <w:proofErr w:type="spellEnd"/>
      <w:r>
        <w:t xml:space="preserve"> project was published on 25 April 2017 and 2 May 2017. These certification and affidavit, however, are different from the required documents themselves because it is a documents merely authenticating the latter. The publication and the posting of the Invitation for Comparative Proposals are very vital in the conduct of the Stage Three/Swiss Challenge since it is the best means of securing a comparative proposal which is superior or more advantageous than the original proposal and to ensure that the government gets the best benefit/return.</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Upon our inquiry, The Tribune Publishing Co. Inc (The Tribune for brevity) informed that they have no record of the subject publications because this record was not endorsed by the previous management and that their record is only from June 2018. We were also informed that the person supposedly responsible for the attendant publications, is no longer connected with The Tribune. </w:t>
      </w:r>
    </w:p>
    <w:p>
      <w:pPr>
        <w:pStyle w:val="ListParagraph"/>
        <w:tabs>
          <w:tab w:val="left" w:pos="1200"/>
        </w:tabs>
        <w:ind w:left="1377"/>
        <w:jc w:val="both"/>
      </w:pPr>
    </w:p>
    <w:p>
      <w:pPr>
        <w:pStyle w:val="ListParagraph"/>
        <w:numPr>
          <w:ilvl w:val="1"/>
          <w:numId w:val="1"/>
        </w:numPr>
        <w:tabs>
          <w:tab w:val="left" w:pos="1200"/>
        </w:tabs>
        <w:ind w:left="1080" w:hanging="540"/>
        <w:jc w:val="both"/>
      </w:pPr>
      <w:r>
        <w:t>Verily, the unsubmitted documents listed in para. 4.7 supporting the JVA with JBROS for the Arroceros Compound Mixed-Use Development prevented the full evaluation of and casts doubt on the validity of the Swiss Challenge to which such joint venture project was subjected.</w:t>
      </w:r>
    </w:p>
    <w:p>
      <w:pPr>
        <w:tabs>
          <w:tab w:val="left" w:pos="1200"/>
        </w:tabs>
        <w:ind w:right="2403"/>
        <w:jc w:val="both"/>
      </w:pPr>
    </w:p>
    <w:p>
      <w:pPr>
        <w:pStyle w:val="ListParagraph"/>
        <w:ind w:leftChars="225" w:left="540" w:right="2403"/>
        <w:jc w:val="both"/>
        <w:rPr>
          <w:i/>
          <w:iCs/>
        </w:rPr>
      </w:pPr>
      <w:r>
        <w:rPr>
          <w:i/>
          <w:iCs/>
        </w:rPr>
        <w:t>The continuing failure of the JBROS to perform its obligations under the JVA deprives the CGM beneficial use of the Arroceros Compound.</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Under Section 10.1 of the Arroceros Compound JVA, either party may rescind the JVA prior to its completion upon default or breach by the other party of a material provision of the JVA. </w:t>
      </w:r>
    </w:p>
    <w:p>
      <w:pPr>
        <w:pStyle w:val="ListParagraph"/>
        <w:tabs>
          <w:tab w:val="left" w:pos="1200"/>
        </w:tabs>
        <w:ind w:left="1377"/>
        <w:jc w:val="both"/>
      </w:pPr>
    </w:p>
    <w:p>
      <w:pPr>
        <w:pStyle w:val="ListParagraph"/>
        <w:numPr>
          <w:ilvl w:val="1"/>
          <w:numId w:val="1"/>
        </w:numPr>
        <w:tabs>
          <w:tab w:val="left" w:pos="1200"/>
        </w:tabs>
        <w:ind w:left="1080" w:hanging="540"/>
        <w:jc w:val="both"/>
      </w:pPr>
      <w:r>
        <w:t>On 16 June 2017, the CGM entered into agreement with JBROS to redevelop the Arroceros into a mixed residential-mall-office complex with enhanced recreational area with an estimated total project cost of P5</w:t>
      </w:r>
      <w:proofErr w:type="gramStart"/>
      <w:r>
        <w:t>,646,491,950.000</w:t>
      </w:r>
      <w:proofErr w:type="gramEnd"/>
      <w:r>
        <w:t>. The term of the construction</w:t>
      </w:r>
      <w:r>
        <w:rPr>
          <w:lang w:val="en-PH"/>
        </w:rPr>
        <w:t xml:space="preserve"> and development </w:t>
      </w:r>
      <w:r>
        <w:t xml:space="preserve">is estimated to be within seven (7) years divided into four (4) phases. The phase one (1) which consists of the </w:t>
      </w:r>
      <w:r>
        <w:lastRenderedPageBreak/>
        <w:t xml:space="preserve">construction of the mall and a government center building is estimated to be completed on year 3. Moreover, phase two (2) which consists of the Office Building shall be undertaken by JBROS on year 3. </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However, in his letter dated 09 March 2021, the City Engineer informed us that the said project has not started. </w:t>
      </w:r>
      <w:r>
        <w:rPr>
          <w:lang w:val="en-PH"/>
        </w:rPr>
        <w:t>A</w:t>
      </w:r>
      <w:r>
        <w:t xml:space="preserve">lmost four years had </w:t>
      </w:r>
      <w:r>
        <w:rPr>
          <w:lang w:val="en-PH"/>
        </w:rPr>
        <w:t xml:space="preserve">passed </w:t>
      </w:r>
      <w:r>
        <w:t>from the date of the effectivity of the JVA</w:t>
      </w:r>
      <w:r>
        <w:rPr>
          <w:lang w:val="en-PH"/>
        </w:rPr>
        <w:t xml:space="preserve"> but</w:t>
      </w:r>
      <w:r>
        <w:t xml:space="preserve"> JBROS failed to deliver Phases one and two of the project. Over this period, the CGM has been deprived of the beneficial use of its investment in this joint venture, namely: Arroceros Compound, with gross lot area of 10,134.40 square meters.</w:t>
      </w:r>
    </w:p>
    <w:p>
      <w:pPr>
        <w:pStyle w:val="ListParagraph"/>
        <w:tabs>
          <w:tab w:val="left" w:pos="1200"/>
        </w:tabs>
        <w:ind w:left="1377"/>
        <w:jc w:val="both"/>
      </w:pPr>
    </w:p>
    <w:p>
      <w:pPr>
        <w:pStyle w:val="ListParagraph"/>
        <w:numPr>
          <w:ilvl w:val="1"/>
          <w:numId w:val="1"/>
        </w:numPr>
        <w:tabs>
          <w:tab w:val="left" w:pos="1200"/>
        </w:tabs>
        <w:ind w:left="1080" w:hanging="540"/>
        <w:jc w:val="both"/>
      </w:pPr>
      <w:r>
        <w:t>This material breach is a ground for rescission pursuant to Section 10.1 of the JVA, subject to the provisions of Section 12 on Dispute Resolution.</w:t>
      </w:r>
    </w:p>
    <w:p>
      <w:pPr>
        <w:pStyle w:val="ListParagraph"/>
        <w:tabs>
          <w:tab w:val="left" w:pos="1200"/>
        </w:tabs>
        <w:ind w:left="1377" w:right="2403"/>
        <w:jc w:val="both"/>
      </w:pPr>
    </w:p>
    <w:p>
      <w:pPr>
        <w:pStyle w:val="ListParagraph"/>
        <w:ind w:leftChars="225" w:left="540" w:right="2403"/>
        <w:jc w:val="both"/>
        <w:rPr>
          <w:i/>
          <w:iCs/>
        </w:rPr>
      </w:pPr>
      <w:r>
        <w:rPr>
          <w:i/>
          <w:iCs/>
        </w:rPr>
        <w:t>The CGM has not fully protected its interest by its failure to require JBROS to post performance bond covering the period within which the latter is obligated to complete the joint venture project.</w:t>
      </w:r>
    </w:p>
    <w:p>
      <w:pPr>
        <w:pStyle w:val="ListParagraph"/>
        <w:tabs>
          <w:tab w:val="left" w:pos="1200"/>
        </w:tabs>
        <w:ind w:left="1377"/>
        <w:jc w:val="both"/>
      </w:pPr>
    </w:p>
    <w:p>
      <w:pPr>
        <w:pStyle w:val="ListParagraph"/>
        <w:numPr>
          <w:ilvl w:val="1"/>
          <w:numId w:val="1"/>
        </w:numPr>
        <w:tabs>
          <w:tab w:val="left" w:pos="1200"/>
        </w:tabs>
        <w:ind w:left="1080" w:hanging="540"/>
        <w:jc w:val="both"/>
      </w:pPr>
      <w:r>
        <w:t>Section 18 of the Manila JVO requires the posting of performance security 20 days from official receipt of the "Notice of Award", which we believe, a conferment of the authority to the City Mayor and the JV-SC in the determination of the appropriate performance security in relation to Section 14.h.ii</w:t>
      </w:r>
      <w:proofErr w:type="gramStart"/>
      <w:r>
        <w:t>.(</w:t>
      </w:r>
      <w:proofErr w:type="gramEnd"/>
      <w:r>
        <w:t>6) of the same Ordinance on bid security where the City was given the authority to determine what form of bid security it will require.</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JBROS posted a Performance Bond under Western Guaranty Corporation No. </w:t>
      </w:r>
      <w:proofErr w:type="gramStart"/>
      <w:r>
        <w:t>G(</w:t>
      </w:r>
      <w:proofErr w:type="gramEnd"/>
      <w:r>
        <w:t>13)022520 in the amount of P75 million  to guarantee the faithful performance  of the obligations for the Arroceros Compound Mixed Use Development Project and in compliance with Section 18  of the City of Manila Ordinance No. 8346, a condition stated in the Notice of Award where the consortium is required to file  a performance security (Bond)  prior to the signing and ratification of the JVA. The bond is callable on demand and valid from date of issuance until six month automatically renewable for another six months. The liability of the Surety under the Bond shall in no case exceed the total sum of P75 million. It was notarized on 01 June 2017. The bond expired on 01 December 2017.</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It is our view that the CGM failed to protect reasonably its interest in the JVA by not requiring JBROS to extend the validity of the foregoing bond to, at the very least, cover the period over which JBROS is obligated to complete Phases One and Two of the development project. </w:t>
      </w:r>
    </w:p>
    <w:p>
      <w:pPr>
        <w:pStyle w:val="ListParagraph"/>
        <w:tabs>
          <w:tab w:val="left" w:pos="1200"/>
        </w:tabs>
        <w:ind w:left="1377"/>
        <w:jc w:val="both"/>
      </w:pPr>
    </w:p>
    <w:p>
      <w:pPr>
        <w:pStyle w:val="ListParagraph"/>
        <w:numPr>
          <w:ilvl w:val="1"/>
          <w:numId w:val="1"/>
        </w:numPr>
        <w:tabs>
          <w:tab w:val="left" w:pos="1200"/>
        </w:tabs>
        <w:ind w:left="1080" w:hanging="540"/>
        <w:jc w:val="both"/>
      </w:pPr>
      <w:r>
        <w:t xml:space="preserve">While the CGM transferred control of the Arroceros Compound (with gross lot area of 10,134.40 square meters) to the joint venture in faithful performance of its obligation under the JVA, JBROS failed to deliver the Phases One and Two </w:t>
      </w:r>
      <w:r>
        <w:lastRenderedPageBreak/>
        <w:t>of the development project for almost four years already, to date. Over these four-years, the CGM suffered opportunity loss as it had no beneficial use of the Arroceros Compound. Had the JVA been bonded adequately, this opportunity loss could have been avoided.</w:t>
      </w:r>
    </w:p>
    <w:p>
      <w:pPr>
        <w:jc w:val="both"/>
      </w:pPr>
    </w:p>
    <w:p>
      <w:pPr>
        <w:pStyle w:val="ListParagraph"/>
        <w:numPr>
          <w:ilvl w:val="1"/>
          <w:numId w:val="5"/>
        </w:numPr>
        <w:tabs>
          <w:tab w:val="clear" w:pos="1377"/>
        </w:tabs>
        <w:ind w:left="1080" w:hanging="540"/>
        <w:jc w:val="both"/>
        <w:rPr>
          <w:b/>
        </w:rPr>
      </w:pPr>
      <w:r>
        <w:rPr>
          <w:b/>
        </w:rPr>
        <w:t xml:space="preserve">We recommended that the CGM: </w:t>
      </w:r>
    </w:p>
    <w:p>
      <w:pPr>
        <w:pStyle w:val="ListParagraph"/>
        <w:tabs>
          <w:tab w:val="left" w:pos="720"/>
        </w:tabs>
        <w:ind w:left="0"/>
        <w:jc w:val="both"/>
        <w:rPr>
          <w:b/>
        </w:rPr>
      </w:pPr>
    </w:p>
    <w:p>
      <w:pPr>
        <w:pStyle w:val="ListParagraph"/>
        <w:numPr>
          <w:ilvl w:val="2"/>
          <w:numId w:val="13"/>
        </w:numPr>
        <w:tabs>
          <w:tab w:val="left" w:pos="1920"/>
        </w:tabs>
        <w:ind w:left="1440" w:hanging="360"/>
        <w:jc w:val="both"/>
        <w:rPr>
          <w:b/>
          <w:bCs/>
        </w:rPr>
      </w:pPr>
      <w:r>
        <w:rPr>
          <w:b/>
          <w:bCs/>
        </w:rPr>
        <w:t xml:space="preserve">Submit the documents enumerated in para. </w:t>
      </w:r>
      <w:r>
        <w:rPr>
          <w:b/>
          <w:bCs/>
          <w:lang w:val="en-PH"/>
        </w:rPr>
        <w:t>4</w:t>
      </w:r>
      <w:r>
        <w:rPr>
          <w:b/>
          <w:bCs/>
        </w:rPr>
        <w:t>.7 to establish the validity of the Swiss Challenge;</w:t>
      </w:r>
    </w:p>
    <w:p>
      <w:pPr>
        <w:pStyle w:val="ListParagraph"/>
        <w:tabs>
          <w:tab w:val="left" w:pos="425"/>
          <w:tab w:val="left" w:pos="709"/>
          <w:tab w:val="left" w:pos="1920"/>
        </w:tabs>
        <w:ind w:left="1440"/>
        <w:jc w:val="both"/>
        <w:rPr>
          <w:b/>
          <w:bCs/>
        </w:rPr>
      </w:pPr>
    </w:p>
    <w:p>
      <w:pPr>
        <w:pStyle w:val="ListParagraph"/>
        <w:numPr>
          <w:ilvl w:val="2"/>
          <w:numId w:val="13"/>
        </w:numPr>
        <w:tabs>
          <w:tab w:val="left" w:pos="1920"/>
        </w:tabs>
        <w:ind w:left="1440" w:hanging="360"/>
        <w:jc w:val="both"/>
        <w:rPr>
          <w:b/>
          <w:bCs/>
        </w:rPr>
      </w:pPr>
      <w:r>
        <w:rPr>
          <w:b/>
          <w:bCs/>
        </w:rPr>
        <w:t>Rescind the JVA</w:t>
      </w:r>
      <w:r>
        <w:rPr>
          <w:b/>
          <w:bCs/>
          <w:lang w:val="en-PH"/>
        </w:rPr>
        <w:t xml:space="preserve"> i</w:t>
      </w:r>
      <w:r>
        <w:rPr>
          <w:b/>
          <w:bCs/>
        </w:rPr>
        <w:t>n view of the continuing failure of the JBROS to perform its obligations under this JVA</w:t>
      </w:r>
      <w:r>
        <w:rPr>
          <w:b/>
          <w:bCs/>
          <w:lang w:val="en-PH"/>
        </w:rPr>
        <w:t xml:space="preserve"> and</w:t>
      </w:r>
      <w:r>
        <w:rPr>
          <w:b/>
          <w:bCs/>
        </w:rPr>
        <w:t xml:space="preserve"> in order to realize beneficial gain from the herein Arroceros Compound; and</w:t>
      </w:r>
    </w:p>
    <w:p>
      <w:pPr>
        <w:pStyle w:val="ListParagraph"/>
        <w:numPr>
          <w:ilvl w:val="255"/>
          <w:numId w:val="0"/>
        </w:numPr>
        <w:tabs>
          <w:tab w:val="left" w:pos="1920"/>
        </w:tabs>
        <w:ind w:left="1080"/>
        <w:jc w:val="both"/>
        <w:rPr>
          <w:b/>
        </w:rPr>
      </w:pPr>
    </w:p>
    <w:p>
      <w:pPr>
        <w:pStyle w:val="ListParagraph"/>
        <w:numPr>
          <w:ilvl w:val="2"/>
          <w:numId w:val="13"/>
        </w:numPr>
        <w:tabs>
          <w:tab w:val="left" w:pos="1920"/>
        </w:tabs>
        <w:ind w:left="1440" w:hanging="360"/>
        <w:jc w:val="both"/>
        <w:rPr>
          <w:b/>
        </w:rPr>
      </w:pPr>
      <w:r>
        <w:rPr>
          <w:b/>
          <w:bCs/>
        </w:rPr>
        <w:t>Prospectively, protect reasonably the interest of the CGM by ensuring that JVAs are adequately bonded.</w:t>
      </w:r>
    </w:p>
    <w:bookmarkEnd w:id="0"/>
    <w:p>
      <w:pPr>
        <w:contextualSpacing/>
        <w:jc w:val="both"/>
      </w:pPr>
    </w:p>
    <w:p>
      <w:pPr>
        <w:contextualSpacing/>
        <w:jc w:val="both"/>
      </w:pPr>
    </w:p>
    <w:p>
      <w:pPr>
        <w:pStyle w:val="ListParagraph"/>
        <w:numPr>
          <w:ilvl w:val="0"/>
          <w:numId w:val="1"/>
        </w:numPr>
        <w:tabs>
          <w:tab w:val="clear" w:pos="425"/>
          <w:tab w:val="left" w:pos="540"/>
        </w:tabs>
        <w:ind w:left="540" w:hanging="540"/>
        <w:jc w:val="both"/>
        <w:rPr>
          <w:b/>
        </w:rPr>
      </w:pPr>
      <w:r>
        <w:rPr>
          <w:b/>
        </w:rPr>
        <w:t xml:space="preserve">In view of the restrictions posed by the COVID-19 pandemic, the City failed to implement 74 </w:t>
      </w:r>
      <w:r>
        <w:rPr>
          <w:b/>
          <w:bCs/>
        </w:rPr>
        <w:t xml:space="preserve">Gender and Development </w:t>
      </w:r>
      <w:r>
        <w:rPr>
          <w:b/>
        </w:rPr>
        <w:t>(GAD) program/projects/activities (PPAs) with total corresponding budget of P566.235 million and establish fully the requisite GAD database.</w:t>
      </w:r>
    </w:p>
    <w:p>
      <w:pPr>
        <w:tabs>
          <w:tab w:val="left" w:pos="720"/>
        </w:tabs>
        <w:jc w:val="both"/>
        <w:rPr>
          <w:color w:val="00B050"/>
        </w:rPr>
      </w:pPr>
    </w:p>
    <w:p>
      <w:pPr>
        <w:pStyle w:val="ListParagraph"/>
        <w:numPr>
          <w:ilvl w:val="1"/>
          <w:numId w:val="1"/>
        </w:numPr>
        <w:tabs>
          <w:tab w:val="left" w:pos="1200"/>
        </w:tabs>
        <w:ind w:left="1080" w:hanging="540"/>
        <w:jc w:val="both"/>
      </w:pPr>
      <w:r>
        <w:t>We audited the GAD funds, programs and activities of the City of Manila pursuant to RA No. 9710 and its IRR, to determine whether the existing laws, rules and regulations on the gender and development are being complied with by the Agency; whether the GAD PPAs implemented have fully addressed the gender issue in accordance with the goal of the program; and the GAD funds were expended for the purpose which they have been appropriated. Our procedures included, among others, analysis of the GBP and validation and evaluation of its delivery.</w:t>
      </w:r>
    </w:p>
    <w:p>
      <w:pPr>
        <w:pStyle w:val="ListParagraph"/>
        <w:tabs>
          <w:tab w:val="left" w:pos="1200"/>
        </w:tabs>
        <w:ind w:left="1080"/>
        <w:jc w:val="both"/>
      </w:pPr>
    </w:p>
    <w:p>
      <w:pPr>
        <w:pStyle w:val="ListParagraph"/>
        <w:numPr>
          <w:ilvl w:val="1"/>
          <w:numId w:val="1"/>
        </w:numPr>
        <w:tabs>
          <w:tab w:val="left" w:pos="1200"/>
        </w:tabs>
        <w:ind w:left="1080" w:hanging="540"/>
        <w:jc w:val="both"/>
      </w:pPr>
      <w:r>
        <w:t>The City of Manila has adopted gender mainstreaming as a strategy to promote women’s human rights and eliminate gender discrimination and has been in the process of being a sustainable gender-responsive city.</w:t>
      </w:r>
    </w:p>
    <w:p>
      <w:pPr>
        <w:pStyle w:val="ListParagraph"/>
        <w:ind w:left="1377"/>
      </w:pPr>
    </w:p>
    <w:p>
      <w:pPr>
        <w:pStyle w:val="ListParagraph"/>
        <w:numPr>
          <w:ilvl w:val="1"/>
          <w:numId w:val="1"/>
        </w:numPr>
        <w:tabs>
          <w:tab w:val="left" w:pos="1200"/>
        </w:tabs>
        <w:ind w:left="1080" w:hanging="540"/>
        <w:jc w:val="both"/>
      </w:pPr>
      <w:r>
        <w:t xml:space="preserve">On 10 November 2020 the City of Manila passed its GAD Code through Ordinance No. 8681 “An Ordinance Providing for a City Gender and Development Code for the City of Manila and for other purposes”. </w:t>
      </w:r>
    </w:p>
    <w:p>
      <w:pPr>
        <w:pStyle w:val="ListParagraph"/>
        <w:ind w:left="1377"/>
      </w:pPr>
    </w:p>
    <w:p>
      <w:pPr>
        <w:pStyle w:val="ListParagraph"/>
        <w:numPr>
          <w:ilvl w:val="1"/>
          <w:numId w:val="1"/>
        </w:numPr>
        <w:tabs>
          <w:tab w:val="left" w:pos="1200"/>
        </w:tabs>
        <w:ind w:left="1080" w:hanging="540"/>
        <w:jc w:val="both"/>
      </w:pPr>
      <w:r>
        <w:t xml:space="preserve">The Manila GAD Plan and Budget (GPB) and GAD Accomplishment Report (GAR) are prepared by each department and submitted to the City Planning Office (CPDO) for consolidation. On 29 January 2020 the CPDO submitted to this Office the GPB together with the Certificate issued by the DILG certifying that the 2020 GPB of the City of Manila was found to be compliant in form and content as provided in the PCW-DILG-DBM-NEDA Joint Memorandum </w:t>
      </w:r>
      <w:r>
        <w:lastRenderedPageBreak/>
        <w:t>Circular (JMC) No. 2016-01 and PCW-DILG-DBM-NEDA JMC No. 2013-01. The GAR was submitted on 20 May 2021.</w:t>
      </w:r>
    </w:p>
    <w:p>
      <w:pPr>
        <w:pStyle w:val="ListParagraph"/>
        <w:ind w:left="1377"/>
        <w:rPr>
          <w:sz w:val="20"/>
        </w:rPr>
      </w:pPr>
    </w:p>
    <w:p>
      <w:pPr>
        <w:pStyle w:val="ListParagraph"/>
        <w:numPr>
          <w:ilvl w:val="1"/>
          <w:numId w:val="1"/>
        </w:numPr>
        <w:tabs>
          <w:tab w:val="left" w:pos="1200"/>
        </w:tabs>
        <w:ind w:left="1080" w:hanging="540"/>
        <w:jc w:val="both"/>
      </w:pPr>
      <w:r>
        <w:t>The City allocated P957</w:t>
      </w:r>
      <w:proofErr w:type="gramStart"/>
      <w:r>
        <w:t>,688,442.46</w:t>
      </w:r>
      <w:proofErr w:type="gramEnd"/>
      <w:r>
        <w:t xml:space="preserve"> for the 120 GAD PPAs programmed for FY 2020. This fund allocation accounted for 5.36 percent of its appropriation of P17</w:t>
      </w:r>
      <w:proofErr w:type="gramStart"/>
      <w:r>
        <w:t>,857,086,146.00</w:t>
      </w:r>
      <w:proofErr w:type="gramEnd"/>
      <w:r>
        <w:t xml:space="preserve"> for FY 2020 and complies with the prescribed minimum budget.</w:t>
      </w:r>
    </w:p>
    <w:p>
      <w:pPr>
        <w:rPr>
          <w:sz w:val="20"/>
        </w:rPr>
      </w:pPr>
    </w:p>
    <w:p>
      <w:pPr>
        <w:pStyle w:val="ListParagraph"/>
        <w:tabs>
          <w:tab w:val="left" w:pos="1200"/>
        </w:tabs>
        <w:ind w:left="540"/>
        <w:jc w:val="both"/>
        <w:rPr>
          <w:i/>
          <w:iCs/>
        </w:rPr>
      </w:pPr>
      <w:r>
        <w:rPr>
          <w:i/>
          <w:iCs/>
        </w:rPr>
        <w:t>Non-implementation of 74 GAD PPAs</w:t>
      </w:r>
    </w:p>
    <w:p>
      <w:pPr>
        <w:pStyle w:val="ListParagraph"/>
        <w:tabs>
          <w:tab w:val="left" w:pos="1200"/>
        </w:tabs>
        <w:ind w:left="540"/>
        <w:jc w:val="both"/>
        <w:rPr>
          <w:i/>
          <w:iCs/>
          <w:sz w:val="20"/>
        </w:rPr>
      </w:pPr>
    </w:p>
    <w:p>
      <w:pPr>
        <w:pStyle w:val="ListParagraph"/>
        <w:numPr>
          <w:ilvl w:val="1"/>
          <w:numId w:val="1"/>
        </w:numPr>
        <w:tabs>
          <w:tab w:val="left" w:pos="1200"/>
        </w:tabs>
        <w:ind w:left="1080" w:hanging="540"/>
        <w:jc w:val="both"/>
      </w:pPr>
      <w:r>
        <w:t xml:space="preserve">Section 6.1 of PCW-DILG-DBM-NEDA JMC No. 2016-01 amending Section 4.1.C.7.1 of PCW-DILG-DBM-NEDA JMC No. 2013-01 states that the Local Chief Executive (LCE) shall issue an appropriate policy directive, copy furnished the DILG Office that conducted the review of the LGU GPB, to disseminate and implement the GPB. </w:t>
      </w:r>
    </w:p>
    <w:p>
      <w:pPr>
        <w:pStyle w:val="ListParagraph"/>
        <w:ind w:left="1377"/>
        <w:rPr>
          <w:sz w:val="20"/>
        </w:rPr>
      </w:pPr>
    </w:p>
    <w:p>
      <w:pPr>
        <w:pStyle w:val="ListParagraph"/>
        <w:numPr>
          <w:ilvl w:val="1"/>
          <w:numId w:val="1"/>
        </w:numPr>
        <w:tabs>
          <w:tab w:val="left" w:pos="1200"/>
        </w:tabs>
        <w:ind w:left="1080" w:hanging="540"/>
        <w:jc w:val="both"/>
      </w:pPr>
      <w:r>
        <w:t xml:space="preserve">Section 4.1.C.7.4 of PCW-DILG-DBM-NEDA JMC No. 2013-01 provides that the GFPS shall regularly monitor if the GAD budget is being spent for what it was intended for and check on the actual cost of implementing the GAD activities. </w:t>
      </w:r>
    </w:p>
    <w:p>
      <w:pPr>
        <w:pStyle w:val="ListParagraph"/>
        <w:ind w:left="1377"/>
        <w:rPr>
          <w:sz w:val="20"/>
        </w:rPr>
      </w:pPr>
    </w:p>
    <w:p>
      <w:pPr>
        <w:pStyle w:val="ListParagraph"/>
        <w:numPr>
          <w:ilvl w:val="1"/>
          <w:numId w:val="1"/>
        </w:numPr>
        <w:tabs>
          <w:tab w:val="left" w:pos="1200"/>
        </w:tabs>
        <w:ind w:left="1080" w:hanging="540"/>
        <w:jc w:val="both"/>
      </w:pPr>
      <w:r>
        <w:t xml:space="preserve">Analysis of the delivery of the FY 2020 GPB showed that, of the 120 planned PPAs, only 46 PPAs with the budgeted amount of P391,453,658.18 were delivered, thus, leaving 74 with a budget of P566,234,784.28, unimplemented (Table 10). </w:t>
      </w:r>
    </w:p>
    <w:p>
      <w:pPr>
        <w:pStyle w:val="ListParagraph"/>
        <w:tabs>
          <w:tab w:val="left" w:pos="1200"/>
        </w:tabs>
        <w:ind w:left="1377"/>
        <w:jc w:val="both"/>
        <w:rPr>
          <w:sz w:val="20"/>
        </w:rPr>
      </w:pPr>
    </w:p>
    <w:p>
      <w:pPr>
        <w:tabs>
          <w:tab w:val="left" w:pos="1080"/>
        </w:tabs>
        <w:jc w:val="both"/>
      </w:pPr>
      <w:r>
        <w:tab/>
      </w:r>
      <w:r>
        <w:rPr>
          <w:sz w:val="20"/>
          <w:szCs w:val="20"/>
        </w:rPr>
        <w:t>Table 10 – Schedule GAD PPAs Implemented and Not Implemented</w:t>
      </w:r>
    </w:p>
    <w:tbl>
      <w:tblPr>
        <w:tblW w:w="7651"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990"/>
        <w:gridCol w:w="1350"/>
        <w:gridCol w:w="900"/>
        <w:gridCol w:w="1530"/>
        <w:gridCol w:w="991"/>
      </w:tblGrid>
      <w:tr>
        <w:tc>
          <w:tcPr>
            <w:tcW w:w="1890" w:type="dxa"/>
            <w:vAlign w:val="center"/>
          </w:tcPr>
          <w:p>
            <w:pPr>
              <w:tabs>
                <w:tab w:val="left" w:pos="720"/>
              </w:tabs>
              <w:jc w:val="center"/>
              <w:rPr>
                <w:sz w:val="20"/>
                <w:szCs w:val="20"/>
              </w:rPr>
            </w:pPr>
          </w:p>
          <w:p>
            <w:pPr>
              <w:tabs>
                <w:tab w:val="left" w:pos="720"/>
              </w:tabs>
              <w:jc w:val="center"/>
              <w:rPr>
                <w:sz w:val="20"/>
                <w:szCs w:val="20"/>
              </w:rPr>
            </w:pPr>
            <w:r>
              <w:rPr>
                <w:sz w:val="20"/>
                <w:szCs w:val="20"/>
              </w:rPr>
              <w:t>Particulars</w:t>
            </w:r>
          </w:p>
        </w:tc>
        <w:tc>
          <w:tcPr>
            <w:tcW w:w="990" w:type="dxa"/>
            <w:vAlign w:val="center"/>
          </w:tcPr>
          <w:p>
            <w:pPr>
              <w:tabs>
                <w:tab w:val="left" w:pos="720"/>
              </w:tabs>
              <w:jc w:val="center"/>
              <w:rPr>
                <w:sz w:val="20"/>
                <w:szCs w:val="20"/>
              </w:rPr>
            </w:pPr>
            <w:r>
              <w:rPr>
                <w:sz w:val="20"/>
                <w:szCs w:val="20"/>
              </w:rPr>
              <w:t>Targeted PPAs</w:t>
            </w:r>
          </w:p>
        </w:tc>
        <w:tc>
          <w:tcPr>
            <w:tcW w:w="1350" w:type="dxa"/>
            <w:vAlign w:val="center"/>
          </w:tcPr>
          <w:p>
            <w:pPr>
              <w:tabs>
                <w:tab w:val="left" w:pos="720"/>
              </w:tabs>
              <w:jc w:val="center"/>
              <w:rPr>
                <w:sz w:val="20"/>
                <w:szCs w:val="20"/>
              </w:rPr>
            </w:pPr>
          </w:p>
          <w:p>
            <w:pPr>
              <w:tabs>
                <w:tab w:val="left" w:pos="720"/>
              </w:tabs>
              <w:jc w:val="center"/>
              <w:rPr>
                <w:sz w:val="20"/>
                <w:szCs w:val="20"/>
              </w:rPr>
            </w:pPr>
            <w:r>
              <w:rPr>
                <w:sz w:val="20"/>
                <w:szCs w:val="20"/>
              </w:rPr>
              <w:t>Implemented</w:t>
            </w:r>
          </w:p>
        </w:tc>
        <w:tc>
          <w:tcPr>
            <w:tcW w:w="900" w:type="dxa"/>
            <w:vAlign w:val="center"/>
          </w:tcPr>
          <w:p>
            <w:pPr>
              <w:tabs>
                <w:tab w:val="left" w:pos="720"/>
              </w:tabs>
              <w:jc w:val="center"/>
              <w:rPr>
                <w:sz w:val="20"/>
                <w:szCs w:val="20"/>
              </w:rPr>
            </w:pPr>
          </w:p>
          <w:p>
            <w:pPr>
              <w:tabs>
                <w:tab w:val="left" w:pos="720"/>
              </w:tabs>
              <w:jc w:val="center"/>
              <w:rPr>
                <w:sz w:val="20"/>
                <w:szCs w:val="20"/>
              </w:rPr>
            </w:pPr>
            <w:r>
              <w:rPr>
                <w:sz w:val="20"/>
                <w:szCs w:val="20"/>
              </w:rPr>
              <w:t>Percent</w:t>
            </w:r>
          </w:p>
        </w:tc>
        <w:tc>
          <w:tcPr>
            <w:tcW w:w="1530" w:type="dxa"/>
            <w:vAlign w:val="center"/>
          </w:tcPr>
          <w:p>
            <w:pPr>
              <w:tabs>
                <w:tab w:val="left" w:pos="720"/>
              </w:tabs>
              <w:jc w:val="center"/>
              <w:rPr>
                <w:sz w:val="20"/>
                <w:szCs w:val="20"/>
              </w:rPr>
            </w:pPr>
          </w:p>
          <w:p>
            <w:pPr>
              <w:tabs>
                <w:tab w:val="left" w:pos="720"/>
              </w:tabs>
              <w:jc w:val="center"/>
              <w:rPr>
                <w:sz w:val="20"/>
                <w:szCs w:val="20"/>
              </w:rPr>
            </w:pPr>
            <w:r>
              <w:rPr>
                <w:sz w:val="20"/>
                <w:szCs w:val="20"/>
              </w:rPr>
              <w:t>Unimplemented</w:t>
            </w:r>
          </w:p>
        </w:tc>
        <w:tc>
          <w:tcPr>
            <w:tcW w:w="991" w:type="dxa"/>
            <w:vAlign w:val="center"/>
          </w:tcPr>
          <w:p>
            <w:pPr>
              <w:tabs>
                <w:tab w:val="left" w:pos="720"/>
              </w:tabs>
              <w:jc w:val="center"/>
              <w:rPr>
                <w:sz w:val="20"/>
                <w:szCs w:val="20"/>
              </w:rPr>
            </w:pPr>
          </w:p>
          <w:p>
            <w:pPr>
              <w:tabs>
                <w:tab w:val="left" w:pos="720"/>
              </w:tabs>
              <w:jc w:val="center"/>
              <w:rPr>
                <w:sz w:val="20"/>
                <w:szCs w:val="20"/>
              </w:rPr>
            </w:pPr>
            <w:r>
              <w:rPr>
                <w:sz w:val="20"/>
                <w:szCs w:val="20"/>
              </w:rPr>
              <w:t>Percent</w:t>
            </w:r>
          </w:p>
        </w:tc>
      </w:tr>
      <w:tr>
        <w:tc>
          <w:tcPr>
            <w:tcW w:w="1890" w:type="dxa"/>
          </w:tcPr>
          <w:p>
            <w:pPr>
              <w:tabs>
                <w:tab w:val="left" w:pos="720"/>
              </w:tabs>
              <w:jc w:val="both"/>
              <w:rPr>
                <w:sz w:val="20"/>
                <w:szCs w:val="20"/>
              </w:rPr>
            </w:pPr>
            <w:r>
              <w:rPr>
                <w:sz w:val="20"/>
                <w:szCs w:val="20"/>
              </w:rPr>
              <w:t>Client Focused</w:t>
            </w:r>
          </w:p>
        </w:tc>
        <w:tc>
          <w:tcPr>
            <w:tcW w:w="990" w:type="dxa"/>
          </w:tcPr>
          <w:p>
            <w:pPr>
              <w:tabs>
                <w:tab w:val="left" w:pos="720"/>
              </w:tabs>
              <w:jc w:val="center"/>
              <w:rPr>
                <w:sz w:val="20"/>
                <w:szCs w:val="20"/>
              </w:rPr>
            </w:pPr>
            <w:r>
              <w:rPr>
                <w:sz w:val="20"/>
                <w:szCs w:val="20"/>
              </w:rPr>
              <w:t>80</w:t>
            </w:r>
          </w:p>
        </w:tc>
        <w:tc>
          <w:tcPr>
            <w:tcW w:w="1350" w:type="dxa"/>
          </w:tcPr>
          <w:p>
            <w:pPr>
              <w:tabs>
                <w:tab w:val="left" w:pos="720"/>
              </w:tabs>
              <w:jc w:val="center"/>
              <w:rPr>
                <w:sz w:val="20"/>
                <w:szCs w:val="20"/>
              </w:rPr>
            </w:pPr>
            <w:r>
              <w:rPr>
                <w:sz w:val="20"/>
                <w:szCs w:val="20"/>
              </w:rPr>
              <w:t>32</w:t>
            </w:r>
          </w:p>
        </w:tc>
        <w:tc>
          <w:tcPr>
            <w:tcW w:w="900" w:type="dxa"/>
          </w:tcPr>
          <w:p>
            <w:pPr>
              <w:tabs>
                <w:tab w:val="left" w:pos="720"/>
              </w:tabs>
              <w:jc w:val="center"/>
              <w:rPr>
                <w:sz w:val="20"/>
                <w:szCs w:val="20"/>
              </w:rPr>
            </w:pPr>
            <w:r>
              <w:rPr>
                <w:sz w:val="20"/>
                <w:szCs w:val="20"/>
              </w:rPr>
              <w:t>40.00%</w:t>
            </w:r>
          </w:p>
        </w:tc>
        <w:tc>
          <w:tcPr>
            <w:tcW w:w="1530" w:type="dxa"/>
          </w:tcPr>
          <w:p>
            <w:pPr>
              <w:tabs>
                <w:tab w:val="left" w:pos="720"/>
              </w:tabs>
              <w:jc w:val="center"/>
              <w:rPr>
                <w:sz w:val="20"/>
                <w:szCs w:val="20"/>
              </w:rPr>
            </w:pPr>
            <w:r>
              <w:rPr>
                <w:sz w:val="20"/>
                <w:szCs w:val="20"/>
              </w:rPr>
              <w:t>48</w:t>
            </w:r>
          </w:p>
        </w:tc>
        <w:tc>
          <w:tcPr>
            <w:tcW w:w="991" w:type="dxa"/>
          </w:tcPr>
          <w:p>
            <w:pPr>
              <w:tabs>
                <w:tab w:val="left" w:pos="720"/>
              </w:tabs>
              <w:jc w:val="center"/>
              <w:rPr>
                <w:sz w:val="20"/>
                <w:szCs w:val="20"/>
              </w:rPr>
            </w:pPr>
            <w:r>
              <w:rPr>
                <w:sz w:val="20"/>
                <w:szCs w:val="20"/>
              </w:rPr>
              <w:t>60.00%</w:t>
            </w:r>
          </w:p>
        </w:tc>
      </w:tr>
      <w:tr>
        <w:tc>
          <w:tcPr>
            <w:tcW w:w="1890" w:type="dxa"/>
          </w:tcPr>
          <w:p>
            <w:pPr>
              <w:tabs>
                <w:tab w:val="left" w:pos="720"/>
              </w:tabs>
              <w:jc w:val="both"/>
              <w:rPr>
                <w:sz w:val="20"/>
                <w:szCs w:val="20"/>
              </w:rPr>
            </w:pPr>
            <w:r>
              <w:rPr>
                <w:sz w:val="20"/>
                <w:szCs w:val="20"/>
              </w:rPr>
              <w:t>Organizational Focused</w:t>
            </w:r>
          </w:p>
        </w:tc>
        <w:tc>
          <w:tcPr>
            <w:tcW w:w="990" w:type="dxa"/>
          </w:tcPr>
          <w:p>
            <w:pPr>
              <w:tabs>
                <w:tab w:val="left" w:pos="720"/>
              </w:tabs>
              <w:jc w:val="center"/>
              <w:rPr>
                <w:sz w:val="20"/>
                <w:szCs w:val="20"/>
              </w:rPr>
            </w:pPr>
            <w:r>
              <w:rPr>
                <w:sz w:val="20"/>
                <w:szCs w:val="20"/>
              </w:rPr>
              <w:t>38</w:t>
            </w:r>
          </w:p>
        </w:tc>
        <w:tc>
          <w:tcPr>
            <w:tcW w:w="1350" w:type="dxa"/>
          </w:tcPr>
          <w:p>
            <w:pPr>
              <w:tabs>
                <w:tab w:val="left" w:pos="720"/>
              </w:tabs>
              <w:jc w:val="center"/>
              <w:rPr>
                <w:sz w:val="20"/>
                <w:szCs w:val="20"/>
              </w:rPr>
            </w:pPr>
            <w:r>
              <w:rPr>
                <w:sz w:val="20"/>
                <w:szCs w:val="20"/>
              </w:rPr>
              <w:t>13</w:t>
            </w:r>
          </w:p>
        </w:tc>
        <w:tc>
          <w:tcPr>
            <w:tcW w:w="900" w:type="dxa"/>
          </w:tcPr>
          <w:p>
            <w:pPr>
              <w:tabs>
                <w:tab w:val="left" w:pos="720"/>
              </w:tabs>
              <w:jc w:val="center"/>
              <w:rPr>
                <w:sz w:val="20"/>
                <w:szCs w:val="20"/>
              </w:rPr>
            </w:pPr>
            <w:r>
              <w:rPr>
                <w:sz w:val="20"/>
                <w:szCs w:val="20"/>
              </w:rPr>
              <w:t>34.21%</w:t>
            </w:r>
          </w:p>
        </w:tc>
        <w:tc>
          <w:tcPr>
            <w:tcW w:w="1530" w:type="dxa"/>
          </w:tcPr>
          <w:p>
            <w:pPr>
              <w:tabs>
                <w:tab w:val="left" w:pos="720"/>
              </w:tabs>
              <w:jc w:val="center"/>
              <w:rPr>
                <w:sz w:val="20"/>
                <w:szCs w:val="20"/>
              </w:rPr>
            </w:pPr>
            <w:r>
              <w:rPr>
                <w:sz w:val="20"/>
                <w:szCs w:val="20"/>
              </w:rPr>
              <w:t>25</w:t>
            </w:r>
          </w:p>
        </w:tc>
        <w:tc>
          <w:tcPr>
            <w:tcW w:w="991" w:type="dxa"/>
          </w:tcPr>
          <w:p>
            <w:pPr>
              <w:tabs>
                <w:tab w:val="left" w:pos="720"/>
              </w:tabs>
              <w:jc w:val="center"/>
              <w:rPr>
                <w:sz w:val="20"/>
                <w:szCs w:val="20"/>
              </w:rPr>
            </w:pPr>
            <w:r>
              <w:rPr>
                <w:sz w:val="20"/>
                <w:szCs w:val="20"/>
              </w:rPr>
              <w:t>65.79%</w:t>
            </w:r>
          </w:p>
        </w:tc>
      </w:tr>
      <w:tr>
        <w:tc>
          <w:tcPr>
            <w:tcW w:w="1890" w:type="dxa"/>
          </w:tcPr>
          <w:p>
            <w:pPr>
              <w:tabs>
                <w:tab w:val="left" w:pos="720"/>
              </w:tabs>
              <w:jc w:val="both"/>
              <w:rPr>
                <w:sz w:val="20"/>
                <w:szCs w:val="20"/>
              </w:rPr>
            </w:pPr>
            <w:r>
              <w:rPr>
                <w:sz w:val="20"/>
                <w:szCs w:val="20"/>
              </w:rPr>
              <w:t>Attributed programs</w:t>
            </w:r>
          </w:p>
        </w:tc>
        <w:tc>
          <w:tcPr>
            <w:tcW w:w="990" w:type="dxa"/>
          </w:tcPr>
          <w:p>
            <w:pPr>
              <w:tabs>
                <w:tab w:val="left" w:pos="720"/>
              </w:tabs>
              <w:jc w:val="center"/>
              <w:rPr>
                <w:sz w:val="20"/>
                <w:szCs w:val="20"/>
              </w:rPr>
            </w:pPr>
            <w:r>
              <w:rPr>
                <w:sz w:val="20"/>
                <w:szCs w:val="20"/>
              </w:rPr>
              <w:t>2</w:t>
            </w:r>
          </w:p>
        </w:tc>
        <w:tc>
          <w:tcPr>
            <w:tcW w:w="1350" w:type="dxa"/>
          </w:tcPr>
          <w:p>
            <w:pPr>
              <w:tabs>
                <w:tab w:val="left" w:pos="720"/>
              </w:tabs>
              <w:jc w:val="center"/>
              <w:rPr>
                <w:sz w:val="20"/>
                <w:szCs w:val="20"/>
              </w:rPr>
            </w:pPr>
            <w:r>
              <w:rPr>
                <w:sz w:val="20"/>
                <w:szCs w:val="20"/>
              </w:rPr>
              <w:t>1</w:t>
            </w:r>
          </w:p>
        </w:tc>
        <w:tc>
          <w:tcPr>
            <w:tcW w:w="900" w:type="dxa"/>
          </w:tcPr>
          <w:p>
            <w:pPr>
              <w:tabs>
                <w:tab w:val="left" w:pos="720"/>
              </w:tabs>
              <w:jc w:val="center"/>
              <w:rPr>
                <w:sz w:val="20"/>
                <w:szCs w:val="20"/>
              </w:rPr>
            </w:pPr>
            <w:r>
              <w:rPr>
                <w:sz w:val="20"/>
                <w:szCs w:val="20"/>
              </w:rPr>
              <w:t>50.00%</w:t>
            </w:r>
          </w:p>
        </w:tc>
        <w:tc>
          <w:tcPr>
            <w:tcW w:w="1530" w:type="dxa"/>
          </w:tcPr>
          <w:p>
            <w:pPr>
              <w:tabs>
                <w:tab w:val="left" w:pos="720"/>
              </w:tabs>
              <w:jc w:val="center"/>
              <w:rPr>
                <w:sz w:val="20"/>
                <w:szCs w:val="20"/>
              </w:rPr>
            </w:pPr>
            <w:r>
              <w:rPr>
                <w:sz w:val="20"/>
                <w:szCs w:val="20"/>
              </w:rPr>
              <w:t>1</w:t>
            </w:r>
          </w:p>
        </w:tc>
        <w:tc>
          <w:tcPr>
            <w:tcW w:w="991" w:type="dxa"/>
          </w:tcPr>
          <w:p>
            <w:pPr>
              <w:tabs>
                <w:tab w:val="left" w:pos="720"/>
              </w:tabs>
              <w:jc w:val="center"/>
              <w:rPr>
                <w:sz w:val="20"/>
                <w:szCs w:val="20"/>
              </w:rPr>
            </w:pPr>
            <w:r>
              <w:rPr>
                <w:sz w:val="20"/>
                <w:szCs w:val="20"/>
              </w:rPr>
              <w:t>50.00%</w:t>
            </w:r>
          </w:p>
        </w:tc>
      </w:tr>
      <w:tr>
        <w:tc>
          <w:tcPr>
            <w:tcW w:w="1890" w:type="dxa"/>
          </w:tcPr>
          <w:p>
            <w:pPr>
              <w:tabs>
                <w:tab w:val="left" w:pos="720"/>
              </w:tabs>
              <w:jc w:val="center"/>
              <w:rPr>
                <w:b/>
                <w:bCs/>
                <w:sz w:val="20"/>
                <w:szCs w:val="20"/>
              </w:rPr>
            </w:pPr>
            <w:r>
              <w:rPr>
                <w:b/>
                <w:bCs/>
                <w:sz w:val="20"/>
                <w:szCs w:val="20"/>
              </w:rPr>
              <w:t>Total</w:t>
            </w:r>
          </w:p>
        </w:tc>
        <w:tc>
          <w:tcPr>
            <w:tcW w:w="990" w:type="dxa"/>
          </w:tcPr>
          <w:p>
            <w:pPr>
              <w:tabs>
                <w:tab w:val="left" w:pos="720"/>
              </w:tabs>
              <w:jc w:val="center"/>
              <w:rPr>
                <w:b/>
                <w:bCs/>
                <w:sz w:val="20"/>
                <w:szCs w:val="20"/>
              </w:rPr>
            </w:pPr>
            <w:r>
              <w:rPr>
                <w:sz w:val="20"/>
                <w:szCs w:val="20"/>
              </w:rPr>
              <w:t>120</w:t>
            </w:r>
          </w:p>
        </w:tc>
        <w:tc>
          <w:tcPr>
            <w:tcW w:w="1350" w:type="dxa"/>
          </w:tcPr>
          <w:p>
            <w:pPr>
              <w:tabs>
                <w:tab w:val="left" w:pos="720"/>
              </w:tabs>
              <w:jc w:val="center"/>
              <w:rPr>
                <w:b/>
                <w:bCs/>
                <w:sz w:val="20"/>
                <w:szCs w:val="20"/>
              </w:rPr>
            </w:pPr>
            <w:r>
              <w:rPr>
                <w:sz w:val="20"/>
                <w:szCs w:val="20"/>
              </w:rPr>
              <w:t>46</w:t>
            </w:r>
          </w:p>
        </w:tc>
        <w:tc>
          <w:tcPr>
            <w:tcW w:w="900" w:type="dxa"/>
          </w:tcPr>
          <w:p>
            <w:pPr>
              <w:tabs>
                <w:tab w:val="left" w:pos="720"/>
              </w:tabs>
              <w:jc w:val="center"/>
              <w:rPr>
                <w:b/>
                <w:bCs/>
                <w:sz w:val="20"/>
                <w:szCs w:val="20"/>
              </w:rPr>
            </w:pPr>
            <w:r>
              <w:rPr>
                <w:sz w:val="20"/>
                <w:szCs w:val="20"/>
              </w:rPr>
              <w:t>38.33%</w:t>
            </w:r>
          </w:p>
        </w:tc>
        <w:tc>
          <w:tcPr>
            <w:tcW w:w="1530" w:type="dxa"/>
          </w:tcPr>
          <w:p>
            <w:pPr>
              <w:tabs>
                <w:tab w:val="left" w:pos="720"/>
              </w:tabs>
              <w:jc w:val="center"/>
              <w:rPr>
                <w:b/>
                <w:bCs/>
                <w:sz w:val="20"/>
                <w:szCs w:val="20"/>
              </w:rPr>
            </w:pPr>
            <w:r>
              <w:rPr>
                <w:sz w:val="20"/>
                <w:szCs w:val="20"/>
              </w:rPr>
              <w:t>74</w:t>
            </w:r>
          </w:p>
        </w:tc>
        <w:tc>
          <w:tcPr>
            <w:tcW w:w="991" w:type="dxa"/>
          </w:tcPr>
          <w:p>
            <w:pPr>
              <w:tabs>
                <w:tab w:val="left" w:pos="720"/>
              </w:tabs>
              <w:jc w:val="center"/>
              <w:rPr>
                <w:b/>
                <w:bCs/>
                <w:sz w:val="20"/>
                <w:szCs w:val="20"/>
              </w:rPr>
            </w:pPr>
            <w:r>
              <w:rPr>
                <w:sz w:val="20"/>
                <w:szCs w:val="20"/>
              </w:rPr>
              <w:t>61.67%</w:t>
            </w:r>
          </w:p>
        </w:tc>
      </w:tr>
    </w:tbl>
    <w:p>
      <w:pPr>
        <w:pStyle w:val="ListParagraph"/>
        <w:tabs>
          <w:tab w:val="left" w:pos="1200"/>
        </w:tabs>
        <w:ind w:left="1377"/>
        <w:jc w:val="both"/>
        <w:rPr>
          <w:sz w:val="20"/>
        </w:rPr>
      </w:pPr>
    </w:p>
    <w:p>
      <w:pPr>
        <w:pStyle w:val="ListParagraph"/>
        <w:numPr>
          <w:ilvl w:val="1"/>
          <w:numId w:val="1"/>
        </w:numPr>
        <w:tabs>
          <w:tab w:val="left" w:pos="1200"/>
        </w:tabs>
        <w:ind w:left="1080" w:hanging="540"/>
        <w:jc w:val="both"/>
      </w:pPr>
      <w:r>
        <w:t>We noted 10 GAD-related PPAs which were implemented at a total cost of P54</w:t>
      </w:r>
      <w:proofErr w:type="gramStart"/>
      <w:r>
        <w:t>,114,213.73</w:t>
      </w:r>
      <w:proofErr w:type="gramEnd"/>
      <w:r>
        <w:t xml:space="preserve"> although these are not among those the GPB for FY 2020. We view this as a positive development considering that more than half of the programmed PPAs were not implemented. Including these 10 PPAs, the City disbursed as at yearend P207</w:t>
      </w:r>
      <w:proofErr w:type="gramStart"/>
      <w:r>
        <w:t>,367,964.60</w:t>
      </w:r>
      <w:proofErr w:type="gramEnd"/>
      <w:r>
        <w:t xml:space="preserve"> (Table 11).</w:t>
      </w:r>
    </w:p>
    <w:p>
      <w:pPr>
        <w:pStyle w:val="ListParagraph"/>
        <w:tabs>
          <w:tab w:val="left" w:pos="1200"/>
        </w:tabs>
        <w:ind w:left="1377"/>
        <w:jc w:val="both"/>
        <w:rPr>
          <w:sz w:val="20"/>
        </w:rPr>
      </w:pPr>
    </w:p>
    <w:p>
      <w:pPr>
        <w:tabs>
          <w:tab w:val="left" w:pos="1080"/>
        </w:tabs>
        <w:jc w:val="both"/>
      </w:pPr>
      <w:r>
        <w:rPr>
          <w:sz w:val="20"/>
          <w:szCs w:val="20"/>
        </w:rPr>
        <w:tab/>
        <w:t>Table 11 – Schedule of Implemented PPAs Actual Amount Utilized</w:t>
      </w:r>
    </w:p>
    <w:tbl>
      <w:tblPr>
        <w:tblW w:w="765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9"/>
        <w:gridCol w:w="1271"/>
        <w:gridCol w:w="1800"/>
        <w:gridCol w:w="1980"/>
      </w:tblGrid>
      <w:tr>
        <w:trPr>
          <w:tblHeader/>
        </w:trPr>
        <w:tc>
          <w:tcPr>
            <w:tcW w:w="2599" w:type="dxa"/>
            <w:vAlign w:val="center"/>
          </w:tcPr>
          <w:p>
            <w:pPr>
              <w:tabs>
                <w:tab w:val="left" w:pos="720"/>
              </w:tabs>
              <w:jc w:val="center"/>
              <w:rPr>
                <w:b/>
                <w:bCs/>
                <w:sz w:val="20"/>
                <w:szCs w:val="20"/>
              </w:rPr>
            </w:pPr>
            <w:r>
              <w:rPr>
                <w:b/>
                <w:bCs/>
                <w:sz w:val="20"/>
                <w:szCs w:val="20"/>
              </w:rPr>
              <w:t>Particulars</w:t>
            </w:r>
          </w:p>
        </w:tc>
        <w:tc>
          <w:tcPr>
            <w:tcW w:w="1271" w:type="dxa"/>
            <w:vAlign w:val="center"/>
          </w:tcPr>
          <w:p>
            <w:pPr>
              <w:tabs>
                <w:tab w:val="left" w:pos="720"/>
              </w:tabs>
              <w:jc w:val="center"/>
              <w:rPr>
                <w:b/>
                <w:bCs/>
                <w:sz w:val="20"/>
                <w:szCs w:val="20"/>
              </w:rPr>
            </w:pPr>
            <w:r>
              <w:rPr>
                <w:b/>
                <w:bCs/>
                <w:sz w:val="20"/>
                <w:szCs w:val="20"/>
              </w:rPr>
              <w:t>No. of PPAs</w:t>
            </w:r>
          </w:p>
        </w:tc>
        <w:tc>
          <w:tcPr>
            <w:tcW w:w="1800" w:type="dxa"/>
            <w:vAlign w:val="center"/>
          </w:tcPr>
          <w:p>
            <w:pPr>
              <w:tabs>
                <w:tab w:val="left" w:pos="720"/>
              </w:tabs>
              <w:jc w:val="center"/>
              <w:rPr>
                <w:b/>
                <w:bCs/>
                <w:sz w:val="20"/>
                <w:szCs w:val="20"/>
              </w:rPr>
            </w:pPr>
            <w:r>
              <w:rPr>
                <w:b/>
                <w:bCs/>
                <w:sz w:val="20"/>
                <w:szCs w:val="20"/>
              </w:rPr>
              <w:t>Budgeted Amount</w:t>
            </w:r>
          </w:p>
        </w:tc>
        <w:tc>
          <w:tcPr>
            <w:tcW w:w="1980" w:type="dxa"/>
            <w:vAlign w:val="center"/>
          </w:tcPr>
          <w:p>
            <w:pPr>
              <w:tabs>
                <w:tab w:val="left" w:pos="720"/>
              </w:tabs>
              <w:jc w:val="center"/>
              <w:rPr>
                <w:b/>
                <w:bCs/>
                <w:sz w:val="20"/>
                <w:szCs w:val="20"/>
              </w:rPr>
            </w:pPr>
            <w:r>
              <w:rPr>
                <w:b/>
                <w:bCs/>
                <w:sz w:val="20"/>
                <w:szCs w:val="20"/>
              </w:rPr>
              <w:t>Disbursement</w:t>
            </w:r>
          </w:p>
        </w:tc>
      </w:tr>
      <w:tr>
        <w:tc>
          <w:tcPr>
            <w:tcW w:w="2599" w:type="dxa"/>
            <w:vAlign w:val="center"/>
          </w:tcPr>
          <w:p>
            <w:pPr>
              <w:tabs>
                <w:tab w:val="left" w:pos="720"/>
              </w:tabs>
              <w:rPr>
                <w:sz w:val="20"/>
                <w:szCs w:val="20"/>
              </w:rPr>
            </w:pPr>
            <w:r>
              <w:rPr>
                <w:sz w:val="20"/>
                <w:szCs w:val="20"/>
              </w:rPr>
              <w:t>PPAS IN GPB</w:t>
            </w:r>
          </w:p>
        </w:tc>
        <w:tc>
          <w:tcPr>
            <w:tcW w:w="1271" w:type="dxa"/>
            <w:vAlign w:val="center"/>
          </w:tcPr>
          <w:p>
            <w:pPr>
              <w:tabs>
                <w:tab w:val="left" w:pos="720"/>
              </w:tabs>
              <w:jc w:val="center"/>
              <w:rPr>
                <w:sz w:val="20"/>
                <w:szCs w:val="20"/>
              </w:rPr>
            </w:pPr>
          </w:p>
        </w:tc>
        <w:tc>
          <w:tcPr>
            <w:tcW w:w="1800" w:type="dxa"/>
            <w:vAlign w:val="center"/>
          </w:tcPr>
          <w:p>
            <w:pPr>
              <w:tabs>
                <w:tab w:val="left" w:pos="720"/>
              </w:tabs>
              <w:jc w:val="center"/>
              <w:rPr>
                <w:sz w:val="20"/>
                <w:szCs w:val="20"/>
              </w:rPr>
            </w:pPr>
          </w:p>
        </w:tc>
        <w:tc>
          <w:tcPr>
            <w:tcW w:w="1980" w:type="dxa"/>
            <w:vAlign w:val="center"/>
          </w:tcPr>
          <w:p>
            <w:pPr>
              <w:tabs>
                <w:tab w:val="left" w:pos="720"/>
              </w:tabs>
              <w:jc w:val="center"/>
              <w:rPr>
                <w:sz w:val="20"/>
                <w:szCs w:val="20"/>
              </w:rPr>
            </w:pPr>
          </w:p>
        </w:tc>
      </w:tr>
      <w:tr>
        <w:tc>
          <w:tcPr>
            <w:tcW w:w="2599" w:type="dxa"/>
          </w:tcPr>
          <w:p>
            <w:pPr>
              <w:tabs>
                <w:tab w:val="left" w:pos="720"/>
              </w:tabs>
              <w:ind w:left="165"/>
              <w:jc w:val="both"/>
              <w:rPr>
                <w:sz w:val="20"/>
                <w:szCs w:val="20"/>
              </w:rPr>
            </w:pPr>
            <w:r>
              <w:rPr>
                <w:sz w:val="20"/>
                <w:szCs w:val="20"/>
              </w:rPr>
              <w:t>Client Focused</w:t>
            </w:r>
          </w:p>
        </w:tc>
        <w:tc>
          <w:tcPr>
            <w:tcW w:w="1271" w:type="dxa"/>
          </w:tcPr>
          <w:p>
            <w:pPr>
              <w:tabs>
                <w:tab w:val="left" w:pos="720"/>
              </w:tabs>
              <w:jc w:val="center"/>
              <w:rPr>
                <w:sz w:val="20"/>
                <w:szCs w:val="20"/>
              </w:rPr>
            </w:pPr>
            <w:r>
              <w:rPr>
                <w:sz w:val="20"/>
                <w:szCs w:val="20"/>
              </w:rPr>
              <w:t>32</w:t>
            </w:r>
          </w:p>
        </w:tc>
        <w:tc>
          <w:tcPr>
            <w:tcW w:w="1800" w:type="dxa"/>
          </w:tcPr>
          <w:p>
            <w:pPr>
              <w:tabs>
                <w:tab w:val="left" w:pos="720"/>
              </w:tabs>
              <w:jc w:val="right"/>
              <w:rPr>
                <w:sz w:val="20"/>
                <w:szCs w:val="20"/>
              </w:rPr>
            </w:pPr>
            <w:r>
              <w:rPr>
                <w:sz w:val="20"/>
                <w:szCs w:val="20"/>
              </w:rPr>
              <w:t xml:space="preserve"> P179,493,270.18 </w:t>
            </w:r>
          </w:p>
        </w:tc>
        <w:tc>
          <w:tcPr>
            <w:tcW w:w="1980" w:type="dxa"/>
          </w:tcPr>
          <w:p>
            <w:pPr>
              <w:tabs>
                <w:tab w:val="left" w:pos="720"/>
              </w:tabs>
              <w:jc w:val="right"/>
              <w:rPr>
                <w:sz w:val="20"/>
                <w:szCs w:val="20"/>
              </w:rPr>
            </w:pPr>
            <w:r>
              <w:rPr>
                <w:sz w:val="20"/>
                <w:szCs w:val="20"/>
              </w:rPr>
              <w:t xml:space="preserve">P138,073,837.09 </w:t>
            </w:r>
          </w:p>
        </w:tc>
      </w:tr>
      <w:tr>
        <w:tc>
          <w:tcPr>
            <w:tcW w:w="2599" w:type="dxa"/>
          </w:tcPr>
          <w:p>
            <w:pPr>
              <w:tabs>
                <w:tab w:val="left" w:pos="720"/>
              </w:tabs>
              <w:ind w:left="165"/>
              <w:jc w:val="both"/>
              <w:rPr>
                <w:sz w:val="20"/>
                <w:szCs w:val="20"/>
              </w:rPr>
            </w:pPr>
            <w:r>
              <w:rPr>
                <w:sz w:val="20"/>
                <w:szCs w:val="20"/>
              </w:rPr>
              <w:t>Organizational Focused</w:t>
            </w:r>
          </w:p>
        </w:tc>
        <w:tc>
          <w:tcPr>
            <w:tcW w:w="1271" w:type="dxa"/>
          </w:tcPr>
          <w:p>
            <w:pPr>
              <w:tabs>
                <w:tab w:val="left" w:pos="720"/>
              </w:tabs>
              <w:jc w:val="center"/>
              <w:rPr>
                <w:sz w:val="20"/>
                <w:szCs w:val="20"/>
              </w:rPr>
            </w:pPr>
            <w:r>
              <w:rPr>
                <w:sz w:val="20"/>
                <w:szCs w:val="20"/>
              </w:rPr>
              <w:t>13</w:t>
            </w:r>
          </w:p>
        </w:tc>
        <w:tc>
          <w:tcPr>
            <w:tcW w:w="1800" w:type="dxa"/>
          </w:tcPr>
          <w:p>
            <w:pPr>
              <w:tabs>
                <w:tab w:val="left" w:pos="720"/>
              </w:tabs>
              <w:jc w:val="right"/>
              <w:rPr>
                <w:sz w:val="20"/>
                <w:szCs w:val="20"/>
              </w:rPr>
            </w:pPr>
            <w:r>
              <w:rPr>
                <w:sz w:val="20"/>
                <w:szCs w:val="20"/>
              </w:rPr>
              <w:t xml:space="preserve"> 10,063,301.00 </w:t>
            </w:r>
          </w:p>
        </w:tc>
        <w:tc>
          <w:tcPr>
            <w:tcW w:w="1980" w:type="dxa"/>
          </w:tcPr>
          <w:p>
            <w:pPr>
              <w:tabs>
                <w:tab w:val="left" w:pos="720"/>
              </w:tabs>
              <w:jc w:val="right"/>
              <w:rPr>
                <w:sz w:val="20"/>
                <w:szCs w:val="20"/>
              </w:rPr>
            </w:pPr>
            <w:r>
              <w:rPr>
                <w:sz w:val="20"/>
                <w:szCs w:val="20"/>
              </w:rPr>
              <w:t xml:space="preserve"> 15,121,413.78 </w:t>
            </w:r>
          </w:p>
        </w:tc>
      </w:tr>
      <w:tr>
        <w:tc>
          <w:tcPr>
            <w:tcW w:w="2599" w:type="dxa"/>
          </w:tcPr>
          <w:p>
            <w:pPr>
              <w:tabs>
                <w:tab w:val="left" w:pos="720"/>
              </w:tabs>
              <w:ind w:left="165"/>
              <w:jc w:val="both"/>
              <w:rPr>
                <w:sz w:val="20"/>
                <w:szCs w:val="20"/>
              </w:rPr>
            </w:pPr>
            <w:r>
              <w:rPr>
                <w:sz w:val="20"/>
                <w:szCs w:val="20"/>
              </w:rPr>
              <w:t>Attributed Programs</w:t>
            </w:r>
          </w:p>
        </w:tc>
        <w:tc>
          <w:tcPr>
            <w:tcW w:w="1271" w:type="dxa"/>
          </w:tcPr>
          <w:p>
            <w:pPr>
              <w:tabs>
                <w:tab w:val="left" w:pos="720"/>
              </w:tabs>
              <w:jc w:val="center"/>
              <w:rPr>
                <w:sz w:val="20"/>
                <w:szCs w:val="20"/>
              </w:rPr>
            </w:pPr>
            <w:r>
              <w:rPr>
                <w:sz w:val="20"/>
                <w:szCs w:val="20"/>
              </w:rPr>
              <w:t>1</w:t>
            </w:r>
          </w:p>
        </w:tc>
        <w:tc>
          <w:tcPr>
            <w:tcW w:w="1800" w:type="dxa"/>
          </w:tcPr>
          <w:p>
            <w:pPr>
              <w:tabs>
                <w:tab w:val="left" w:pos="720"/>
              </w:tabs>
              <w:jc w:val="right"/>
              <w:rPr>
                <w:sz w:val="20"/>
                <w:szCs w:val="20"/>
              </w:rPr>
            </w:pPr>
            <w:r>
              <w:rPr>
                <w:sz w:val="20"/>
                <w:szCs w:val="20"/>
              </w:rPr>
              <w:t xml:space="preserve"> 201,897,087.00 </w:t>
            </w:r>
          </w:p>
        </w:tc>
        <w:tc>
          <w:tcPr>
            <w:tcW w:w="1980" w:type="dxa"/>
          </w:tcPr>
          <w:p>
            <w:pPr>
              <w:tabs>
                <w:tab w:val="left" w:pos="720"/>
              </w:tabs>
              <w:jc w:val="right"/>
              <w:rPr>
                <w:sz w:val="20"/>
                <w:szCs w:val="20"/>
              </w:rPr>
            </w:pPr>
            <w:r>
              <w:rPr>
                <w:sz w:val="20"/>
                <w:szCs w:val="20"/>
              </w:rPr>
              <w:t xml:space="preserve"> 58,500.00 </w:t>
            </w:r>
          </w:p>
        </w:tc>
      </w:tr>
      <w:tr>
        <w:tc>
          <w:tcPr>
            <w:tcW w:w="2599" w:type="dxa"/>
          </w:tcPr>
          <w:p>
            <w:pPr>
              <w:tabs>
                <w:tab w:val="left" w:pos="720"/>
              </w:tabs>
              <w:jc w:val="both"/>
              <w:rPr>
                <w:b/>
                <w:bCs/>
                <w:sz w:val="20"/>
                <w:szCs w:val="20"/>
              </w:rPr>
            </w:pPr>
            <w:r>
              <w:rPr>
                <w:b/>
                <w:bCs/>
                <w:sz w:val="20"/>
                <w:szCs w:val="20"/>
              </w:rPr>
              <w:t>Sub-Total</w:t>
            </w:r>
          </w:p>
        </w:tc>
        <w:tc>
          <w:tcPr>
            <w:tcW w:w="1271" w:type="dxa"/>
          </w:tcPr>
          <w:p>
            <w:pPr>
              <w:tabs>
                <w:tab w:val="left" w:pos="720"/>
              </w:tabs>
              <w:jc w:val="center"/>
              <w:rPr>
                <w:b/>
                <w:bCs/>
                <w:sz w:val="20"/>
                <w:szCs w:val="20"/>
              </w:rPr>
            </w:pPr>
            <w:r>
              <w:rPr>
                <w:b/>
                <w:bCs/>
                <w:sz w:val="20"/>
                <w:szCs w:val="20"/>
              </w:rPr>
              <w:t>46</w:t>
            </w:r>
          </w:p>
        </w:tc>
        <w:tc>
          <w:tcPr>
            <w:tcW w:w="1800" w:type="dxa"/>
          </w:tcPr>
          <w:p>
            <w:pPr>
              <w:tabs>
                <w:tab w:val="left" w:pos="720"/>
              </w:tabs>
              <w:jc w:val="right"/>
              <w:rPr>
                <w:b/>
                <w:bCs/>
                <w:sz w:val="20"/>
                <w:szCs w:val="20"/>
              </w:rPr>
            </w:pPr>
            <w:r>
              <w:rPr>
                <w:b/>
                <w:bCs/>
                <w:sz w:val="20"/>
                <w:szCs w:val="20"/>
              </w:rPr>
              <w:t xml:space="preserve"> 391,453,658.18 </w:t>
            </w:r>
          </w:p>
        </w:tc>
        <w:tc>
          <w:tcPr>
            <w:tcW w:w="1980" w:type="dxa"/>
          </w:tcPr>
          <w:p>
            <w:pPr>
              <w:tabs>
                <w:tab w:val="left" w:pos="720"/>
              </w:tabs>
              <w:jc w:val="right"/>
              <w:rPr>
                <w:b/>
                <w:bCs/>
                <w:sz w:val="20"/>
                <w:szCs w:val="20"/>
              </w:rPr>
            </w:pPr>
            <w:r>
              <w:rPr>
                <w:b/>
                <w:bCs/>
                <w:sz w:val="20"/>
                <w:szCs w:val="20"/>
              </w:rPr>
              <w:t xml:space="preserve"> 153,253,750.87 </w:t>
            </w:r>
          </w:p>
        </w:tc>
      </w:tr>
      <w:tr>
        <w:tc>
          <w:tcPr>
            <w:tcW w:w="2599" w:type="dxa"/>
          </w:tcPr>
          <w:p>
            <w:pPr>
              <w:tabs>
                <w:tab w:val="left" w:pos="720"/>
              </w:tabs>
              <w:jc w:val="both"/>
              <w:rPr>
                <w:sz w:val="20"/>
                <w:szCs w:val="20"/>
              </w:rPr>
            </w:pPr>
            <w:r>
              <w:rPr>
                <w:sz w:val="20"/>
                <w:szCs w:val="20"/>
              </w:rPr>
              <w:t>PPAS NOT IN GPB</w:t>
            </w:r>
          </w:p>
        </w:tc>
        <w:tc>
          <w:tcPr>
            <w:tcW w:w="1271" w:type="dxa"/>
          </w:tcPr>
          <w:p>
            <w:pPr>
              <w:tabs>
                <w:tab w:val="left" w:pos="720"/>
              </w:tabs>
              <w:jc w:val="center"/>
              <w:rPr>
                <w:sz w:val="20"/>
                <w:szCs w:val="20"/>
              </w:rPr>
            </w:pPr>
            <w:r>
              <w:rPr>
                <w:sz w:val="20"/>
                <w:szCs w:val="20"/>
              </w:rPr>
              <w:t>10</w:t>
            </w:r>
          </w:p>
        </w:tc>
        <w:tc>
          <w:tcPr>
            <w:tcW w:w="1800" w:type="dxa"/>
          </w:tcPr>
          <w:p>
            <w:pPr>
              <w:tabs>
                <w:tab w:val="left" w:pos="720"/>
              </w:tabs>
              <w:jc w:val="right"/>
              <w:rPr>
                <w:sz w:val="20"/>
                <w:szCs w:val="20"/>
              </w:rPr>
            </w:pPr>
            <w:r>
              <w:rPr>
                <w:sz w:val="20"/>
                <w:szCs w:val="20"/>
              </w:rPr>
              <w:t xml:space="preserve"> -   </w:t>
            </w:r>
          </w:p>
        </w:tc>
        <w:tc>
          <w:tcPr>
            <w:tcW w:w="1980" w:type="dxa"/>
          </w:tcPr>
          <w:p>
            <w:pPr>
              <w:tabs>
                <w:tab w:val="left" w:pos="720"/>
              </w:tabs>
              <w:jc w:val="right"/>
              <w:rPr>
                <w:sz w:val="20"/>
                <w:szCs w:val="20"/>
              </w:rPr>
            </w:pPr>
            <w:r>
              <w:rPr>
                <w:sz w:val="20"/>
                <w:szCs w:val="20"/>
              </w:rPr>
              <w:t xml:space="preserve"> 54,114,213.73 </w:t>
            </w:r>
          </w:p>
        </w:tc>
      </w:tr>
      <w:tr>
        <w:tc>
          <w:tcPr>
            <w:tcW w:w="2599" w:type="dxa"/>
          </w:tcPr>
          <w:p>
            <w:pPr>
              <w:tabs>
                <w:tab w:val="left" w:pos="720"/>
              </w:tabs>
              <w:rPr>
                <w:b/>
                <w:bCs/>
                <w:sz w:val="20"/>
                <w:szCs w:val="20"/>
              </w:rPr>
            </w:pPr>
            <w:r>
              <w:rPr>
                <w:b/>
                <w:bCs/>
                <w:sz w:val="20"/>
                <w:szCs w:val="20"/>
              </w:rPr>
              <w:t>Total</w:t>
            </w:r>
          </w:p>
        </w:tc>
        <w:tc>
          <w:tcPr>
            <w:tcW w:w="1271" w:type="dxa"/>
          </w:tcPr>
          <w:p>
            <w:pPr>
              <w:tabs>
                <w:tab w:val="left" w:pos="720"/>
              </w:tabs>
              <w:jc w:val="center"/>
              <w:rPr>
                <w:b/>
                <w:bCs/>
                <w:sz w:val="20"/>
                <w:szCs w:val="20"/>
              </w:rPr>
            </w:pPr>
            <w:r>
              <w:rPr>
                <w:b/>
                <w:bCs/>
                <w:sz w:val="20"/>
                <w:szCs w:val="20"/>
              </w:rPr>
              <w:t>56</w:t>
            </w:r>
          </w:p>
        </w:tc>
        <w:tc>
          <w:tcPr>
            <w:tcW w:w="1800" w:type="dxa"/>
          </w:tcPr>
          <w:p>
            <w:pPr>
              <w:tabs>
                <w:tab w:val="left" w:pos="720"/>
              </w:tabs>
              <w:jc w:val="right"/>
              <w:rPr>
                <w:b/>
                <w:bCs/>
                <w:sz w:val="20"/>
                <w:szCs w:val="20"/>
              </w:rPr>
            </w:pPr>
            <w:r>
              <w:rPr>
                <w:b/>
                <w:bCs/>
                <w:sz w:val="20"/>
                <w:szCs w:val="20"/>
              </w:rPr>
              <w:t xml:space="preserve"> P391,453,658.18 </w:t>
            </w:r>
          </w:p>
        </w:tc>
        <w:tc>
          <w:tcPr>
            <w:tcW w:w="1980" w:type="dxa"/>
          </w:tcPr>
          <w:p>
            <w:pPr>
              <w:tabs>
                <w:tab w:val="left" w:pos="720"/>
              </w:tabs>
              <w:jc w:val="right"/>
              <w:rPr>
                <w:b/>
                <w:bCs/>
                <w:sz w:val="20"/>
                <w:szCs w:val="20"/>
              </w:rPr>
            </w:pPr>
            <w:r>
              <w:rPr>
                <w:b/>
                <w:bCs/>
                <w:sz w:val="20"/>
                <w:szCs w:val="20"/>
              </w:rPr>
              <w:t xml:space="preserve">P207,367,964.60 </w:t>
            </w:r>
          </w:p>
        </w:tc>
      </w:tr>
    </w:tbl>
    <w:p>
      <w:pPr>
        <w:pStyle w:val="ListParagraph"/>
        <w:numPr>
          <w:ilvl w:val="1"/>
          <w:numId w:val="1"/>
        </w:numPr>
        <w:tabs>
          <w:tab w:val="left" w:pos="1200"/>
        </w:tabs>
        <w:ind w:left="1080" w:hanging="540"/>
        <w:jc w:val="both"/>
      </w:pPr>
      <w:r>
        <w:lastRenderedPageBreak/>
        <w:t>Because of the community quarantine imposed to contain the COVID-19 pandemic, the implementation of majority of the GAD PPAs were either delayed or halted. During this period work was limited to those essential in addressing the pandemic. Of the GAD budget, P20</w:t>
      </w:r>
      <w:proofErr w:type="gramStart"/>
      <w:r>
        <w:t>,115,000.00</w:t>
      </w:r>
      <w:proofErr w:type="gramEnd"/>
      <w:r>
        <w:t xml:space="preserve"> was even realigned to respond to this pandemic. </w:t>
      </w:r>
    </w:p>
    <w:p>
      <w:pPr>
        <w:tabs>
          <w:tab w:val="left" w:pos="1200"/>
        </w:tabs>
        <w:ind w:left="810"/>
        <w:jc w:val="both"/>
      </w:pPr>
    </w:p>
    <w:p>
      <w:pPr>
        <w:pStyle w:val="ListParagraph"/>
        <w:tabs>
          <w:tab w:val="left" w:pos="1200"/>
        </w:tabs>
        <w:ind w:left="540"/>
        <w:jc w:val="both"/>
        <w:rPr>
          <w:i/>
          <w:iCs/>
        </w:rPr>
      </w:pPr>
      <w:r>
        <w:rPr>
          <w:i/>
          <w:iCs/>
        </w:rPr>
        <w:t xml:space="preserve">Non-establishment of GAD database </w:t>
      </w:r>
    </w:p>
    <w:p>
      <w:pPr>
        <w:pStyle w:val="ListParagraph"/>
        <w:tabs>
          <w:tab w:val="left" w:pos="1200"/>
        </w:tabs>
        <w:ind w:left="1377"/>
        <w:jc w:val="both"/>
      </w:pPr>
    </w:p>
    <w:p>
      <w:pPr>
        <w:pStyle w:val="ListParagraph"/>
        <w:numPr>
          <w:ilvl w:val="1"/>
          <w:numId w:val="1"/>
        </w:numPr>
        <w:tabs>
          <w:tab w:val="left" w:pos="1200"/>
        </w:tabs>
        <w:ind w:left="1080" w:hanging="540"/>
        <w:jc w:val="both"/>
      </w:pPr>
      <w:r>
        <w:t>Chapter VI, Section 36(c) of RA No. 9710 and Rule VI, Section 37 C of the IRR of the same RA provides that all departments, including their attached agencies, offices, bureaus, state universities and colleges, government-owned and controlled corporations, local government units, and other government instrumentalities shall develop and maintain a GAD database containing gender statistics and sex-disaggregated date that have been systematically gathered, regularly updated, and subjected to gender analysis for planning, programming, and policy formulation.</w:t>
      </w:r>
    </w:p>
    <w:p>
      <w:pPr>
        <w:pStyle w:val="ListParagraph"/>
        <w:tabs>
          <w:tab w:val="left" w:pos="1200"/>
        </w:tabs>
        <w:ind w:left="1377"/>
        <w:jc w:val="both"/>
      </w:pPr>
    </w:p>
    <w:p>
      <w:pPr>
        <w:pStyle w:val="ListParagraph"/>
        <w:numPr>
          <w:ilvl w:val="1"/>
          <w:numId w:val="1"/>
        </w:numPr>
        <w:tabs>
          <w:tab w:val="left" w:pos="1200"/>
        </w:tabs>
        <w:ind w:left="1080" w:hanging="540"/>
        <w:jc w:val="both"/>
      </w:pPr>
      <w:r>
        <w:t>Section 4.1.B of PCW-DILG-DBM-NEDA JMC No. 2013-01 provides that LGUs, through their Local Planning and Development Offices, shall spearhead the setting up and maintenance of the GAD database to serve as basis for gender-responsive planning, programming and policy formulation. The GAD database, which can either be manually operated or developed through software, shall form part of the overall management information system of the LGU.</w:t>
      </w:r>
    </w:p>
    <w:p>
      <w:pPr>
        <w:pStyle w:val="ListParagraph"/>
        <w:tabs>
          <w:tab w:val="left" w:pos="1200"/>
        </w:tabs>
        <w:ind w:left="1377"/>
        <w:jc w:val="both"/>
      </w:pPr>
    </w:p>
    <w:p>
      <w:pPr>
        <w:pStyle w:val="ListParagraph"/>
        <w:numPr>
          <w:ilvl w:val="1"/>
          <w:numId w:val="1"/>
        </w:numPr>
        <w:tabs>
          <w:tab w:val="left" w:pos="1200"/>
        </w:tabs>
        <w:ind w:left="1080" w:hanging="540"/>
        <w:jc w:val="both"/>
      </w:pPr>
      <w:r>
        <w:t>The City’s non-establishment of GAD database had been raised in previous years’ Annual Audit Reports. Verification shows that the CPDO had already sent letter</w:t>
      </w:r>
      <w:r>
        <w:rPr>
          <w:lang w:val="en-PH"/>
        </w:rPr>
        <w:t>-requests</w:t>
      </w:r>
      <w:r>
        <w:t xml:space="preserve"> to all department offices and all barangays of the City of Manila to furnish CPDO </w:t>
      </w:r>
      <w:r>
        <w:rPr>
          <w:lang w:val="en-PH"/>
        </w:rPr>
        <w:t xml:space="preserve">the </w:t>
      </w:r>
      <w:r>
        <w:t>relevant data that will be used in the creation of the City’s GAD database. To date, however, such requisite database has not been established yet.</w:t>
      </w:r>
    </w:p>
    <w:p>
      <w:pPr>
        <w:tabs>
          <w:tab w:val="left" w:pos="720"/>
          <w:tab w:val="left" w:pos="1080"/>
        </w:tabs>
        <w:jc w:val="both"/>
        <w:rPr>
          <w:b/>
        </w:rPr>
      </w:pPr>
    </w:p>
    <w:p>
      <w:pPr>
        <w:pStyle w:val="ListParagraph"/>
        <w:numPr>
          <w:ilvl w:val="1"/>
          <w:numId w:val="5"/>
        </w:numPr>
        <w:tabs>
          <w:tab w:val="clear" w:pos="1377"/>
        </w:tabs>
        <w:ind w:left="1080" w:hanging="540"/>
        <w:jc w:val="both"/>
        <w:rPr>
          <w:b/>
        </w:rPr>
      </w:pPr>
      <w:r>
        <w:rPr>
          <w:b/>
        </w:rPr>
        <w:t>We recommended that Management implement a catch-up plan for the undelivered GAD PPAs programmed for CY 2020 and establish the requisite GAD database.</w:t>
      </w:r>
    </w:p>
    <w:p>
      <w:pPr>
        <w:contextualSpacing/>
        <w:jc w:val="both"/>
      </w:pPr>
    </w:p>
    <w:p>
      <w:pPr>
        <w:ind w:left="540"/>
        <w:contextualSpacing/>
        <w:jc w:val="both"/>
      </w:pPr>
      <w:r>
        <w:t>Management comment/action:</w:t>
      </w:r>
    </w:p>
    <w:p>
      <w:pPr>
        <w:contextualSpacing/>
        <w:jc w:val="both"/>
      </w:pPr>
    </w:p>
    <w:p>
      <w:pPr>
        <w:pStyle w:val="ListParagraph"/>
        <w:numPr>
          <w:ilvl w:val="1"/>
          <w:numId w:val="1"/>
        </w:numPr>
        <w:tabs>
          <w:tab w:val="left" w:pos="1200"/>
        </w:tabs>
        <w:ind w:left="1080" w:hanging="540"/>
        <w:jc w:val="both"/>
      </w:pPr>
      <w:r>
        <w:rPr>
          <w:lang w:val="en-PH"/>
        </w:rPr>
        <w:t xml:space="preserve">During the exit meeting, Management informed that the City </w:t>
      </w:r>
      <w:r>
        <w:t>will implement the PPAs as planned</w:t>
      </w:r>
      <w:r>
        <w:rPr>
          <w:lang w:val="en-PH"/>
        </w:rPr>
        <w:t xml:space="preserve">, </w:t>
      </w:r>
      <w:r>
        <w:t>implement virtual GAD programs as a form of compliance</w:t>
      </w:r>
      <w:r>
        <w:rPr>
          <w:lang w:val="en-PH"/>
        </w:rPr>
        <w:t>.</w:t>
      </w:r>
    </w:p>
    <w:p>
      <w:pPr>
        <w:contextualSpacing/>
        <w:jc w:val="both"/>
      </w:pPr>
    </w:p>
    <w:p>
      <w:pPr>
        <w:tabs>
          <w:tab w:val="left" w:pos="720"/>
          <w:tab w:val="left" w:pos="1080"/>
        </w:tabs>
        <w:jc w:val="both"/>
      </w:pPr>
    </w:p>
    <w:p>
      <w:r>
        <w:br w:type="page"/>
      </w:r>
    </w:p>
    <w:p>
      <w:pPr>
        <w:tabs>
          <w:tab w:val="left" w:pos="720"/>
          <w:tab w:val="left" w:pos="1080"/>
        </w:tabs>
        <w:jc w:val="both"/>
      </w:pPr>
      <w:r>
        <w:lastRenderedPageBreak/>
        <w:t>COMPLIANCE WITH TAX LAWS AND OTHER REGULATORY REQUIREMENTS</w:t>
      </w:r>
    </w:p>
    <w:p>
      <w:pPr>
        <w:tabs>
          <w:tab w:val="left" w:pos="720"/>
          <w:tab w:val="left" w:pos="1080"/>
        </w:tabs>
        <w:jc w:val="both"/>
        <w:rPr>
          <w:b/>
          <w:iCs/>
        </w:rPr>
      </w:pPr>
    </w:p>
    <w:p>
      <w:pPr>
        <w:tabs>
          <w:tab w:val="left" w:pos="720"/>
          <w:tab w:val="left" w:pos="1080"/>
        </w:tabs>
        <w:jc w:val="both"/>
        <w:rPr>
          <w:b/>
          <w:bCs/>
          <w:iCs/>
        </w:rPr>
      </w:pPr>
      <w:r>
        <w:rPr>
          <w:b/>
          <w:bCs/>
          <w:iCs/>
        </w:rPr>
        <w:t>Due to BIR, GSIS, Pag-IBIG and PhilHealth</w:t>
      </w:r>
    </w:p>
    <w:p>
      <w:pPr>
        <w:tabs>
          <w:tab w:val="left" w:pos="720"/>
          <w:tab w:val="left" w:pos="1080"/>
        </w:tabs>
        <w:jc w:val="both"/>
        <w:rPr>
          <w:b/>
          <w:iCs/>
        </w:rPr>
      </w:pPr>
    </w:p>
    <w:p>
      <w:pPr>
        <w:pStyle w:val="ListParagraph"/>
        <w:numPr>
          <w:ilvl w:val="0"/>
          <w:numId w:val="1"/>
        </w:numPr>
        <w:tabs>
          <w:tab w:val="clear" w:pos="425"/>
          <w:tab w:val="left" w:pos="540"/>
        </w:tabs>
        <w:ind w:left="540" w:hanging="540"/>
        <w:jc w:val="both"/>
        <w:rPr>
          <w:color w:val="000000"/>
          <w:lang w:val="en-PH"/>
        </w:rPr>
      </w:pPr>
      <w:r>
        <w:rPr>
          <w:color w:val="000000"/>
          <w:lang w:val="en-PH"/>
        </w:rPr>
        <w:t>T</w:t>
      </w:r>
      <w:r>
        <w:rPr>
          <w:color w:val="000000"/>
        </w:rPr>
        <w:t xml:space="preserve">he </w:t>
      </w:r>
      <w:r>
        <w:rPr>
          <w:color w:val="000000"/>
          <w:lang w:val="en-PH"/>
        </w:rPr>
        <w:t>status of remittances of amounts withheld for the accounts of the BIR, GSIS, PhilHealth and Pag-IBIG is in Table 12.</w:t>
      </w:r>
    </w:p>
    <w:p>
      <w:pPr>
        <w:pStyle w:val="ListParagraph"/>
        <w:tabs>
          <w:tab w:val="left" w:pos="425"/>
          <w:tab w:val="left" w:pos="540"/>
        </w:tabs>
        <w:ind w:left="540"/>
        <w:jc w:val="both"/>
        <w:rPr>
          <w:color w:val="000000"/>
          <w:lang w:val="en-PH"/>
        </w:rPr>
      </w:pPr>
    </w:p>
    <w:p>
      <w:pPr>
        <w:ind w:left="540"/>
        <w:jc w:val="both"/>
        <w:rPr>
          <w:color w:val="000000"/>
          <w:sz w:val="20"/>
          <w:szCs w:val="20"/>
        </w:rPr>
      </w:pPr>
      <w:r>
        <w:rPr>
          <w:rFonts w:eastAsia="SimSun"/>
          <w:color w:val="000000"/>
          <w:sz w:val="20"/>
          <w:szCs w:val="20"/>
          <w:lang w:val="en-PH" w:eastAsia="zh-CN"/>
        </w:rPr>
        <w:t>Table 12 - S</w:t>
      </w:r>
      <w:r>
        <w:rPr>
          <w:color w:val="000000"/>
          <w:sz w:val="20"/>
          <w:szCs w:val="20"/>
          <w:lang w:val="en-PH"/>
        </w:rPr>
        <w:t>tatus of Remittances of Amounts Withheld for the Accounts of the BIR, GSIS, PhilHealth and Pag-IBIG</w:t>
      </w:r>
    </w:p>
    <w:tbl>
      <w:tblPr>
        <w:tblW w:w="8816" w:type="dxa"/>
        <w:tblInd w:w="279" w:type="dxa"/>
        <w:tblLook w:val="04A0" w:firstRow="1" w:lastRow="0" w:firstColumn="1" w:lastColumn="0" w:noHBand="0" w:noVBand="1"/>
      </w:tblPr>
      <w:tblGrid>
        <w:gridCol w:w="2693"/>
        <w:gridCol w:w="1578"/>
        <w:gridCol w:w="1578"/>
        <w:gridCol w:w="1478"/>
        <w:gridCol w:w="1489"/>
      </w:tblGrid>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center"/>
              <w:rPr>
                <w:b/>
                <w:bCs/>
                <w:color w:val="000000"/>
                <w:sz w:val="20"/>
                <w:szCs w:val="20"/>
              </w:rPr>
            </w:pPr>
            <w:r>
              <w:rPr>
                <w:rFonts w:eastAsia="SimSun"/>
                <w:b/>
                <w:bCs/>
                <w:color w:val="000000"/>
                <w:sz w:val="20"/>
                <w:szCs w:val="20"/>
                <w:lang w:eastAsia="zh-CN"/>
              </w:rPr>
              <w:t>Month</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center"/>
              <w:rPr>
                <w:b/>
                <w:bCs/>
                <w:color w:val="000000"/>
                <w:sz w:val="20"/>
                <w:szCs w:val="20"/>
              </w:rPr>
            </w:pPr>
            <w:r>
              <w:rPr>
                <w:rFonts w:eastAsia="SimSun"/>
                <w:b/>
                <w:bCs/>
                <w:color w:val="000000"/>
                <w:sz w:val="20"/>
                <w:szCs w:val="20"/>
                <w:lang w:eastAsia="zh-CN"/>
              </w:rPr>
              <w:t>Due to BIR</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center"/>
              <w:rPr>
                <w:b/>
                <w:bCs/>
                <w:color w:val="000000"/>
                <w:sz w:val="20"/>
                <w:szCs w:val="20"/>
              </w:rPr>
            </w:pPr>
            <w:r>
              <w:rPr>
                <w:rFonts w:eastAsia="SimSun"/>
                <w:b/>
                <w:bCs/>
                <w:color w:val="000000"/>
                <w:sz w:val="20"/>
                <w:szCs w:val="20"/>
                <w:lang w:eastAsia="zh-CN"/>
              </w:rPr>
              <w:t>Due to GSIS</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center"/>
              <w:rPr>
                <w:b/>
                <w:bCs/>
                <w:color w:val="000000"/>
                <w:sz w:val="20"/>
                <w:szCs w:val="20"/>
              </w:rPr>
            </w:pPr>
            <w:r>
              <w:rPr>
                <w:rFonts w:eastAsia="SimSun"/>
                <w:b/>
                <w:bCs/>
                <w:color w:val="000000"/>
                <w:sz w:val="20"/>
                <w:szCs w:val="20"/>
                <w:lang w:eastAsia="zh-CN"/>
              </w:rPr>
              <w:t>Due to PhilHealth</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center"/>
              <w:rPr>
                <w:rFonts w:eastAsia="SimSun"/>
                <w:b/>
                <w:bCs/>
                <w:color w:val="000000"/>
                <w:sz w:val="20"/>
                <w:szCs w:val="20"/>
                <w:lang w:eastAsia="zh-CN"/>
              </w:rPr>
            </w:pPr>
            <w:r>
              <w:rPr>
                <w:rFonts w:eastAsia="SimSun"/>
                <w:b/>
                <w:bCs/>
                <w:color w:val="000000"/>
                <w:sz w:val="20"/>
                <w:szCs w:val="20"/>
                <w:lang w:eastAsia="zh-CN"/>
              </w:rPr>
              <w:t xml:space="preserve">Due to </w:t>
            </w:r>
          </w:p>
          <w:p>
            <w:pPr>
              <w:jc w:val="center"/>
              <w:textAlignment w:val="center"/>
              <w:rPr>
                <w:b/>
                <w:bCs/>
                <w:color w:val="000000"/>
                <w:sz w:val="20"/>
                <w:szCs w:val="20"/>
              </w:rPr>
            </w:pPr>
            <w:r>
              <w:rPr>
                <w:rFonts w:eastAsia="SimSun"/>
                <w:b/>
                <w:bCs/>
                <w:color w:val="000000"/>
                <w:sz w:val="20"/>
                <w:szCs w:val="20"/>
                <w:lang w:eastAsia="zh-CN"/>
              </w:rPr>
              <w:t>Pag</w:t>
            </w:r>
            <w:r>
              <w:rPr>
                <w:rFonts w:eastAsia="SimSun"/>
                <w:b/>
                <w:bCs/>
                <w:color w:val="000000"/>
                <w:sz w:val="20"/>
                <w:szCs w:val="20"/>
                <w:lang w:val="en-PH" w:eastAsia="zh-CN"/>
              </w:rPr>
              <w:t>-</w:t>
            </w:r>
            <w:r>
              <w:rPr>
                <w:rFonts w:eastAsia="SimSun"/>
                <w:b/>
                <w:bCs/>
                <w:color w:val="000000"/>
                <w:sz w:val="20"/>
                <w:szCs w:val="20"/>
                <w:lang w:eastAsia="zh-CN"/>
              </w:rPr>
              <w:t>IBIG</w:t>
            </w:r>
          </w:p>
        </w:tc>
      </w:tr>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textAlignment w:val="top"/>
              <w:rPr>
                <w:color w:val="000000"/>
                <w:sz w:val="20"/>
                <w:szCs w:val="20"/>
              </w:rPr>
            </w:pPr>
            <w:r>
              <w:rPr>
                <w:rFonts w:eastAsia="SimSun"/>
                <w:color w:val="000000"/>
                <w:sz w:val="20"/>
                <w:szCs w:val="20"/>
                <w:lang w:eastAsia="zh-CN"/>
              </w:rPr>
              <w:t>Balance, 31 December 2019</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color w:val="000000"/>
                <w:sz w:val="20"/>
                <w:szCs w:val="20"/>
              </w:rPr>
              <w:t>P115,803,991.72</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sz w:val="20"/>
                <w:szCs w:val="20"/>
              </w:rPr>
              <w:t xml:space="preserve">P138,952,387.85 </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sz w:val="20"/>
                <w:szCs w:val="20"/>
              </w:rPr>
              <w:t xml:space="preserve">P19,528,811.54 </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sz w:val="20"/>
                <w:szCs w:val="20"/>
              </w:rPr>
              <w:t xml:space="preserve">P11,565,684.82 </w:t>
            </w:r>
          </w:p>
        </w:tc>
      </w:tr>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textAlignment w:val="top"/>
              <w:rPr>
                <w:color w:val="000000"/>
                <w:sz w:val="20"/>
                <w:szCs w:val="20"/>
              </w:rPr>
            </w:pPr>
            <w:r>
              <w:rPr>
                <w:rFonts w:eastAsia="SimSun"/>
                <w:color w:val="000000"/>
                <w:sz w:val="20"/>
                <w:szCs w:val="20"/>
                <w:lang w:eastAsia="zh-CN"/>
              </w:rPr>
              <w:t>Amount Withheld in 2020</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color w:val="000000"/>
                <w:sz w:val="20"/>
                <w:szCs w:val="20"/>
              </w:rPr>
              <w:t>833,054,244.54</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sz w:val="20"/>
                <w:szCs w:val="20"/>
              </w:rPr>
              <w:t xml:space="preserve">853,108,677.82 </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sz w:val="20"/>
                <w:szCs w:val="20"/>
              </w:rPr>
              <w:t xml:space="preserve">81,011,378.12 </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sz w:val="20"/>
                <w:szCs w:val="20"/>
              </w:rPr>
              <w:t xml:space="preserve">66,407,705.02 </w:t>
            </w:r>
          </w:p>
        </w:tc>
      </w:tr>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textAlignment w:val="top"/>
              <w:rPr>
                <w:color w:val="000000"/>
                <w:sz w:val="20"/>
                <w:szCs w:val="20"/>
              </w:rPr>
            </w:pPr>
            <w:r>
              <w:rPr>
                <w:rFonts w:eastAsia="SimSun"/>
                <w:color w:val="000000"/>
                <w:sz w:val="20"/>
                <w:szCs w:val="20"/>
                <w:lang w:eastAsia="zh-CN"/>
              </w:rPr>
              <w:t>Amount Remitted in 2020</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color w:val="000000"/>
                <w:sz w:val="20"/>
                <w:szCs w:val="20"/>
              </w:rPr>
              <w:t>724,639,494.37</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color w:val="000000"/>
                <w:sz w:val="20"/>
                <w:szCs w:val="20"/>
              </w:rPr>
              <w:t>884,373,742.93</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color w:val="000000"/>
                <w:sz w:val="20"/>
                <w:szCs w:val="20"/>
              </w:rPr>
              <w:t>76,574,007.47</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rPr>
                <w:color w:val="000000"/>
                <w:sz w:val="20"/>
                <w:szCs w:val="20"/>
              </w:rPr>
            </w:pPr>
            <w:r>
              <w:rPr>
                <w:color w:val="000000"/>
                <w:sz w:val="20"/>
                <w:szCs w:val="20"/>
              </w:rPr>
              <w:t>38,927,752.66</w:t>
            </w:r>
          </w:p>
        </w:tc>
      </w:tr>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textAlignment w:val="top"/>
              <w:rPr>
                <w:b/>
                <w:bCs/>
                <w:color w:val="000000"/>
                <w:sz w:val="20"/>
                <w:szCs w:val="20"/>
              </w:rPr>
            </w:pPr>
            <w:r>
              <w:rPr>
                <w:rFonts w:eastAsia="SimSun"/>
                <w:b/>
                <w:bCs/>
                <w:color w:val="000000"/>
                <w:sz w:val="20"/>
                <w:szCs w:val="20"/>
                <w:lang w:eastAsia="zh-CN"/>
              </w:rPr>
              <w:t>Balance, 31 December 2020</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textAlignment w:val="top"/>
              <w:rPr>
                <w:b/>
                <w:bCs/>
                <w:color w:val="000000"/>
                <w:sz w:val="20"/>
                <w:szCs w:val="20"/>
              </w:rPr>
            </w:pPr>
            <w:r>
              <w:rPr>
                <w:b/>
                <w:bCs/>
                <w:color w:val="000000"/>
                <w:sz w:val="20"/>
                <w:szCs w:val="20"/>
              </w:rPr>
              <w:t>224,218,741.89</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textAlignment w:val="top"/>
              <w:rPr>
                <w:b/>
                <w:bCs/>
                <w:color w:val="000000"/>
                <w:sz w:val="20"/>
                <w:szCs w:val="20"/>
              </w:rPr>
            </w:pPr>
            <w:r>
              <w:rPr>
                <w:b/>
                <w:bCs/>
                <w:color w:val="000000"/>
                <w:sz w:val="20"/>
                <w:szCs w:val="20"/>
              </w:rPr>
              <w:t>107,687,322.74</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textAlignment w:val="top"/>
              <w:rPr>
                <w:b/>
                <w:bCs/>
                <w:color w:val="000000"/>
                <w:sz w:val="20"/>
                <w:szCs w:val="20"/>
              </w:rPr>
            </w:pPr>
            <w:r>
              <w:rPr>
                <w:b/>
                <w:bCs/>
                <w:color w:val="000000"/>
                <w:sz w:val="20"/>
                <w:szCs w:val="20"/>
              </w:rPr>
              <w:t>23,966,182.19</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right"/>
              <w:textAlignment w:val="top"/>
              <w:rPr>
                <w:b/>
                <w:bCs/>
                <w:color w:val="000000"/>
                <w:sz w:val="20"/>
                <w:szCs w:val="20"/>
              </w:rPr>
            </w:pPr>
            <w:r>
              <w:rPr>
                <w:rFonts w:eastAsia="SimSun"/>
                <w:b/>
                <w:bCs/>
                <w:color w:val="000000"/>
                <w:sz w:val="20"/>
                <w:szCs w:val="20"/>
                <w:lang w:eastAsia="zh-CN"/>
              </w:rPr>
              <w:t xml:space="preserve">39,045,637.18    </w:t>
            </w:r>
          </w:p>
        </w:tc>
      </w:tr>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textAlignment w:val="top"/>
              <w:rPr>
                <w:color w:val="000000"/>
                <w:sz w:val="20"/>
                <w:szCs w:val="20"/>
              </w:rPr>
            </w:pPr>
            <w:r>
              <w:rPr>
                <w:rFonts w:eastAsia="SimSun"/>
                <w:color w:val="000000"/>
                <w:sz w:val="20"/>
                <w:szCs w:val="20"/>
                <w:lang w:eastAsia="zh-CN"/>
              </w:rPr>
              <w:t>Remittance in Jan.-May 2021, Jan.-Feb. 2021, Jan.-Apr. 2021 and Jan.-Jul. 2021, respectively</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bottom"/>
              <w:rPr>
                <w:color w:val="000000"/>
                <w:sz w:val="20"/>
                <w:szCs w:val="20"/>
              </w:rPr>
            </w:pPr>
            <w:r>
              <w:rPr>
                <w:rFonts w:eastAsia="SimSun"/>
                <w:color w:val="000000"/>
                <w:sz w:val="20"/>
                <w:szCs w:val="20"/>
                <w:lang w:eastAsia="zh-CN"/>
              </w:rPr>
              <w:t>200,748,402.70</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bottom"/>
              <w:rPr>
                <w:color w:val="000000"/>
                <w:sz w:val="20"/>
                <w:szCs w:val="20"/>
              </w:rPr>
            </w:pPr>
            <w:r>
              <w:rPr>
                <w:rFonts w:eastAsia="SimSun"/>
                <w:color w:val="000000"/>
                <w:sz w:val="20"/>
                <w:szCs w:val="20"/>
                <w:lang w:eastAsia="zh-CN"/>
              </w:rPr>
              <w:t>103,851,793.66</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bottom"/>
              <w:rPr>
                <w:color w:val="000000"/>
                <w:sz w:val="20"/>
                <w:szCs w:val="20"/>
              </w:rPr>
            </w:pPr>
            <w:r>
              <w:rPr>
                <w:rFonts w:eastAsia="SimSun"/>
                <w:color w:val="000000"/>
                <w:sz w:val="20"/>
                <w:szCs w:val="20"/>
                <w:lang w:eastAsia="zh-CN"/>
              </w:rPr>
              <w:t>20,957,658.74</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textAlignment w:val="bottom"/>
              <w:rPr>
                <w:color w:val="000000"/>
                <w:sz w:val="20"/>
                <w:szCs w:val="20"/>
              </w:rPr>
            </w:pPr>
            <w:r>
              <w:rPr>
                <w:rFonts w:eastAsia="SimSun"/>
                <w:color w:val="000000"/>
                <w:sz w:val="20"/>
                <w:szCs w:val="20"/>
                <w:lang w:eastAsia="zh-CN"/>
              </w:rPr>
              <w:t>23,467,727.53</w:t>
            </w:r>
          </w:p>
        </w:tc>
      </w:tr>
      <w:tr>
        <w:trPr>
          <w:trHeight w:val="300"/>
        </w:trPr>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pPr>
              <w:textAlignment w:val="top"/>
              <w:rPr>
                <w:b/>
                <w:bCs/>
                <w:color w:val="000000"/>
                <w:sz w:val="20"/>
                <w:szCs w:val="20"/>
              </w:rPr>
            </w:pPr>
            <w:r>
              <w:rPr>
                <w:rFonts w:eastAsia="SimSun"/>
                <w:b/>
                <w:bCs/>
                <w:color w:val="000000"/>
                <w:sz w:val="20"/>
                <w:szCs w:val="20"/>
                <w:lang w:eastAsia="zh-CN"/>
              </w:rPr>
              <w:t>Unremitted Amount</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bottom"/>
          </w:tcPr>
          <w:p>
            <w:pPr>
              <w:jc w:val="right"/>
              <w:textAlignment w:val="bottom"/>
              <w:rPr>
                <w:b/>
                <w:bCs/>
                <w:color w:val="000000"/>
                <w:sz w:val="20"/>
                <w:szCs w:val="20"/>
              </w:rPr>
            </w:pPr>
            <w:r>
              <w:rPr>
                <w:rFonts w:eastAsia="SimSun"/>
                <w:b/>
                <w:bCs/>
                <w:color w:val="000000"/>
                <w:sz w:val="20"/>
                <w:szCs w:val="20"/>
                <w:lang w:eastAsia="zh-CN"/>
              </w:rPr>
              <w:t>P23,470,339.19</w:t>
            </w:r>
          </w:p>
        </w:tc>
        <w:tc>
          <w:tcPr>
            <w:tcW w:w="1578" w:type="dxa"/>
            <w:tcBorders>
              <w:top w:val="single" w:sz="4" w:space="0" w:color="000000"/>
              <w:left w:val="single" w:sz="4" w:space="0" w:color="000000"/>
              <w:bottom w:val="single" w:sz="4" w:space="0" w:color="000000"/>
              <w:right w:val="single" w:sz="4" w:space="0" w:color="000000"/>
            </w:tcBorders>
            <w:shd w:val="clear" w:color="auto" w:fill="auto"/>
            <w:vAlign w:val="bottom"/>
          </w:tcPr>
          <w:p>
            <w:pPr>
              <w:jc w:val="right"/>
              <w:textAlignment w:val="bottom"/>
              <w:rPr>
                <w:b/>
                <w:bCs/>
                <w:color w:val="000000"/>
                <w:sz w:val="20"/>
                <w:szCs w:val="20"/>
              </w:rPr>
            </w:pPr>
            <w:r>
              <w:rPr>
                <w:rFonts w:eastAsia="SimSun"/>
                <w:b/>
                <w:bCs/>
                <w:color w:val="000000"/>
                <w:sz w:val="20"/>
                <w:szCs w:val="20"/>
                <w:lang w:eastAsia="zh-CN"/>
              </w:rPr>
              <w:t>P3,835,529.08</w:t>
            </w:r>
          </w:p>
        </w:tc>
        <w:tc>
          <w:tcPr>
            <w:tcW w:w="1478" w:type="dxa"/>
            <w:tcBorders>
              <w:top w:val="single" w:sz="4" w:space="0" w:color="000000"/>
              <w:left w:val="single" w:sz="4" w:space="0" w:color="000000"/>
              <w:bottom w:val="single" w:sz="4" w:space="0" w:color="000000"/>
              <w:right w:val="single" w:sz="4" w:space="0" w:color="000000"/>
            </w:tcBorders>
            <w:shd w:val="clear" w:color="auto" w:fill="auto"/>
            <w:vAlign w:val="bottom"/>
          </w:tcPr>
          <w:p>
            <w:pPr>
              <w:jc w:val="right"/>
              <w:textAlignment w:val="bottom"/>
              <w:rPr>
                <w:b/>
                <w:bCs/>
                <w:color w:val="000000"/>
                <w:sz w:val="20"/>
                <w:szCs w:val="20"/>
              </w:rPr>
            </w:pPr>
            <w:r>
              <w:rPr>
                <w:rFonts w:eastAsia="SimSun"/>
                <w:b/>
                <w:bCs/>
                <w:color w:val="000000"/>
                <w:sz w:val="20"/>
                <w:szCs w:val="20"/>
                <w:lang w:eastAsia="zh-CN"/>
              </w:rPr>
              <w:t>P3,008,523.45</w:t>
            </w:r>
          </w:p>
        </w:tc>
        <w:tc>
          <w:tcPr>
            <w:tcW w:w="1489" w:type="dxa"/>
            <w:tcBorders>
              <w:top w:val="single" w:sz="4" w:space="0" w:color="000000"/>
              <w:left w:val="single" w:sz="4" w:space="0" w:color="000000"/>
              <w:bottom w:val="single" w:sz="4" w:space="0" w:color="000000"/>
              <w:right w:val="single" w:sz="4" w:space="0" w:color="000000"/>
            </w:tcBorders>
            <w:shd w:val="clear" w:color="auto" w:fill="auto"/>
            <w:vAlign w:val="bottom"/>
          </w:tcPr>
          <w:p>
            <w:pPr>
              <w:jc w:val="right"/>
              <w:textAlignment w:val="bottom"/>
              <w:rPr>
                <w:b/>
                <w:bCs/>
                <w:color w:val="000000"/>
                <w:sz w:val="20"/>
                <w:szCs w:val="20"/>
              </w:rPr>
            </w:pPr>
            <w:r>
              <w:rPr>
                <w:rFonts w:eastAsia="SimSun"/>
                <w:b/>
                <w:bCs/>
                <w:color w:val="000000"/>
                <w:sz w:val="20"/>
                <w:szCs w:val="20"/>
                <w:lang w:eastAsia="zh-CN"/>
              </w:rPr>
              <w:t>P15,577,909.65</w:t>
            </w:r>
          </w:p>
        </w:tc>
      </w:tr>
    </w:tbl>
    <w:p>
      <w:pPr>
        <w:ind w:firstLine="567"/>
        <w:jc w:val="both"/>
        <w:rPr>
          <w:color w:val="000000"/>
        </w:rPr>
      </w:pPr>
    </w:p>
    <w:p>
      <w:pPr>
        <w:pStyle w:val="ListParagraph"/>
        <w:numPr>
          <w:ilvl w:val="1"/>
          <w:numId w:val="1"/>
        </w:numPr>
        <w:tabs>
          <w:tab w:val="left" w:pos="1200"/>
        </w:tabs>
        <w:ind w:left="1080" w:hanging="540"/>
        <w:jc w:val="both"/>
        <w:rPr>
          <w:color w:val="000000"/>
        </w:rPr>
      </w:pPr>
      <w:r>
        <w:rPr>
          <w:color w:val="000000"/>
          <w:lang w:val="en-PH"/>
        </w:rPr>
        <w:t xml:space="preserve">The unremitted amount to GSIS represents the exception reports from the GSIS - Electronic </w:t>
      </w:r>
      <w:r>
        <w:rPr>
          <w:color w:val="000000"/>
        </w:rPr>
        <w:t>Billing and Collection System (EBCS)</w:t>
      </w:r>
      <w:r>
        <w:rPr>
          <w:color w:val="000000"/>
          <w:lang w:val="en-PH"/>
        </w:rPr>
        <w:t xml:space="preserve">. The system </w:t>
      </w:r>
      <w:r>
        <w:rPr>
          <w:color w:val="000000"/>
        </w:rPr>
        <w:t>validat</w:t>
      </w:r>
      <w:r>
        <w:rPr>
          <w:color w:val="000000"/>
          <w:lang w:val="en-PH"/>
        </w:rPr>
        <w:t>es the</w:t>
      </w:r>
      <w:r>
        <w:rPr>
          <w:color w:val="000000"/>
        </w:rPr>
        <w:t xml:space="preserve"> Electronic Remittance File (ERF) member records against the GSIS database thru its GSIS matching rules such as</w:t>
      </w:r>
      <w:r>
        <w:rPr>
          <w:color w:val="000000"/>
          <w:lang w:val="en-PH"/>
        </w:rPr>
        <w:t xml:space="preserve"> the ones in Table 13. It does NOT process the remittances appertaining to the exceptions determined by these rules until resolved. The CGM is regularly working with GSIS to resolve these exceptions.</w:t>
      </w:r>
    </w:p>
    <w:p>
      <w:pPr>
        <w:pStyle w:val="ListParagraph"/>
        <w:tabs>
          <w:tab w:val="left" w:pos="1200"/>
        </w:tabs>
        <w:ind w:left="540"/>
        <w:jc w:val="both"/>
        <w:rPr>
          <w:color w:val="000000"/>
        </w:rPr>
      </w:pPr>
    </w:p>
    <w:p>
      <w:pPr>
        <w:pStyle w:val="ListParagraph"/>
        <w:tabs>
          <w:tab w:val="left" w:pos="1200"/>
        </w:tabs>
        <w:ind w:left="540" w:firstLine="540"/>
        <w:jc w:val="both"/>
        <w:rPr>
          <w:color w:val="000000"/>
          <w:sz w:val="20"/>
          <w:szCs w:val="20"/>
        </w:rPr>
      </w:pPr>
      <w:r>
        <w:rPr>
          <w:color w:val="000000"/>
          <w:sz w:val="20"/>
          <w:szCs w:val="20"/>
        </w:rPr>
        <w:t>Table 13 - Matching Rules of the GSIS - EBCS</w:t>
      </w:r>
    </w:p>
    <w:tbl>
      <w:tblPr>
        <w:tblStyle w:val="TableGrid"/>
        <w:tblW w:w="0" w:type="auto"/>
        <w:tblInd w:w="1075" w:type="dxa"/>
        <w:tblLook w:val="04A0" w:firstRow="1" w:lastRow="0" w:firstColumn="1" w:lastColumn="0" w:noHBand="0" w:noVBand="1"/>
      </w:tblPr>
      <w:tblGrid>
        <w:gridCol w:w="3510"/>
        <w:gridCol w:w="4045"/>
      </w:tblGrid>
      <w:tr>
        <w:trPr>
          <w:tblHeader/>
        </w:trPr>
        <w:tc>
          <w:tcPr>
            <w:tcW w:w="3510" w:type="dxa"/>
          </w:tcPr>
          <w:p>
            <w:pPr>
              <w:pStyle w:val="ListParagraph"/>
              <w:tabs>
                <w:tab w:val="left" w:pos="1200"/>
              </w:tabs>
              <w:ind w:left="0"/>
              <w:jc w:val="center"/>
              <w:rPr>
                <w:b/>
                <w:bCs/>
                <w:color w:val="000000"/>
                <w:sz w:val="20"/>
                <w:szCs w:val="20"/>
              </w:rPr>
            </w:pPr>
            <w:r>
              <w:rPr>
                <w:b/>
                <w:bCs/>
                <w:sz w:val="20"/>
                <w:szCs w:val="20"/>
              </w:rPr>
              <w:t>Exception Report</w:t>
            </w:r>
          </w:p>
        </w:tc>
        <w:tc>
          <w:tcPr>
            <w:tcW w:w="4045" w:type="dxa"/>
          </w:tcPr>
          <w:p>
            <w:pPr>
              <w:pStyle w:val="ListParagraph"/>
              <w:tabs>
                <w:tab w:val="left" w:pos="1200"/>
              </w:tabs>
              <w:ind w:left="0"/>
              <w:jc w:val="center"/>
              <w:rPr>
                <w:b/>
                <w:bCs/>
                <w:color w:val="000000"/>
                <w:sz w:val="20"/>
                <w:szCs w:val="20"/>
              </w:rPr>
            </w:pPr>
            <w:r>
              <w:rPr>
                <w:b/>
                <w:bCs/>
                <w:sz w:val="20"/>
                <w:szCs w:val="20"/>
              </w:rPr>
              <w:t>Case</w:t>
            </w:r>
          </w:p>
        </w:tc>
      </w:tr>
      <w:tr>
        <w:tc>
          <w:tcPr>
            <w:tcW w:w="3510" w:type="dxa"/>
            <w:vMerge w:val="restart"/>
          </w:tcPr>
          <w:p>
            <w:pPr>
              <w:pStyle w:val="ListParagraph"/>
              <w:tabs>
                <w:tab w:val="left" w:pos="1200"/>
              </w:tabs>
              <w:ind w:left="0"/>
              <w:jc w:val="both"/>
              <w:rPr>
                <w:color w:val="000000"/>
                <w:sz w:val="20"/>
                <w:szCs w:val="20"/>
              </w:rPr>
            </w:pPr>
            <w:r>
              <w:rPr>
                <w:sz w:val="20"/>
                <w:szCs w:val="20"/>
              </w:rPr>
              <w:t>1. Unmatched Names</w:t>
            </w:r>
          </w:p>
        </w:tc>
        <w:tc>
          <w:tcPr>
            <w:tcW w:w="4045" w:type="dxa"/>
          </w:tcPr>
          <w:p>
            <w:pPr>
              <w:pStyle w:val="ListParagraph"/>
              <w:tabs>
                <w:tab w:val="left" w:pos="1200"/>
              </w:tabs>
              <w:ind w:left="0"/>
              <w:jc w:val="both"/>
              <w:rPr>
                <w:color w:val="000000"/>
                <w:sz w:val="20"/>
                <w:szCs w:val="20"/>
              </w:rPr>
            </w:pPr>
            <w:r>
              <w:rPr>
                <w:sz w:val="20"/>
                <w:szCs w:val="20"/>
              </w:rPr>
              <w:t>Unmatched Name</w:t>
            </w:r>
          </w:p>
        </w:tc>
      </w:tr>
      <w:tr>
        <w:tc>
          <w:tcPr>
            <w:tcW w:w="3510" w:type="dxa"/>
            <w:vMerge/>
          </w:tcPr>
          <w:p>
            <w:pPr>
              <w:pStyle w:val="ListParagraph"/>
              <w:tabs>
                <w:tab w:val="left" w:pos="1200"/>
              </w:tabs>
              <w:ind w:left="0"/>
              <w:jc w:val="both"/>
              <w:rPr>
                <w:color w:val="000000"/>
                <w:sz w:val="20"/>
                <w:szCs w:val="20"/>
              </w:rPr>
            </w:pPr>
          </w:p>
        </w:tc>
        <w:tc>
          <w:tcPr>
            <w:tcW w:w="4045" w:type="dxa"/>
          </w:tcPr>
          <w:p>
            <w:pPr>
              <w:pStyle w:val="ListParagraph"/>
              <w:tabs>
                <w:tab w:val="left" w:pos="1200"/>
              </w:tabs>
              <w:ind w:left="0"/>
              <w:jc w:val="both"/>
              <w:rPr>
                <w:color w:val="000000"/>
                <w:sz w:val="20"/>
                <w:szCs w:val="20"/>
              </w:rPr>
            </w:pPr>
            <w:r>
              <w:rPr>
                <w:sz w:val="20"/>
                <w:szCs w:val="20"/>
              </w:rPr>
              <w:t>Inactive Member</w:t>
            </w:r>
          </w:p>
        </w:tc>
      </w:tr>
      <w:tr>
        <w:tc>
          <w:tcPr>
            <w:tcW w:w="3510" w:type="dxa"/>
            <w:vMerge/>
          </w:tcPr>
          <w:p>
            <w:pPr>
              <w:pStyle w:val="ListParagraph"/>
              <w:tabs>
                <w:tab w:val="left" w:pos="1200"/>
              </w:tabs>
              <w:ind w:left="0"/>
              <w:jc w:val="both"/>
              <w:rPr>
                <w:color w:val="000000"/>
                <w:sz w:val="20"/>
                <w:szCs w:val="20"/>
              </w:rPr>
            </w:pPr>
          </w:p>
        </w:tc>
        <w:tc>
          <w:tcPr>
            <w:tcW w:w="4045" w:type="dxa"/>
          </w:tcPr>
          <w:p>
            <w:pPr>
              <w:pStyle w:val="ListParagraph"/>
              <w:tabs>
                <w:tab w:val="left" w:pos="1200"/>
              </w:tabs>
              <w:ind w:left="0"/>
              <w:jc w:val="both"/>
              <w:rPr>
                <w:color w:val="000000"/>
                <w:sz w:val="20"/>
                <w:szCs w:val="20"/>
              </w:rPr>
            </w:pPr>
            <w:r>
              <w:rPr>
                <w:sz w:val="20"/>
                <w:szCs w:val="20"/>
              </w:rPr>
              <w:t>Inactive MSP</w:t>
            </w:r>
          </w:p>
        </w:tc>
      </w:tr>
      <w:tr>
        <w:tc>
          <w:tcPr>
            <w:tcW w:w="3510" w:type="dxa"/>
            <w:vMerge w:val="restart"/>
          </w:tcPr>
          <w:p>
            <w:pPr>
              <w:pStyle w:val="ListParagraph"/>
              <w:tabs>
                <w:tab w:val="left" w:pos="1200"/>
              </w:tabs>
              <w:ind w:left="0"/>
              <w:jc w:val="both"/>
              <w:rPr>
                <w:color w:val="000000"/>
                <w:sz w:val="20"/>
                <w:szCs w:val="20"/>
              </w:rPr>
            </w:pPr>
            <w:r>
              <w:rPr>
                <w:sz w:val="20"/>
                <w:szCs w:val="20"/>
              </w:rPr>
              <w:t>2. Clarificatory Report</w:t>
            </w:r>
          </w:p>
        </w:tc>
        <w:tc>
          <w:tcPr>
            <w:tcW w:w="4045" w:type="dxa"/>
          </w:tcPr>
          <w:p>
            <w:pPr>
              <w:pStyle w:val="ListParagraph"/>
              <w:tabs>
                <w:tab w:val="left" w:pos="1200"/>
              </w:tabs>
              <w:ind w:left="0"/>
              <w:jc w:val="both"/>
              <w:rPr>
                <w:color w:val="000000"/>
                <w:sz w:val="20"/>
                <w:szCs w:val="20"/>
              </w:rPr>
            </w:pPr>
            <w:r>
              <w:rPr>
                <w:sz w:val="20"/>
                <w:szCs w:val="20"/>
              </w:rPr>
              <w:t>New Member</w:t>
            </w:r>
          </w:p>
        </w:tc>
      </w:tr>
      <w:tr>
        <w:tc>
          <w:tcPr>
            <w:tcW w:w="3510" w:type="dxa"/>
            <w:vMerge/>
          </w:tcPr>
          <w:p>
            <w:pPr>
              <w:pStyle w:val="ListParagraph"/>
              <w:tabs>
                <w:tab w:val="left" w:pos="1200"/>
              </w:tabs>
              <w:ind w:left="0"/>
              <w:jc w:val="both"/>
              <w:rPr>
                <w:color w:val="000000"/>
                <w:sz w:val="20"/>
                <w:szCs w:val="20"/>
              </w:rPr>
            </w:pPr>
          </w:p>
        </w:tc>
        <w:tc>
          <w:tcPr>
            <w:tcW w:w="4045" w:type="dxa"/>
          </w:tcPr>
          <w:p>
            <w:pPr>
              <w:pStyle w:val="ListParagraph"/>
              <w:tabs>
                <w:tab w:val="left" w:pos="1200"/>
              </w:tabs>
              <w:ind w:left="0"/>
              <w:jc w:val="both"/>
              <w:rPr>
                <w:color w:val="000000"/>
                <w:sz w:val="20"/>
                <w:szCs w:val="20"/>
              </w:rPr>
            </w:pPr>
            <w:r>
              <w:rPr>
                <w:sz w:val="20"/>
                <w:szCs w:val="20"/>
              </w:rPr>
              <w:t>BP Member Match found in Other Agency</w:t>
            </w:r>
          </w:p>
        </w:tc>
      </w:tr>
      <w:tr>
        <w:tc>
          <w:tcPr>
            <w:tcW w:w="3510" w:type="dxa"/>
            <w:vMerge/>
          </w:tcPr>
          <w:p>
            <w:pPr>
              <w:pStyle w:val="ListParagraph"/>
              <w:tabs>
                <w:tab w:val="left" w:pos="1200"/>
              </w:tabs>
              <w:ind w:left="0"/>
              <w:jc w:val="both"/>
              <w:rPr>
                <w:color w:val="000000"/>
                <w:sz w:val="20"/>
                <w:szCs w:val="20"/>
              </w:rPr>
            </w:pPr>
          </w:p>
        </w:tc>
        <w:tc>
          <w:tcPr>
            <w:tcW w:w="4045" w:type="dxa"/>
          </w:tcPr>
          <w:p>
            <w:pPr>
              <w:pStyle w:val="ListParagraph"/>
              <w:tabs>
                <w:tab w:val="left" w:pos="1200"/>
              </w:tabs>
              <w:ind w:left="0"/>
              <w:jc w:val="both"/>
              <w:rPr>
                <w:color w:val="000000"/>
                <w:sz w:val="20"/>
                <w:szCs w:val="20"/>
              </w:rPr>
            </w:pPr>
            <w:r>
              <w:rPr>
                <w:sz w:val="20"/>
                <w:szCs w:val="20"/>
              </w:rPr>
              <w:t>Invalid BP Number found in ERF</w:t>
            </w:r>
          </w:p>
        </w:tc>
      </w:tr>
      <w:tr>
        <w:tc>
          <w:tcPr>
            <w:tcW w:w="3510" w:type="dxa"/>
            <w:vMerge/>
          </w:tcPr>
          <w:p>
            <w:pPr>
              <w:pStyle w:val="ListParagraph"/>
              <w:tabs>
                <w:tab w:val="left" w:pos="1200"/>
              </w:tabs>
              <w:ind w:left="0"/>
              <w:jc w:val="both"/>
              <w:rPr>
                <w:color w:val="000000"/>
                <w:sz w:val="20"/>
                <w:szCs w:val="20"/>
              </w:rPr>
            </w:pPr>
          </w:p>
        </w:tc>
        <w:tc>
          <w:tcPr>
            <w:tcW w:w="4045" w:type="dxa"/>
          </w:tcPr>
          <w:p>
            <w:pPr>
              <w:pStyle w:val="ListParagraph"/>
              <w:tabs>
                <w:tab w:val="left" w:pos="1200"/>
              </w:tabs>
              <w:ind w:left="0"/>
              <w:jc w:val="both"/>
              <w:rPr>
                <w:color w:val="000000"/>
                <w:sz w:val="20"/>
                <w:szCs w:val="20"/>
              </w:rPr>
            </w:pPr>
            <w:r>
              <w:rPr>
                <w:sz w:val="20"/>
                <w:szCs w:val="20"/>
              </w:rPr>
              <w:t>No Insurance Object found</w:t>
            </w:r>
          </w:p>
        </w:tc>
      </w:tr>
      <w:tr>
        <w:tc>
          <w:tcPr>
            <w:tcW w:w="3510" w:type="dxa"/>
            <w:vMerge w:val="restart"/>
          </w:tcPr>
          <w:p>
            <w:pPr>
              <w:pStyle w:val="ListParagraph"/>
              <w:tabs>
                <w:tab w:val="left" w:pos="1200"/>
              </w:tabs>
              <w:ind w:left="0"/>
              <w:jc w:val="both"/>
              <w:rPr>
                <w:color w:val="000000"/>
                <w:sz w:val="20"/>
                <w:szCs w:val="20"/>
              </w:rPr>
            </w:pPr>
            <w:r>
              <w:rPr>
                <w:sz w:val="20"/>
                <w:szCs w:val="20"/>
              </w:rPr>
              <w:t>3. Comparative Report</w:t>
            </w:r>
          </w:p>
        </w:tc>
        <w:tc>
          <w:tcPr>
            <w:tcW w:w="4045" w:type="dxa"/>
          </w:tcPr>
          <w:p>
            <w:pPr>
              <w:pStyle w:val="ListParagraph"/>
              <w:tabs>
                <w:tab w:val="left" w:pos="1200"/>
              </w:tabs>
              <w:ind w:left="0"/>
              <w:jc w:val="both"/>
              <w:rPr>
                <w:sz w:val="20"/>
                <w:szCs w:val="20"/>
              </w:rPr>
            </w:pPr>
            <w:r>
              <w:rPr>
                <w:sz w:val="20"/>
                <w:szCs w:val="20"/>
              </w:rPr>
              <w:t>Underpayment (-)</w:t>
            </w:r>
          </w:p>
        </w:tc>
      </w:tr>
      <w:tr>
        <w:tc>
          <w:tcPr>
            <w:tcW w:w="3510" w:type="dxa"/>
            <w:vMerge/>
          </w:tcPr>
          <w:p>
            <w:pPr>
              <w:pStyle w:val="ListParagraph"/>
              <w:tabs>
                <w:tab w:val="left" w:pos="1200"/>
              </w:tabs>
              <w:ind w:left="0"/>
              <w:jc w:val="both"/>
              <w:rPr>
                <w:color w:val="000000"/>
                <w:sz w:val="20"/>
                <w:szCs w:val="20"/>
              </w:rPr>
            </w:pPr>
          </w:p>
        </w:tc>
        <w:tc>
          <w:tcPr>
            <w:tcW w:w="4045" w:type="dxa"/>
          </w:tcPr>
          <w:p>
            <w:pPr>
              <w:pStyle w:val="ListParagraph"/>
              <w:tabs>
                <w:tab w:val="left" w:pos="1200"/>
              </w:tabs>
              <w:ind w:left="0"/>
              <w:jc w:val="both"/>
              <w:rPr>
                <w:sz w:val="20"/>
                <w:szCs w:val="20"/>
              </w:rPr>
            </w:pPr>
            <w:r>
              <w:rPr>
                <w:sz w:val="20"/>
                <w:szCs w:val="20"/>
              </w:rPr>
              <w:t>Overpayment (+)</w:t>
            </w:r>
          </w:p>
        </w:tc>
      </w:tr>
    </w:tbl>
    <w:p>
      <w:pPr>
        <w:jc w:val="both"/>
        <w:rPr>
          <w:color w:val="000000"/>
        </w:rPr>
      </w:pPr>
    </w:p>
    <w:p>
      <w:pPr>
        <w:pStyle w:val="ListParagraph"/>
        <w:numPr>
          <w:ilvl w:val="1"/>
          <w:numId w:val="1"/>
        </w:numPr>
        <w:tabs>
          <w:tab w:val="left" w:pos="1200"/>
        </w:tabs>
        <w:ind w:left="1080" w:hanging="540"/>
        <w:jc w:val="both"/>
      </w:pPr>
      <w:r>
        <w:t>Taking into account the unre</w:t>
      </w:r>
      <w:r>
        <w:rPr>
          <w:lang w:val="en-PH"/>
        </w:rPr>
        <w:t>solved exceptions/unre</w:t>
      </w:r>
      <w:r>
        <w:t xml:space="preserve">mitted balance, the City and GSIS entered into a Memorandum of Agreement on </w:t>
      </w:r>
      <w:r>
        <w:rPr>
          <w:lang w:val="en-PH"/>
        </w:rPr>
        <w:t xml:space="preserve">28 </w:t>
      </w:r>
      <w:r>
        <w:t>October 2020 for the former to pay within a period of 12 months starting on January 2021 the restructured obligation after the latter condoned 60 percent of the interest incurred from January 2012 to July 2019.</w:t>
      </w:r>
    </w:p>
    <w:p>
      <w:pPr>
        <w:pStyle w:val="ListParagraph"/>
        <w:tabs>
          <w:tab w:val="left" w:pos="425"/>
          <w:tab w:val="left" w:pos="1200"/>
          <w:tab w:val="left" w:pos="1377"/>
        </w:tabs>
        <w:ind w:left="1080"/>
        <w:jc w:val="both"/>
      </w:pPr>
    </w:p>
    <w:p>
      <w:pPr>
        <w:pStyle w:val="ListParagraph"/>
        <w:tabs>
          <w:tab w:val="left" w:pos="425"/>
          <w:tab w:val="left" w:pos="1200"/>
          <w:tab w:val="left" w:pos="1377"/>
        </w:tabs>
        <w:ind w:left="1080"/>
        <w:jc w:val="both"/>
      </w:pPr>
    </w:p>
    <w:p>
      <w:pPr>
        <w:rPr>
          <w:rFonts w:eastAsiaTheme="minorHAnsi"/>
          <w:b/>
          <w:bCs/>
        </w:rPr>
      </w:pPr>
      <w:r>
        <w:rPr>
          <w:b/>
          <w:bCs/>
        </w:rPr>
        <w:br w:type="page"/>
      </w:r>
    </w:p>
    <w:p>
      <w:pPr>
        <w:pStyle w:val="NoSpacing"/>
        <w:ind w:right="-149"/>
        <w:rPr>
          <w:rFonts w:ascii="Times New Roman" w:hAnsi="Times New Roman" w:cs="Times New Roman"/>
          <w:b/>
          <w:bCs/>
          <w:sz w:val="24"/>
          <w:szCs w:val="24"/>
          <w:u w:val="none"/>
        </w:rPr>
      </w:pPr>
      <w:r>
        <w:rPr>
          <w:rFonts w:ascii="Times New Roman" w:hAnsi="Times New Roman" w:cs="Times New Roman"/>
          <w:b/>
          <w:bCs/>
          <w:sz w:val="24"/>
          <w:szCs w:val="24"/>
          <w:u w:val="none"/>
        </w:rPr>
        <w:lastRenderedPageBreak/>
        <w:t>Settlement of Audit Suspensions, Disallowances and Charges</w:t>
      </w:r>
    </w:p>
    <w:p>
      <w:pPr>
        <w:pStyle w:val="NoSpacing"/>
        <w:rPr>
          <w:rFonts w:ascii="Times New Roman" w:hAnsi="Times New Roman" w:cs="Times New Roman"/>
          <w:sz w:val="24"/>
          <w:szCs w:val="24"/>
          <w:u w:val="none"/>
          <w:lang w:bidi="hi-IN"/>
        </w:rPr>
      </w:pPr>
    </w:p>
    <w:p>
      <w:pPr>
        <w:pStyle w:val="ListParagraph"/>
        <w:numPr>
          <w:ilvl w:val="0"/>
          <w:numId w:val="1"/>
        </w:numPr>
        <w:tabs>
          <w:tab w:val="clear" w:pos="425"/>
          <w:tab w:val="left" w:pos="540"/>
        </w:tabs>
        <w:ind w:left="540" w:hanging="540"/>
        <w:jc w:val="both"/>
        <w:rPr>
          <w:shd w:val="clear" w:color="auto" w:fill="FFFFFF"/>
        </w:rPr>
      </w:pPr>
      <w:r>
        <w:rPr>
          <w:shd w:val="clear" w:color="auto" w:fill="FFFFFF"/>
          <w:lang w:val="en-PH"/>
        </w:rPr>
        <w:t xml:space="preserve">The status of the </w:t>
      </w:r>
      <w:r>
        <w:rPr>
          <w:shd w:val="clear" w:color="auto" w:fill="FFFFFF"/>
        </w:rPr>
        <w:t>audit suspensions, disallowances and charges</w:t>
      </w:r>
      <w:r>
        <w:rPr>
          <w:shd w:val="clear" w:color="auto" w:fill="FFFFFF"/>
          <w:lang w:val="en-PH"/>
        </w:rPr>
        <w:t xml:space="preserve"> a</w:t>
      </w:r>
      <w:r>
        <w:rPr>
          <w:shd w:val="clear" w:color="auto" w:fill="FFFFFF"/>
        </w:rPr>
        <w:t xml:space="preserve">s of </w:t>
      </w:r>
      <w:r>
        <w:rPr>
          <w:shd w:val="clear" w:color="auto" w:fill="FFFFFF"/>
          <w:lang w:val="en-PH"/>
        </w:rPr>
        <w:t xml:space="preserve">31 </w:t>
      </w:r>
      <w:r>
        <w:rPr>
          <w:shd w:val="clear" w:color="auto" w:fill="FFFFFF"/>
        </w:rPr>
        <w:t>December 2020</w:t>
      </w:r>
      <w:r>
        <w:rPr>
          <w:shd w:val="clear" w:color="auto" w:fill="FFFFFF"/>
          <w:lang w:val="en-PH"/>
        </w:rPr>
        <w:t xml:space="preserve"> is in T</w:t>
      </w:r>
      <w:r>
        <w:rPr>
          <w:shd w:val="clear" w:color="auto" w:fill="FFFFFF"/>
        </w:rPr>
        <w:t>able</w:t>
      </w:r>
      <w:r>
        <w:rPr>
          <w:shd w:val="clear" w:color="auto" w:fill="FFFFFF"/>
          <w:lang w:val="en-PH"/>
        </w:rPr>
        <w:t xml:space="preserve"> 14</w:t>
      </w:r>
      <w:r>
        <w:rPr>
          <w:shd w:val="clear" w:color="auto" w:fill="FFFFFF"/>
        </w:rPr>
        <w:t>.</w:t>
      </w:r>
    </w:p>
    <w:p>
      <w:pPr>
        <w:pStyle w:val="NoSpacing"/>
        <w:tabs>
          <w:tab w:val="left" w:pos="0"/>
        </w:tabs>
        <w:jc w:val="both"/>
        <w:rPr>
          <w:rFonts w:ascii="Times New Roman" w:hAnsi="Times New Roman" w:cs="Times New Roman"/>
          <w:color w:val="FF0000"/>
          <w:sz w:val="24"/>
          <w:szCs w:val="24"/>
          <w:u w:val="none"/>
          <w:shd w:val="clear" w:color="auto" w:fill="FFFFFF"/>
        </w:rPr>
      </w:pPr>
      <w:r>
        <w:rPr>
          <w:rFonts w:ascii="Times New Roman" w:hAnsi="Times New Roman" w:cs="Times New Roman"/>
          <w:color w:val="FF0000"/>
          <w:sz w:val="24"/>
          <w:szCs w:val="24"/>
          <w:u w:val="none"/>
          <w:shd w:val="clear" w:color="auto" w:fill="FFFFFF"/>
        </w:rPr>
        <w:tab/>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1592"/>
        <w:gridCol w:w="1334"/>
        <w:gridCol w:w="1158"/>
        <w:gridCol w:w="1619"/>
      </w:tblGrid>
      <w:tr>
        <w:trPr>
          <w:tblHeader/>
          <w:jc w:val="center"/>
        </w:trPr>
        <w:tc>
          <w:tcPr>
            <w:tcW w:w="7574" w:type="dxa"/>
            <w:gridSpan w:val="5"/>
            <w:tcBorders>
              <w:top w:val="nil"/>
              <w:left w:val="nil"/>
              <w:bottom w:val="nil"/>
              <w:right w:val="nil"/>
            </w:tcBorders>
            <w:shd w:val="clear" w:color="auto" w:fill="auto"/>
            <w:vAlign w:val="center"/>
          </w:tcPr>
          <w:p>
            <w:pPr>
              <w:pStyle w:val="NoSpacing"/>
              <w:tabs>
                <w:tab w:val="left" w:pos="-41"/>
              </w:tabs>
              <w:ind w:hanging="41"/>
              <w:rPr>
                <w:rFonts w:ascii="Times New Roman" w:eastAsia="SimSun" w:hAnsi="Times New Roman" w:cs="Times New Roman"/>
                <w:bCs/>
                <w:color w:val="000000" w:themeColor="text1"/>
                <w:sz w:val="20"/>
                <w:szCs w:val="20"/>
                <w:u w:val="none"/>
                <w:shd w:val="clear" w:color="auto" w:fill="FFFFFF"/>
                <w:lang w:val="en-PH" w:eastAsia="en-PH"/>
              </w:rPr>
            </w:pPr>
            <w:r>
              <w:rPr>
                <w:rFonts w:ascii="Times New Roman" w:eastAsia="SimSun" w:hAnsi="Times New Roman" w:cs="Times New Roman"/>
                <w:bCs/>
                <w:color w:val="000000" w:themeColor="text1"/>
                <w:sz w:val="20"/>
                <w:szCs w:val="20"/>
                <w:u w:val="none"/>
                <w:shd w:val="clear" w:color="auto" w:fill="FFFFFF"/>
                <w:lang w:val="en-PH" w:eastAsia="en-PH"/>
              </w:rPr>
              <w:t>Table 1</w:t>
            </w:r>
            <w:r>
              <w:rPr>
                <w:rFonts w:ascii="Times New Roman" w:eastAsia="SimSun" w:hAnsi="Times New Roman" w:cs="Times New Roman"/>
                <w:bCs/>
                <w:color w:val="000000" w:themeColor="text1"/>
                <w:sz w:val="20"/>
                <w:szCs w:val="20"/>
                <w:u w:val="none"/>
                <w:shd w:val="clear" w:color="auto" w:fill="FFFFFF"/>
                <w:lang w:eastAsia="en-PH"/>
              </w:rPr>
              <w:t>4</w:t>
            </w:r>
            <w:r>
              <w:rPr>
                <w:rFonts w:ascii="Times New Roman" w:eastAsia="SimSun" w:hAnsi="Times New Roman" w:cs="Times New Roman"/>
                <w:bCs/>
                <w:color w:val="000000" w:themeColor="text1"/>
                <w:sz w:val="20"/>
                <w:szCs w:val="20"/>
                <w:u w:val="none"/>
                <w:shd w:val="clear" w:color="auto" w:fill="FFFFFF"/>
                <w:lang w:val="en-PH" w:eastAsia="en-PH"/>
              </w:rPr>
              <w:t xml:space="preserve"> - Audit Suspensions, Disallowances and Charges as of 31 December 2020</w:t>
            </w:r>
          </w:p>
        </w:tc>
      </w:tr>
      <w:tr>
        <w:trPr>
          <w:tblHeader/>
          <w:jc w:val="center"/>
        </w:trPr>
        <w:tc>
          <w:tcPr>
            <w:tcW w:w="1871" w:type="dxa"/>
            <w:vMerge w:val="restart"/>
            <w:tcBorders>
              <w:top w:val="single" w:sz="4" w:space="0" w:color="auto"/>
            </w:tcBorders>
            <w:shd w:val="clear" w:color="auto" w:fill="auto"/>
            <w:vAlign w:val="center"/>
          </w:tcPr>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Particulars</w:t>
            </w:r>
          </w:p>
        </w:tc>
        <w:tc>
          <w:tcPr>
            <w:tcW w:w="1592" w:type="dxa"/>
            <w:vMerge w:val="restart"/>
            <w:tcBorders>
              <w:top w:val="single" w:sz="4" w:space="0" w:color="auto"/>
            </w:tcBorders>
            <w:shd w:val="clear" w:color="auto" w:fill="auto"/>
            <w:vAlign w:val="center"/>
          </w:tcPr>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Beginning</w:t>
            </w:r>
          </w:p>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Balance</w:t>
            </w:r>
          </w:p>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01/01/2020</w:t>
            </w:r>
          </w:p>
        </w:tc>
        <w:tc>
          <w:tcPr>
            <w:tcW w:w="2492" w:type="dxa"/>
            <w:gridSpan w:val="2"/>
            <w:tcBorders>
              <w:top w:val="single" w:sz="4" w:space="0" w:color="auto"/>
            </w:tcBorders>
            <w:shd w:val="clear" w:color="auto" w:fill="auto"/>
            <w:vAlign w:val="center"/>
          </w:tcPr>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January 1 to December 31</w:t>
            </w:r>
          </w:p>
        </w:tc>
        <w:tc>
          <w:tcPr>
            <w:tcW w:w="1619" w:type="dxa"/>
            <w:vMerge w:val="restart"/>
            <w:tcBorders>
              <w:top w:val="single" w:sz="4" w:space="0" w:color="auto"/>
            </w:tcBorders>
            <w:shd w:val="clear" w:color="auto" w:fill="auto"/>
            <w:vAlign w:val="center"/>
          </w:tcPr>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Ending</w:t>
            </w:r>
          </w:p>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Balance</w:t>
            </w:r>
          </w:p>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12/31/2020</w:t>
            </w:r>
          </w:p>
        </w:tc>
      </w:tr>
      <w:tr>
        <w:trPr>
          <w:trHeight w:val="296"/>
          <w:tblHeader/>
          <w:jc w:val="center"/>
        </w:trPr>
        <w:tc>
          <w:tcPr>
            <w:tcW w:w="1871" w:type="dxa"/>
            <w:vMerge/>
            <w:shd w:val="clear" w:color="auto" w:fill="auto"/>
            <w:vAlign w:val="center"/>
          </w:tcPr>
          <w:p>
            <w:pPr>
              <w:pStyle w:val="NoSpacing"/>
              <w:tabs>
                <w:tab w:val="left" w:pos="0"/>
              </w:tabs>
              <w:jc w:val="center"/>
              <w:rPr>
                <w:rFonts w:ascii="Times New Roman" w:eastAsia="SimSun" w:hAnsi="Times New Roman" w:cs="Times New Roman"/>
                <w:b/>
                <w:color w:val="000000" w:themeColor="text1"/>
                <w:sz w:val="20"/>
                <w:szCs w:val="20"/>
                <w:u w:val="none"/>
                <w:shd w:val="clear" w:color="auto" w:fill="FFFFFF"/>
                <w:lang w:val="en-PH" w:eastAsia="en-PH"/>
              </w:rPr>
            </w:pPr>
          </w:p>
        </w:tc>
        <w:tc>
          <w:tcPr>
            <w:tcW w:w="1592" w:type="dxa"/>
            <w:vMerge/>
            <w:shd w:val="clear" w:color="auto" w:fill="auto"/>
            <w:vAlign w:val="center"/>
          </w:tcPr>
          <w:p>
            <w:pPr>
              <w:pStyle w:val="NoSpacing"/>
              <w:tabs>
                <w:tab w:val="left" w:pos="0"/>
              </w:tabs>
              <w:jc w:val="center"/>
              <w:rPr>
                <w:rFonts w:ascii="Times New Roman" w:eastAsia="SimSun" w:hAnsi="Times New Roman" w:cs="Times New Roman"/>
                <w:b/>
                <w:color w:val="000000" w:themeColor="text1"/>
                <w:sz w:val="20"/>
                <w:szCs w:val="20"/>
                <w:u w:val="none"/>
                <w:shd w:val="clear" w:color="auto" w:fill="FFFFFF"/>
                <w:lang w:val="en-PH" w:eastAsia="en-PH"/>
              </w:rPr>
            </w:pPr>
          </w:p>
        </w:tc>
        <w:tc>
          <w:tcPr>
            <w:tcW w:w="1334" w:type="dxa"/>
            <w:shd w:val="clear" w:color="auto" w:fill="auto"/>
            <w:vAlign w:val="center"/>
          </w:tcPr>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NS/ND/NC</w:t>
            </w:r>
          </w:p>
        </w:tc>
        <w:tc>
          <w:tcPr>
            <w:tcW w:w="1158" w:type="dxa"/>
            <w:shd w:val="clear" w:color="auto" w:fill="auto"/>
            <w:vAlign w:val="center"/>
          </w:tcPr>
          <w:p>
            <w:pPr>
              <w:pStyle w:val="NoSpacing"/>
              <w:tabs>
                <w:tab w:val="left" w:pos="0"/>
              </w:tabs>
              <w:jc w:val="center"/>
              <w:rPr>
                <w:rFonts w:ascii="Times New Roman" w:eastAsia="SimSun" w:hAnsi="Times New Roman" w:cs="Times New Roman"/>
                <w:b/>
                <w:bCs/>
                <w:color w:val="000000" w:themeColor="text1"/>
                <w:sz w:val="20"/>
                <w:szCs w:val="20"/>
                <w:u w:val="none"/>
                <w:shd w:val="clear" w:color="auto" w:fill="FFFFFF"/>
                <w:lang w:val="en-PH" w:eastAsia="en-PH"/>
              </w:rPr>
            </w:pPr>
            <w:r>
              <w:rPr>
                <w:rFonts w:ascii="Times New Roman" w:eastAsia="SimSun" w:hAnsi="Times New Roman" w:cs="Times New Roman"/>
                <w:b/>
                <w:bCs/>
                <w:color w:val="000000" w:themeColor="text1"/>
                <w:sz w:val="20"/>
                <w:szCs w:val="20"/>
                <w:u w:val="none"/>
                <w:shd w:val="clear" w:color="auto" w:fill="FFFFFF"/>
                <w:lang w:val="en-PH" w:eastAsia="en-PH"/>
              </w:rPr>
              <w:t>NSSDC</w:t>
            </w:r>
          </w:p>
        </w:tc>
        <w:tc>
          <w:tcPr>
            <w:tcW w:w="1619" w:type="dxa"/>
            <w:vMerge/>
            <w:shd w:val="clear" w:color="auto" w:fill="auto"/>
            <w:vAlign w:val="center"/>
          </w:tcPr>
          <w:p>
            <w:pPr>
              <w:pStyle w:val="NoSpacing"/>
              <w:tabs>
                <w:tab w:val="left" w:pos="0"/>
              </w:tabs>
              <w:jc w:val="center"/>
              <w:rPr>
                <w:rFonts w:ascii="Times New Roman" w:eastAsia="SimSun" w:hAnsi="Times New Roman" w:cs="Times New Roman"/>
                <w:b/>
                <w:color w:val="000000" w:themeColor="text1"/>
                <w:sz w:val="20"/>
                <w:szCs w:val="20"/>
                <w:u w:val="none"/>
                <w:shd w:val="clear" w:color="auto" w:fill="FFFFFF"/>
                <w:lang w:val="en-PH" w:eastAsia="en-PH"/>
              </w:rPr>
            </w:pPr>
          </w:p>
        </w:tc>
      </w:tr>
      <w:tr>
        <w:trPr>
          <w:jc w:val="center"/>
        </w:trPr>
        <w:tc>
          <w:tcPr>
            <w:tcW w:w="1871" w:type="dxa"/>
            <w:shd w:val="clear" w:color="auto" w:fill="auto"/>
            <w:vAlign w:val="center"/>
          </w:tcPr>
          <w:p>
            <w:pPr>
              <w:pStyle w:val="NoSpacing"/>
              <w:tabs>
                <w:tab w:val="left" w:pos="0"/>
              </w:tabs>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Notice of Suspension (NS)</w:t>
            </w:r>
          </w:p>
        </w:tc>
        <w:tc>
          <w:tcPr>
            <w:tcW w:w="1592"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P42,538,364.47</w:t>
            </w:r>
          </w:p>
        </w:tc>
        <w:tc>
          <w:tcPr>
            <w:tcW w:w="1334"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w:t>
            </w:r>
          </w:p>
        </w:tc>
        <w:tc>
          <w:tcPr>
            <w:tcW w:w="1158"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w:t>
            </w:r>
          </w:p>
        </w:tc>
        <w:tc>
          <w:tcPr>
            <w:tcW w:w="1619"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P42,538,364.47</w:t>
            </w:r>
          </w:p>
        </w:tc>
      </w:tr>
      <w:tr>
        <w:trPr>
          <w:jc w:val="center"/>
        </w:trPr>
        <w:tc>
          <w:tcPr>
            <w:tcW w:w="1871" w:type="dxa"/>
            <w:shd w:val="clear" w:color="auto" w:fill="auto"/>
          </w:tcPr>
          <w:p>
            <w:pPr>
              <w:pStyle w:val="NoSpacing"/>
              <w:tabs>
                <w:tab w:val="left" w:pos="0"/>
              </w:tabs>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Notice of Disallowance (ND)</w:t>
            </w:r>
          </w:p>
        </w:tc>
        <w:tc>
          <w:tcPr>
            <w:tcW w:w="1592"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67,165,880.48</w:t>
            </w:r>
          </w:p>
        </w:tc>
        <w:tc>
          <w:tcPr>
            <w:tcW w:w="1334"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w:t>
            </w:r>
          </w:p>
        </w:tc>
        <w:tc>
          <w:tcPr>
            <w:tcW w:w="1158"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w:t>
            </w:r>
          </w:p>
        </w:tc>
        <w:tc>
          <w:tcPr>
            <w:tcW w:w="1619"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67,165,880.48</w:t>
            </w:r>
          </w:p>
        </w:tc>
      </w:tr>
      <w:tr>
        <w:trPr>
          <w:jc w:val="center"/>
        </w:trPr>
        <w:tc>
          <w:tcPr>
            <w:tcW w:w="1871" w:type="dxa"/>
            <w:shd w:val="clear" w:color="auto" w:fill="auto"/>
          </w:tcPr>
          <w:p>
            <w:pPr>
              <w:pStyle w:val="NoSpacing"/>
              <w:tabs>
                <w:tab w:val="left" w:pos="0"/>
              </w:tabs>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Notice of Charge (NC)</w:t>
            </w:r>
          </w:p>
        </w:tc>
        <w:tc>
          <w:tcPr>
            <w:tcW w:w="1592"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31,317,076.36</w:t>
            </w:r>
          </w:p>
        </w:tc>
        <w:tc>
          <w:tcPr>
            <w:tcW w:w="1334"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w:t>
            </w:r>
          </w:p>
        </w:tc>
        <w:tc>
          <w:tcPr>
            <w:tcW w:w="1158"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w:t>
            </w:r>
          </w:p>
        </w:tc>
        <w:tc>
          <w:tcPr>
            <w:tcW w:w="1619" w:type="dxa"/>
            <w:shd w:val="clear" w:color="auto" w:fill="auto"/>
            <w:vAlign w:val="center"/>
          </w:tcPr>
          <w:p>
            <w:pPr>
              <w:pStyle w:val="NoSpacing"/>
              <w:tabs>
                <w:tab w:val="left" w:pos="0"/>
              </w:tabs>
              <w:jc w:val="right"/>
              <w:rPr>
                <w:rFonts w:ascii="Times New Roman" w:eastAsia="SimSun" w:hAnsi="Times New Roman" w:cs="Times New Roman"/>
                <w:color w:val="000000" w:themeColor="text1"/>
                <w:sz w:val="20"/>
                <w:szCs w:val="20"/>
                <w:u w:val="none"/>
                <w:shd w:val="clear" w:color="auto" w:fill="FFFFFF"/>
                <w:lang w:val="en-PH" w:eastAsia="en-PH"/>
              </w:rPr>
            </w:pPr>
            <w:r>
              <w:rPr>
                <w:rFonts w:ascii="Times New Roman" w:eastAsia="SimSun" w:hAnsi="Times New Roman" w:cs="Times New Roman"/>
                <w:color w:val="000000" w:themeColor="text1"/>
                <w:sz w:val="20"/>
                <w:szCs w:val="20"/>
                <w:u w:val="none"/>
                <w:shd w:val="clear" w:color="auto" w:fill="FFFFFF"/>
                <w:lang w:val="en-PH" w:eastAsia="en-PH"/>
              </w:rPr>
              <w:t>31,317,076.36</w:t>
            </w:r>
          </w:p>
        </w:tc>
      </w:tr>
      <w:tr>
        <w:trPr>
          <w:jc w:val="center"/>
        </w:trPr>
        <w:tc>
          <w:tcPr>
            <w:tcW w:w="1871" w:type="dxa"/>
            <w:shd w:val="clear" w:color="auto" w:fill="auto"/>
          </w:tcPr>
          <w:p>
            <w:pPr>
              <w:pStyle w:val="NoSpacing"/>
              <w:tabs>
                <w:tab w:val="left" w:pos="0"/>
              </w:tabs>
              <w:jc w:val="center"/>
              <w:rPr>
                <w:rFonts w:ascii="Times New Roman" w:eastAsia="SimSun" w:hAnsi="Times New Roman" w:cs="Times New Roman"/>
                <w:b/>
                <w:color w:val="000000" w:themeColor="text1"/>
                <w:sz w:val="20"/>
                <w:szCs w:val="20"/>
                <w:u w:val="none"/>
                <w:shd w:val="clear" w:color="auto" w:fill="FFFFFF"/>
                <w:lang w:val="en-PH" w:eastAsia="en-PH"/>
              </w:rPr>
            </w:pPr>
            <w:r>
              <w:rPr>
                <w:rFonts w:ascii="Times New Roman" w:eastAsia="SimSun" w:hAnsi="Times New Roman" w:cs="Times New Roman"/>
                <w:b/>
                <w:color w:val="000000" w:themeColor="text1"/>
                <w:sz w:val="20"/>
                <w:szCs w:val="20"/>
                <w:u w:val="none"/>
                <w:shd w:val="clear" w:color="auto" w:fill="FFFFFF"/>
                <w:lang w:val="en-PH" w:eastAsia="en-PH"/>
              </w:rPr>
              <w:t>Total</w:t>
            </w:r>
          </w:p>
        </w:tc>
        <w:tc>
          <w:tcPr>
            <w:tcW w:w="1592" w:type="dxa"/>
            <w:shd w:val="clear" w:color="auto" w:fill="auto"/>
            <w:vAlign w:val="center"/>
          </w:tcPr>
          <w:p>
            <w:pPr>
              <w:pStyle w:val="NoSpacing"/>
              <w:tabs>
                <w:tab w:val="left" w:pos="0"/>
              </w:tabs>
              <w:jc w:val="right"/>
              <w:rPr>
                <w:rFonts w:ascii="Times New Roman" w:eastAsia="SimSun" w:hAnsi="Times New Roman" w:cs="Times New Roman"/>
                <w:b/>
                <w:color w:val="000000" w:themeColor="text1"/>
                <w:sz w:val="20"/>
                <w:szCs w:val="20"/>
                <w:u w:val="none"/>
                <w:shd w:val="clear" w:color="auto" w:fill="FFFFFF"/>
                <w:lang w:val="en-PH" w:eastAsia="en-PH"/>
              </w:rPr>
            </w:pPr>
            <w:r>
              <w:rPr>
                <w:rFonts w:ascii="Times New Roman" w:eastAsia="SimSun" w:hAnsi="Times New Roman" w:cs="Times New Roman"/>
                <w:b/>
                <w:color w:val="000000" w:themeColor="text1"/>
                <w:sz w:val="20"/>
                <w:szCs w:val="20"/>
                <w:u w:val="none"/>
                <w:shd w:val="clear" w:color="auto" w:fill="FFFFFF"/>
                <w:lang w:val="en-PH" w:eastAsia="en-PH"/>
              </w:rPr>
              <w:t>P141,021,321.31</w:t>
            </w:r>
          </w:p>
        </w:tc>
        <w:tc>
          <w:tcPr>
            <w:tcW w:w="1334" w:type="dxa"/>
            <w:shd w:val="clear" w:color="auto" w:fill="auto"/>
            <w:vAlign w:val="center"/>
          </w:tcPr>
          <w:p>
            <w:pPr>
              <w:pStyle w:val="NoSpacing"/>
              <w:tabs>
                <w:tab w:val="left" w:pos="0"/>
              </w:tabs>
              <w:jc w:val="right"/>
              <w:rPr>
                <w:rFonts w:ascii="Times New Roman" w:eastAsia="SimSun" w:hAnsi="Times New Roman" w:cs="Times New Roman"/>
                <w:b/>
                <w:color w:val="000000" w:themeColor="text1"/>
                <w:sz w:val="20"/>
                <w:szCs w:val="20"/>
                <w:u w:val="none"/>
                <w:shd w:val="clear" w:color="auto" w:fill="FFFFFF"/>
                <w:lang w:val="en-PH" w:eastAsia="en-PH"/>
              </w:rPr>
            </w:pPr>
            <w:r>
              <w:rPr>
                <w:rFonts w:ascii="Times New Roman" w:eastAsia="SimSun" w:hAnsi="Times New Roman" w:cs="Times New Roman"/>
                <w:b/>
                <w:color w:val="000000" w:themeColor="text1"/>
                <w:sz w:val="20"/>
                <w:szCs w:val="20"/>
                <w:u w:val="none"/>
                <w:shd w:val="clear" w:color="auto" w:fill="FFFFFF"/>
                <w:lang w:val="en-PH" w:eastAsia="en-PH"/>
              </w:rPr>
              <w:t>-</w:t>
            </w:r>
          </w:p>
        </w:tc>
        <w:tc>
          <w:tcPr>
            <w:tcW w:w="1158" w:type="dxa"/>
            <w:shd w:val="clear" w:color="auto" w:fill="auto"/>
            <w:vAlign w:val="center"/>
          </w:tcPr>
          <w:p>
            <w:pPr>
              <w:pStyle w:val="NoSpacing"/>
              <w:tabs>
                <w:tab w:val="left" w:pos="0"/>
              </w:tabs>
              <w:jc w:val="right"/>
              <w:rPr>
                <w:rFonts w:ascii="Times New Roman" w:eastAsia="SimSun" w:hAnsi="Times New Roman" w:cs="Times New Roman"/>
                <w:b/>
                <w:color w:val="000000" w:themeColor="text1"/>
                <w:sz w:val="20"/>
                <w:szCs w:val="20"/>
                <w:u w:val="none"/>
                <w:shd w:val="clear" w:color="auto" w:fill="FFFFFF"/>
                <w:lang w:val="en-PH" w:eastAsia="en-PH"/>
              </w:rPr>
            </w:pPr>
            <w:r>
              <w:rPr>
                <w:rFonts w:ascii="Times New Roman" w:eastAsia="SimSun" w:hAnsi="Times New Roman" w:cs="Times New Roman"/>
                <w:b/>
                <w:color w:val="000000" w:themeColor="text1"/>
                <w:sz w:val="20"/>
                <w:szCs w:val="20"/>
                <w:u w:val="none"/>
                <w:shd w:val="clear" w:color="auto" w:fill="FFFFFF"/>
                <w:lang w:val="en-PH" w:eastAsia="en-PH"/>
              </w:rPr>
              <w:t>-</w:t>
            </w:r>
          </w:p>
        </w:tc>
        <w:tc>
          <w:tcPr>
            <w:tcW w:w="1619" w:type="dxa"/>
            <w:shd w:val="clear" w:color="auto" w:fill="auto"/>
            <w:vAlign w:val="center"/>
          </w:tcPr>
          <w:p>
            <w:pPr>
              <w:pStyle w:val="NoSpacing"/>
              <w:tabs>
                <w:tab w:val="left" w:pos="0"/>
              </w:tabs>
              <w:jc w:val="right"/>
              <w:rPr>
                <w:rFonts w:ascii="Times New Roman" w:eastAsia="SimSun" w:hAnsi="Times New Roman" w:cs="Times New Roman"/>
                <w:b/>
                <w:color w:val="000000" w:themeColor="text1"/>
                <w:sz w:val="20"/>
                <w:szCs w:val="20"/>
                <w:u w:val="none"/>
                <w:shd w:val="clear" w:color="auto" w:fill="FFFFFF"/>
                <w:lang w:val="en-PH" w:eastAsia="en-PH"/>
              </w:rPr>
            </w:pPr>
            <w:r>
              <w:rPr>
                <w:rFonts w:ascii="Times New Roman" w:eastAsia="SimSun" w:hAnsi="Times New Roman" w:cs="Times New Roman"/>
                <w:b/>
                <w:color w:val="000000" w:themeColor="text1"/>
                <w:sz w:val="20"/>
                <w:szCs w:val="20"/>
                <w:u w:val="none"/>
                <w:shd w:val="clear" w:color="auto" w:fill="FFFFFF"/>
                <w:lang w:val="en-PH" w:eastAsia="en-PH"/>
              </w:rPr>
              <w:t>P141,021,321.31</w:t>
            </w:r>
          </w:p>
        </w:tc>
      </w:tr>
    </w:tbl>
    <w:p>
      <w:pPr>
        <w:pStyle w:val="NoSpacing"/>
        <w:tabs>
          <w:tab w:val="left" w:pos="0"/>
        </w:tabs>
        <w:jc w:val="both"/>
        <w:rPr>
          <w:rFonts w:ascii="Times New Roman" w:hAnsi="Times New Roman" w:cs="Times New Roman"/>
          <w:color w:val="222222"/>
          <w:sz w:val="24"/>
          <w:szCs w:val="24"/>
          <w:u w:val="none"/>
          <w:shd w:val="clear" w:color="auto" w:fill="FFFFFF"/>
        </w:rPr>
      </w:pPr>
    </w:p>
    <w:p>
      <w:pPr>
        <w:pStyle w:val="ListParagraph"/>
        <w:numPr>
          <w:ilvl w:val="1"/>
          <w:numId w:val="1"/>
        </w:numPr>
        <w:tabs>
          <w:tab w:val="left" w:pos="1200"/>
        </w:tabs>
        <w:ind w:left="1080" w:hanging="540"/>
        <w:jc w:val="both"/>
        <w:rPr>
          <w:b/>
        </w:rPr>
      </w:pPr>
      <w:r>
        <w:rPr>
          <w:b/>
        </w:rPr>
        <w:t>We reiterated our recommendation that the City Accountant immediately enforce the settlement of all audit suspensions, disallowances and charges in compliance with Sections 5.4 and 7.1.1, Chapter II of COA Circular    No. 2009-006 dated September 15, 2009; and Management to be more vigilant in the implementation of the existing accounting and auditing rules and regulations in processing of claims to avoid possible audit suspensions and disallowances.</w:t>
      </w:r>
    </w:p>
    <w:p>
      <w:pPr>
        <w:pStyle w:val="NoSpacing"/>
        <w:ind w:left="1080"/>
        <w:jc w:val="both"/>
        <w:rPr>
          <w:rFonts w:ascii="Times New Roman" w:hAnsi="Times New Roman" w:cs="Times New Roman"/>
          <w:sz w:val="24"/>
          <w:szCs w:val="24"/>
          <w:u w:val="none"/>
          <w:shd w:val="clear" w:color="auto" w:fill="FFFFFF"/>
        </w:rPr>
      </w:pPr>
    </w:p>
    <w:p/>
    <w:sectPr>
      <w:footerReference w:type="default" r:id="rId9"/>
      <w:pgSz w:w="12240" w:h="15840"/>
      <w:pgMar w:top="1440" w:right="1440" w:bottom="1440" w:left="2160" w:header="720" w:footer="720" w:gutter="0"/>
      <w:pgNumType w:start="69"/>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84D69C7" w16cid:durableId="24CEA69B"/>
  <w16cid:commentId w16cid:paraId="0F2431AD" w16cid:durableId="24CEA69C"/>
  <w16cid:commentId w16cid:paraId="7D864617" w16cid:durableId="24CEA69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0"/>
        <w:szCs w:val="20"/>
      </w:rPr>
      <w:id w:val="-1953856184"/>
    </w:sdtPr>
    <w:sdtContent>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noProof/>
            <w:sz w:val="20"/>
            <w:szCs w:val="20"/>
          </w:rPr>
          <w:t>73</w:t>
        </w:r>
        <w:r>
          <w:rPr>
            <w:rFonts w:ascii="Arial" w:hAnsi="Arial" w:cs="Arial"/>
            <w:sz w:val="20"/>
            <w:szCs w:val="20"/>
          </w:rPr>
          <w:fldChar w:fldCharType="end"/>
        </w:r>
      </w:p>
    </w:sdtContent>
  </w:sdt>
  <w:p>
    <w:pPr>
      <w:pStyle w:val="Footer"/>
      <w:rPr>
        <w:rFonts w:ascii="Arial" w:hAnsi="Arial" w:cs="Arial"/>
        <w:sz w:val="20"/>
        <w:szCs w:val="20"/>
      </w:rPr>
    </w:pPr>
  </w:p>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AC9676B"/>
    <w:multiLevelType w:val="multilevel"/>
    <w:tmpl w:val="BAC9676B"/>
    <w:lvl w:ilvl="0">
      <w:start w:val="1"/>
      <w:numFmt w:val="lowerLetter"/>
      <w:lvlText w:val="%1."/>
      <w:lvlJc w:val="left"/>
      <w:pPr>
        <w:ind w:left="1560" w:hanging="360"/>
      </w:p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 w15:restartNumberingAfterBreak="0">
    <w:nsid w:val="0D8559E0"/>
    <w:multiLevelType w:val="multilevel"/>
    <w:tmpl w:val="0D8559E0"/>
    <w:lvl w:ilvl="0">
      <w:start w:val="9"/>
      <w:numFmt w:val="decimal"/>
      <w:lvlText w:val="%1."/>
      <w:lvlJc w:val="left"/>
      <w:pPr>
        <w:tabs>
          <w:tab w:val="left" w:pos="425"/>
        </w:tabs>
        <w:ind w:left="425" w:hanging="425"/>
      </w:pPr>
      <w:rPr>
        <w:rFonts w:hint="default"/>
      </w:rPr>
    </w:lvl>
    <w:lvl w:ilvl="1">
      <w:start w:val="1"/>
      <w:numFmt w:val="lowerLetter"/>
      <w:lvlText w:val="%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2" w15:restartNumberingAfterBreak="0">
    <w:nsid w:val="0EAC13FD"/>
    <w:multiLevelType w:val="multilevel"/>
    <w:tmpl w:val="0EAC13FD"/>
    <w:lvl w:ilvl="0">
      <w:start w:val="9"/>
      <w:numFmt w:val="decimal"/>
      <w:lvlText w:val="%1."/>
      <w:lvlJc w:val="left"/>
      <w:pPr>
        <w:tabs>
          <w:tab w:val="left" w:pos="425"/>
        </w:tabs>
        <w:ind w:left="425" w:hanging="425"/>
      </w:pPr>
      <w:rPr>
        <w:rFonts w:hint="default"/>
      </w:rPr>
    </w:lvl>
    <w:lvl w:ilvl="1">
      <w:start w:val="1"/>
      <w:numFmt w:val="lowerLetter"/>
      <w:lvlText w:val="%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3" w15:restartNumberingAfterBreak="0">
    <w:nsid w:val="16A203C2"/>
    <w:multiLevelType w:val="multilevel"/>
    <w:tmpl w:val="16A203C2"/>
    <w:lvl w:ilvl="0">
      <w:start w:val="9"/>
      <w:numFmt w:val="decimal"/>
      <w:lvlText w:val="%1."/>
      <w:lvlJc w:val="left"/>
      <w:pPr>
        <w:tabs>
          <w:tab w:val="left" w:pos="425"/>
        </w:tabs>
        <w:ind w:left="425" w:hanging="425"/>
      </w:pPr>
      <w:rPr>
        <w:rFonts w:hint="default"/>
      </w:rPr>
    </w:lvl>
    <w:lvl w:ilvl="1">
      <w:start w:val="1"/>
      <w:numFmt w:val="lowerLetter"/>
      <w:lvlText w:val="%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4" w15:restartNumberingAfterBreak="0">
    <w:nsid w:val="1BC21252"/>
    <w:multiLevelType w:val="multilevel"/>
    <w:tmpl w:val="1BC21252"/>
    <w:lvl w:ilvl="0">
      <w:start w:val="9"/>
      <w:numFmt w:val="decimal"/>
      <w:lvlText w:val="%1."/>
      <w:lvlJc w:val="left"/>
      <w:pPr>
        <w:tabs>
          <w:tab w:val="left" w:pos="425"/>
        </w:tabs>
        <w:ind w:left="425" w:hanging="425"/>
      </w:pPr>
      <w:rPr>
        <w:rFonts w:hint="default"/>
      </w:rPr>
    </w:lvl>
    <w:lvl w:ilvl="1">
      <w:start w:val="1"/>
      <w:numFmt w:val="decimal"/>
      <w:lvlText w:val="10.%2"/>
      <w:lvlJc w:val="left"/>
      <w:pPr>
        <w:tabs>
          <w:tab w:val="left" w:pos="1377"/>
        </w:tabs>
        <w:ind w:left="1377" w:hanging="567"/>
      </w:pPr>
      <w:rPr>
        <w:rFonts w:hint="default"/>
        <w:b w:val="0"/>
        <w:bCs w:val="0"/>
        <w:color w:val="auto"/>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5" w15:restartNumberingAfterBreak="0">
    <w:nsid w:val="3048F830"/>
    <w:multiLevelType w:val="multilevel"/>
    <w:tmpl w:val="3048F83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42FF7AF5"/>
    <w:multiLevelType w:val="multilevel"/>
    <w:tmpl w:val="D1CE69F8"/>
    <w:lvl w:ilvl="0">
      <w:start w:val="1"/>
      <w:numFmt w:val="decimal"/>
      <w:lvlText w:val="2.3.%1"/>
      <w:lvlJc w:val="left"/>
      <w:pPr>
        <w:ind w:left="2430" w:hanging="360"/>
      </w:pPr>
      <w:rPr>
        <w:rFonts w:hint="default"/>
        <w:i w:val="0"/>
        <w:iCs w:val="0"/>
      </w:rPr>
    </w:lvl>
    <w:lvl w:ilvl="1">
      <w:start w:val="1"/>
      <w:numFmt w:val="lowerLetter"/>
      <w:lvlText w:val="%2."/>
      <w:lvlJc w:val="left"/>
      <w:pPr>
        <w:ind w:left="3150" w:hanging="360"/>
      </w:pPr>
      <w:rPr>
        <w:rFonts w:hint="default"/>
      </w:rPr>
    </w:lvl>
    <w:lvl w:ilvl="2">
      <w:start w:val="1"/>
      <w:numFmt w:val="lowerRoman"/>
      <w:lvlText w:val="%3."/>
      <w:lvlJc w:val="right"/>
      <w:pPr>
        <w:ind w:left="3870" w:hanging="180"/>
      </w:pPr>
      <w:rPr>
        <w:rFonts w:hint="default"/>
      </w:rPr>
    </w:lvl>
    <w:lvl w:ilvl="3">
      <w:start w:val="1"/>
      <w:numFmt w:val="decimal"/>
      <w:lvlText w:val="%4."/>
      <w:lvlJc w:val="left"/>
      <w:pPr>
        <w:ind w:left="4590" w:hanging="360"/>
      </w:pPr>
      <w:rPr>
        <w:rFonts w:hint="default"/>
      </w:rPr>
    </w:lvl>
    <w:lvl w:ilvl="4">
      <w:start w:val="1"/>
      <w:numFmt w:val="lowerLetter"/>
      <w:lvlText w:val="%5."/>
      <w:lvlJc w:val="left"/>
      <w:pPr>
        <w:ind w:left="5310" w:hanging="360"/>
      </w:pPr>
      <w:rPr>
        <w:rFonts w:hint="default"/>
      </w:rPr>
    </w:lvl>
    <w:lvl w:ilvl="5">
      <w:start w:val="1"/>
      <w:numFmt w:val="lowerRoman"/>
      <w:lvlText w:val="%6."/>
      <w:lvlJc w:val="right"/>
      <w:pPr>
        <w:ind w:left="6030" w:hanging="180"/>
      </w:pPr>
      <w:rPr>
        <w:rFonts w:hint="default"/>
      </w:rPr>
    </w:lvl>
    <w:lvl w:ilvl="6">
      <w:start w:val="1"/>
      <w:numFmt w:val="decimal"/>
      <w:lvlText w:val="%7."/>
      <w:lvlJc w:val="left"/>
      <w:pPr>
        <w:ind w:left="6750" w:hanging="360"/>
      </w:pPr>
      <w:rPr>
        <w:rFonts w:hint="default"/>
      </w:rPr>
    </w:lvl>
    <w:lvl w:ilvl="7">
      <w:start w:val="1"/>
      <w:numFmt w:val="lowerLetter"/>
      <w:lvlText w:val="%8."/>
      <w:lvlJc w:val="left"/>
      <w:pPr>
        <w:ind w:left="7470" w:hanging="360"/>
      </w:pPr>
      <w:rPr>
        <w:rFonts w:hint="default"/>
      </w:rPr>
    </w:lvl>
    <w:lvl w:ilvl="8">
      <w:start w:val="1"/>
      <w:numFmt w:val="lowerRoman"/>
      <w:lvlText w:val="%9."/>
      <w:lvlJc w:val="right"/>
      <w:pPr>
        <w:ind w:left="8190" w:hanging="180"/>
      </w:pPr>
      <w:rPr>
        <w:rFonts w:hint="default"/>
      </w:rPr>
    </w:lvl>
  </w:abstractNum>
  <w:abstractNum w:abstractNumId="7" w15:restartNumberingAfterBreak="0">
    <w:nsid w:val="59073A47"/>
    <w:multiLevelType w:val="multilevel"/>
    <w:tmpl w:val="59073A47"/>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8" w15:restartNumberingAfterBreak="0">
    <w:nsid w:val="5FDA0442"/>
    <w:multiLevelType w:val="multilevel"/>
    <w:tmpl w:val="5FDA044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624292A1"/>
    <w:multiLevelType w:val="multilevel"/>
    <w:tmpl w:val="111EECAE"/>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bCs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0" w15:restartNumberingAfterBreak="0">
    <w:nsid w:val="67627402"/>
    <w:multiLevelType w:val="multilevel"/>
    <w:tmpl w:val="6762740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76D811D3"/>
    <w:multiLevelType w:val="multilevel"/>
    <w:tmpl w:val="76D811D3"/>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num w:numId="1">
    <w:abstractNumId w:val="9"/>
  </w:num>
  <w:num w:numId="2">
    <w:abstractNumId w:val="8"/>
  </w:num>
  <w:num w:numId="3">
    <w:abstractNumId w:val="0"/>
  </w:num>
  <w:num w:numId="4">
    <w:abstractNumId w:val="6"/>
  </w:num>
  <w:num w:numId="5">
    <w:abstractNumId w:val="9"/>
    <w:lvlOverride w:ilvl="0">
      <w:lvl w:ilvl="0" w:tentative="1">
        <w:start w:val="1"/>
        <w:numFmt w:val="decimal"/>
        <w:lvlText w:val="%1."/>
        <w:lvlJc w:val="left"/>
        <w:pPr>
          <w:tabs>
            <w:tab w:val="left" w:pos="425"/>
          </w:tabs>
          <w:ind w:left="425" w:hanging="425"/>
        </w:pPr>
        <w:rPr>
          <w:rFonts w:hint="default"/>
        </w:rPr>
      </w:lvl>
    </w:lvlOverride>
    <w:lvlOverride w:ilvl="1">
      <w:lvl w:ilvl="1">
        <w:start w:val="1"/>
        <w:numFmt w:val="decimal"/>
        <w:lvlText w:val="%1.%2"/>
        <w:lvlJc w:val="left"/>
        <w:pPr>
          <w:tabs>
            <w:tab w:val="left" w:pos="1377"/>
          </w:tabs>
          <w:ind w:left="1377" w:hanging="567"/>
        </w:pPr>
        <w:rPr>
          <w:rFonts w:ascii="Times New Roman" w:hAnsi="Times New Roman" w:hint="default"/>
          <w:b/>
          <w:i w:val="0"/>
          <w:sz w:val="24"/>
        </w:rPr>
      </w:lvl>
    </w:lvlOverride>
    <w:lvlOverride w:ilvl="2">
      <w:lvl w:ilvl="2" w:tentative="1">
        <w:start w:val="1"/>
        <w:numFmt w:val="lowerLetter"/>
        <w:lvlText w:val="%3)"/>
        <w:lvlJc w:val="left"/>
        <w:pPr>
          <w:tabs>
            <w:tab w:val="left" w:pos="709"/>
          </w:tabs>
          <w:ind w:left="709" w:hanging="709"/>
        </w:pPr>
        <w:rPr>
          <w:rFonts w:hint="default"/>
        </w:rPr>
      </w:lvl>
    </w:lvlOverride>
    <w:lvlOverride w:ilvl="3">
      <w:lvl w:ilvl="3" w:tentative="1">
        <w:start w:val="1"/>
        <w:numFmt w:val="lowerLetter"/>
        <w:lvlText w:val="%4)"/>
        <w:lvlJc w:val="left"/>
        <w:pPr>
          <w:tabs>
            <w:tab w:val="left" w:pos="850"/>
          </w:tabs>
          <w:ind w:left="850" w:hanging="850"/>
        </w:pPr>
        <w:rPr>
          <w:rFonts w:hint="default"/>
        </w:rPr>
      </w:lvl>
    </w:lvlOverride>
    <w:lvlOverride w:ilvl="4">
      <w:lvl w:ilvl="4" w:tentative="1">
        <w:start w:val="1"/>
        <w:numFmt w:val="decimal"/>
        <w:lvlText w:val="%1.%2.%3.%4.%5."/>
        <w:lvlJc w:val="left"/>
        <w:pPr>
          <w:tabs>
            <w:tab w:val="left" w:pos="991"/>
          </w:tabs>
          <w:ind w:left="991" w:hanging="991"/>
        </w:pPr>
        <w:rPr>
          <w:rFonts w:hint="default"/>
        </w:rPr>
      </w:lvl>
    </w:lvlOverride>
    <w:lvlOverride w:ilvl="5">
      <w:lvl w:ilvl="5" w:tentative="1">
        <w:start w:val="1"/>
        <w:numFmt w:val="decimal"/>
        <w:lvlText w:val="%1.%2.%3.%4.%5.%6."/>
        <w:lvlJc w:val="left"/>
        <w:pPr>
          <w:tabs>
            <w:tab w:val="left" w:pos="1134"/>
          </w:tabs>
          <w:ind w:left="1134" w:hanging="1134"/>
        </w:pPr>
        <w:rPr>
          <w:rFonts w:hint="default"/>
        </w:rPr>
      </w:lvl>
    </w:lvlOverride>
    <w:lvlOverride w:ilvl="6">
      <w:lvl w:ilvl="6" w:tentative="1">
        <w:start w:val="1"/>
        <w:numFmt w:val="decimal"/>
        <w:lvlText w:val="%1.%2.%3.%4.%5.%6.%7."/>
        <w:lvlJc w:val="left"/>
        <w:pPr>
          <w:tabs>
            <w:tab w:val="left" w:pos="1275"/>
          </w:tabs>
          <w:ind w:left="1275" w:hanging="1275"/>
        </w:pPr>
        <w:rPr>
          <w:rFonts w:hint="default"/>
        </w:rPr>
      </w:lvl>
    </w:lvlOverride>
    <w:lvlOverride w:ilvl="7">
      <w:lvl w:ilvl="7" w:tentative="1">
        <w:start w:val="1"/>
        <w:numFmt w:val="decimal"/>
        <w:lvlText w:val="%1.%2.%3.%4.%5.%6.%7.%8."/>
        <w:lvlJc w:val="left"/>
        <w:pPr>
          <w:tabs>
            <w:tab w:val="left" w:pos="1418"/>
          </w:tabs>
          <w:ind w:left="1418" w:hanging="1418"/>
        </w:pPr>
        <w:rPr>
          <w:rFonts w:hint="default"/>
        </w:rPr>
      </w:lvl>
    </w:lvlOverride>
    <w:lvlOverride w:ilvl="8">
      <w:lvl w:ilvl="8" w:tentative="1">
        <w:start w:val="1"/>
        <w:numFmt w:val="decimal"/>
        <w:lvlText w:val="%1.%2.%3.%4.%5.%6.%7.%8.%9."/>
        <w:lvlJc w:val="left"/>
        <w:pPr>
          <w:tabs>
            <w:tab w:val="left" w:pos="1558"/>
          </w:tabs>
          <w:ind w:left="1558" w:hanging="1558"/>
        </w:pPr>
        <w:rPr>
          <w:rFonts w:hint="default"/>
        </w:rPr>
      </w:lvl>
    </w:lvlOverride>
  </w:num>
  <w:num w:numId="6">
    <w:abstractNumId w:val="7"/>
  </w:num>
  <w:num w:numId="7">
    <w:abstractNumId w:val="10"/>
  </w:num>
  <w:num w:numId="8">
    <w:abstractNumId w:val="5"/>
  </w:num>
  <w:num w:numId="9">
    <w:abstractNumId w:val="11"/>
  </w:num>
  <w:num w:numId="10">
    <w:abstractNumId w:val="3"/>
  </w:num>
  <w:num w:numId="11">
    <w:abstractNumId w:val="1"/>
  </w:num>
  <w:num w:numId="12">
    <w:abstractNumId w:val="2"/>
  </w:num>
  <w:num w:numId="13">
    <w:abstractNumId w:val="4"/>
  </w:num>
  <w:num w:numId="14">
    <w:abstractNumId w:val="9"/>
    <w:lvlOverride w:ilvl="0">
      <w:lvl w:ilvl="0">
        <w:start w:val="1"/>
        <w:numFmt w:val="decimal"/>
        <w:lvlText w:val="%1."/>
        <w:lvlJc w:val="left"/>
        <w:pPr>
          <w:tabs>
            <w:tab w:val="num" w:pos="425"/>
          </w:tabs>
          <w:ind w:left="425" w:hanging="425"/>
        </w:pPr>
        <w:rPr>
          <w:rFonts w:hint="default"/>
        </w:rPr>
      </w:lvl>
    </w:lvlOverride>
    <w:lvlOverride w:ilvl="1">
      <w:lvl w:ilvl="1">
        <w:start w:val="1"/>
        <w:numFmt w:val="decimal"/>
        <w:lvlText w:val="%1.%2"/>
        <w:lvlJc w:val="left"/>
        <w:pPr>
          <w:tabs>
            <w:tab w:val="num" w:pos="1377"/>
          </w:tabs>
          <w:ind w:left="1377" w:hanging="567"/>
        </w:pPr>
        <w:rPr>
          <w:rFonts w:hint="default"/>
          <w:b/>
          <w:bCs w:val="0"/>
          <w:i w:val="0"/>
          <w:sz w:val="24"/>
        </w:rPr>
      </w:lvl>
    </w:lvlOverride>
    <w:lvlOverride w:ilvl="2">
      <w:lvl w:ilvl="2">
        <w:start w:val="1"/>
        <w:numFmt w:val="lowerLetter"/>
        <w:lvlText w:val="%3."/>
        <w:lvlJc w:val="left"/>
        <w:pPr>
          <w:tabs>
            <w:tab w:val="num" w:pos="709"/>
          </w:tabs>
          <w:ind w:left="709" w:hanging="709"/>
        </w:pPr>
        <w:rPr>
          <w:rFonts w:hint="default"/>
        </w:rPr>
      </w:lvl>
    </w:lvlOverride>
    <w:lvlOverride w:ilvl="3">
      <w:lvl w:ilvl="3">
        <w:start w:val="1"/>
        <w:numFmt w:val="lowerLetter"/>
        <w:lvlText w:val="%4)"/>
        <w:lvlJc w:val="left"/>
        <w:pPr>
          <w:tabs>
            <w:tab w:val="num" w:pos="850"/>
          </w:tabs>
          <w:ind w:left="850" w:hanging="850"/>
        </w:pPr>
        <w:rPr>
          <w:rFonts w:hint="default"/>
        </w:rPr>
      </w:lvl>
    </w:lvlOverride>
    <w:lvlOverride w:ilvl="4">
      <w:lvl w:ilvl="4">
        <w:start w:val="1"/>
        <w:numFmt w:val="decimal"/>
        <w:lvlText w:val="%1.%2.%3.%4.%5."/>
        <w:lvlJc w:val="left"/>
        <w:pPr>
          <w:tabs>
            <w:tab w:val="num" w:pos="991"/>
          </w:tabs>
          <w:ind w:left="991" w:hanging="991"/>
        </w:pPr>
        <w:rPr>
          <w:rFonts w:hint="default"/>
        </w:rPr>
      </w:lvl>
    </w:lvlOverride>
    <w:lvlOverride w:ilvl="5">
      <w:lvl w:ilvl="5">
        <w:start w:val="1"/>
        <w:numFmt w:val="decimal"/>
        <w:lvlText w:val="%1.%2.%3.%4.%5.%6."/>
        <w:lvlJc w:val="left"/>
        <w:pPr>
          <w:tabs>
            <w:tab w:val="num" w:pos="1134"/>
          </w:tabs>
          <w:ind w:left="1134" w:hanging="1134"/>
        </w:pPr>
        <w:rPr>
          <w:rFonts w:hint="default"/>
        </w:rPr>
      </w:lvl>
    </w:lvlOverride>
    <w:lvlOverride w:ilvl="6">
      <w:lvl w:ilvl="6">
        <w:start w:val="1"/>
        <w:numFmt w:val="decimal"/>
        <w:lvlText w:val="%1.%2.%3.%4.%5.%6.%7."/>
        <w:lvlJc w:val="left"/>
        <w:pPr>
          <w:tabs>
            <w:tab w:val="num" w:pos="1275"/>
          </w:tabs>
          <w:ind w:left="1275" w:hanging="1275"/>
        </w:pPr>
        <w:rPr>
          <w:rFonts w:hint="default"/>
        </w:rPr>
      </w:lvl>
    </w:lvlOverride>
    <w:lvlOverride w:ilvl="7">
      <w:lvl w:ilvl="7">
        <w:start w:val="1"/>
        <w:numFmt w:val="decimal"/>
        <w:lvlText w:val="%1.%2.%3.%4.%5.%6.%7.%8."/>
        <w:lvlJc w:val="left"/>
        <w:pPr>
          <w:tabs>
            <w:tab w:val="num" w:pos="1418"/>
          </w:tabs>
          <w:ind w:left="1418" w:hanging="1418"/>
        </w:pPr>
        <w:rPr>
          <w:rFonts w:hint="default"/>
        </w:rPr>
      </w:lvl>
    </w:lvlOverride>
    <w:lvlOverride w:ilvl="8">
      <w:lvl w:ilvl="8">
        <w:start w:val="1"/>
        <w:numFmt w:val="decimal"/>
        <w:lvlText w:val="%1.%2.%3.%4.%5.%6.%7.%8.%9."/>
        <w:lvlJc w:val="left"/>
        <w:pPr>
          <w:tabs>
            <w:tab w:val="num" w:pos="1558"/>
          </w:tabs>
          <w:ind w:left="1558" w:hanging="1558"/>
        </w:pPr>
        <w:rPr>
          <w:rFonts w:hint="default"/>
        </w:rPr>
      </w:lvl>
    </w:lvlOverride>
  </w:num>
  <w:num w:numId="15">
    <w:abstractNumId w:val="9"/>
    <w:lvlOverride w:ilvl="0">
      <w:lvl w:ilvl="0">
        <w:start w:val="1"/>
        <w:numFmt w:val="decimal"/>
        <w:lvlText w:val="%1."/>
        <w:lvlJc w:val="left"/>
        <w:pPr>
          <w:tabs>
            <w:tab w:val="num" w:pos="425"/>
          </w:tabs>
          <w:ind w:left="425" w:hanging="425"/>
        </w:pPr>
        <w:rPr>
          <w:rFonts w:hint="default"/>
        </w:rPr>
      </w:lvl>
    </w:lvlOverride>
    <w:lvlOverride w:ilvl="1">
      <w:lvl w:ilvl="1">
        <w:start w:val="1"/>
        <w:numFmt w:val="decimal"/>
        <w:lvlText w:val="%1.%2"/>
        <w:lvlJc w:val="left"/>
        <w:pPr>
          <w:tabs>
            <w:tab w:val="num" w:pos="1377"/>
          </w:tabs>
          <w:ind w:left="1377" w:hanging="567"/>
        </w:pPr>
        <w:rPr>
          <w:rFonts w:hint="default"/>
          <w:b/>
          <w:bCs w:val="0"/>
          <w:i w:val="0"/>
          <w:sz w:val="24"/>
        </w:rPr>
      </w:lvl>
    </w:lvlOverride>
    <w:lvlOverride w:ilvl="2">
      <w:lvl w:ilvl="2">
        <w:start w:val="1"/>
        <w:numFmt w:val="lowerLetter"/>
        <w:lvlText w:val="%3."/>
        <w:lvlJc w:val="left"/>
        <w:pPr>
          <w:tabs>
            <w:tab w:val="num" w:pos="709"/>
          </w:tabs>
          <w:ind w:left="709" w:hanging="709"/>
        </w:pPr>
        <w:rPr>
          <w:rFonts w:hint="default"/>
        </w:rPr>
      </w:lvl>
    </w:lvlOverride>
    <w:lvlOverride w:ilvl="3">
      <w:lvl w:ilvl="3">
        <w:start w:val="1"/>
        <w:numFmt w:val="lowerLetter"/>
        <w:lvlText w:val="%4)"/>
        <w:lvlJc w:val="left"/>
        <w:pPr>
          <w:tabs>
            <w:tab w:val="num" w:pos="850"/>
          </w:tabs>
          <w:ind w:left="850" w:hanging="850"/>
        </w:pPr>
        <w:rPr>
          <w:rFonts w:hint="default"/>
        </w:rPr>
      </w:lvl>
    </w:lvlOverride>
    <w:lvlOverride w:ilvl="4">
      <w:lvl w:ilvl="4">
        <w:start w:val="1"/>
        <w:numFmt w:val="decimal"/>
        <w:lvlText w:val="%1.%2.%3.%4.%5."/>
        <w:lvlJc w:val="left"/>
        <w:pPr>
          <w:tabs>
            <w:tab w:val="num" w:pos="991"/>
          </w:tabs>
          <w:ind w:left="991" w:hanging="991"/>
        </w:pPr>
        <w:rPr>
          <w:rFonts w:hint="default"/>
        </w:rPr>
      </w:lvl>
    </w:lvlOverride>
    <w:lvlOverride w:ilvl="5">
      <w:lvl w:ilvl="5">
        <w:start w:val="1"/>
        <w:numFmt w:val="decimal"/>
        <w:lvlText w:val="%1.%2.%3.%4.%5.%6."/>
        <w:lvlJc w:val="left"/>
        <w:pPr>
          <w:tabs>
            <w:tab w:val="num" w:pos="1134"/>
          </w:tabs>
          <w:ind w:left="1134" w:hanging="1134"/>
        </w:pPr>
        <w:rPr>
          <w:rFonts w:hint="default"/>
        </w:rPr>
      </w:lvl>
    </w:lvlOverride>
    <w:lvlOverride w:ilvl="6">
      <w:lvl w:ilvl="6">
        <w:start w:val="1"/>
        <w:numFmt w:val="decimal"/>
        <w:lvlText w:val="%1.%2.%3.%4.%5.%6.%7."/>
        <w:lvlJc w:val="left"/>
        <w:pPr>
          <w:tabs>
            <w:tab w:val="num" w:pos="1275"/>
          </w:tabs>
          <w:ind w:left="1275" w:hanging="1275"/>
        </w:pPr>
        <w:rPr>
          <w:rFonts w:hint="default"/>
        </w:rPr>
      </w:lvl>
    </w:lvlOverride>
    <w:lvlOverride w:ilvl="7">
      <w:lvl w:ilvl="7">
        <w:start w:val="1"/>
        <w:numFmt w:val="decimal"/>
        <w:lvlText w:val="%1.%2.%3.%4.%5.%6.%7.%8."/>
        <w:lvlJc w:val="left"/>
        <w:pPr>
          <w:tabs>
            <w:tab w:val="num" w:pos="1418"/>
          </w:tabs>
          <w:ind w:left="1418" w:hanging="1418"/>
        </w:pPr>
        <w:rPr>
          <w:rFonts w:hint="default"/>
        </w:rPr>
      </w:lvl>
    </w:lvlOverride>
    <w:lvlOverride w:ilvl="8">
      <w:lvl w:ilvl="8">
        <w:start w:val="1"/>
        <w:numFmt w:val="decimal"/>
        <w:lvlText w:val="%1.%2.%3.%4.%5.%6.%7.%8.%9."/>
        <w:lvlJc w:val="left"/>
        <w:pPr>
          <w:tabs>
            <w:tab w:val="num" w:pos="1558"/>
          </w:tabs>
          <w:ind w:left="1558" w:hanging="1558"/>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1" w:cryptProviderType="rsaAES" w:cryptAlgorithmClass="hash" w:cryptAlgorithmType="typeAny" w:cryptAlgorithmSid="14" w:cryptSpinCount="100000" w:hash="qHNTovx8XC8xEpIP4YmuRu/C34+1HPoeoAKHGkklas5i8jkvf5/eAq0pX59xnhfrzTZyCHoEWXnVMztK8916mQ==" w:salt="kYLoLZtkPVmiTSerLLq4dA=="/>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D594C9-38A3-43B0-B4D4-30068CD3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lang w:val="en-GB" w:eastAsia="en-GB"/>
    </w:rPr>
  </w:style>
  <w:style w:type="paragraph" w:styleId="CommentSubject">
    <w:name w:val="annotation subject"/>
    <w:basedOn w:val="CommentText"/>
    <w:next w:val="CommentText"/>
    <w:link w:val="CommentSubjectChar"/>
    <w:uiPriority w:val="99"/>
    <w:semiHidden/>
    <w:unhideWhenUsed/>
    <w:qFormat/>
    <w:rPr>
      <w:b/>
      <w:bCs/>
      <w:lang w:val="en-US" w:eastAsia="en-U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en-GB" w:eastAsia="en-GB"/>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en-GB"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sz w:val="18"/>
      <w:szCs w:val="18"/>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paragraph" w:styleId="NoSpacing">
    <w:name w:val="No Spacing"/>
    <w:link w:val="NoSpacingChar"/>
    <w:uiPriority w:val="1"/>
    <w:qFormat/>
    <w:rPr>
      <w:rFonts w:ascii="Arial" w:eastAsiaTheme="minorHAnsi" w:hAnsi="Arial" w:cs="Arial"/>
      <w:sz w:val="14"/>
      <w:szCs w:val="22"/>
      <w:u w:val="words"/>
    </w:rPr>
  </w:style>
  <w:style w:type="paragraph" w:styleId="ListParagraph">
    <w:name w:val="List Paragraph"/>
    <w:basedOn w:val="Normal"/>
    <w:link w:val="ListParagraphChar"/>
    <w:uiPriority w:val="34"/>
    <w:qFormat/>
    <w:pPr>
      <w:ind w:left="720"/>
      <w:contextualSpacing/>
    </w:pPr>
  </w:style>
  <w:style w:type="character" w:customStyle="1" w:styleId="NoSpacingChar">
    <w:name w:val="No Spacing Char"/>
    <w:link w:val="NoSpacing"/>
    <w:uiPriority w:val="1"/>
    <w:qFormat/>
    <w:rPr>
      <w:rFonts w:ascii="Arial" w:hAnsi="Arial" w:cs="Arial"/>
      <w:sz w:val="14"/>
      <w:u w:val="words"/>
    </w:rPr>
  </w:style>
  <w:style w:type="paragraph" w:customStyle="1" w:styleId="Normal1">
    <w:name w:val="Normal1"/>
    <w:qFormat/>
    <w:rPr>
      <w:rFonts w:eastAsia="Times New Roman"/>
      <w:color w:val="000000"/>
      <w:sz w:val="24"/>
      <w:szCs w:val="22"/>
    </w:rPr>
  </w:style>
  <w:style w:type="character" w:customStyle="1" w:styleId="im">
    <w:name w:val="im"/>
    <w:basedOn w:val="DefaultParagraphFont"/>
    <w:qFormat/>
  </w:style>
  <w:style w:type="character" w:customStyle="1" w:styleId="font21">
    <w:name w:val="font21"/>
    <w:qFormat/>
    <w:rPr>
      <w:rFonts w:ascii="Times New Roman" w:hAnsi="Times New Roman" w:cs="Times New Roman" w:hint="default"/>
      <w:color w:val="000000"/>
      <w:sz w:val="20"/>
      <w:szCs w:val="20"/>
      <w:u w:val="none"/>
    </w:rPr>
  </w:style>
  <w:style w:type="character" w:customStyle="1" w:styleId="font11">
    <w:name w:val="font11"/>
    <w:qFormat/>
    <w:rPr>
      <w:rFonts w:ascii="Times New Roman" w:hAnsi="Times New Roman" w:cs="Times New Roman" w:hint="default"/>
      <w:b/>
      <w:color w:val="000000"/>
      <w:sz w:val="20"/>
      <w:szCs w:val="20"/>
      <w:u w:val="none"/>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font01">
    <w:name w:val="font01"/>
    <w:qFormat/>
    <w:rPr>
      <w:rFonts w:ascii="Calibri" w:hAnsi="Calibri" w:cs="Calibri" w:hint="default"/>
      <w:b/>
      <w:color w:val="C00000"/>
      <w:sz w:val="22"/>
      <w:szCs w:val="22"/>
      <w:u w:val="none"/>
    </w:rPr>
  </w:style>
  <w:style w:type="character" w:customStyle="1" w:styleId="font31">
    <w:name w:val="font31"/>
    <w:qFormat/>
    <w:rPr>
      <w:rFonts w:ascii="Calibri Light" w:eastAsia="Calibri Light" w:hAnsi="Calibri Light" w:cs="Calibri Light" w:hint="default"/>
      <w:color w:val="C00000"/>
      <w:sz w:val="20"/>
      <w:szCs w:val="20"/>
      <w:u w:val="none"/>
    </w:rPr>
  </w:style>
  <w:style w:type="character" w:customStyle="1" w:styleId="font51">
    <w:name w:val="font51"/>
    <w:qFormat/>
    <w:rPr>
      <w:rFonts w:ascii="Calibri Light" w:eastAsia="Calibri Light" w:hAnsi="Calibri Light" w:cs="Calibri Light" w:hint="default"/>
      <w:color w:val="000000"/>
      <w:sz w:val="20"/>
      <w:szCs w:val="20"/>
      <w:u w:val="none"/>
    </w:rPr>
  </w:style>
  <w:style w:type="character" w:customStyle="1" w:styleId="font61">
    <w:name w:val="font61"/>
    <w:qFormat/>
    <w:rPr>
      <w:rFonts w:ascii="Calibri" w:hAnsi="Calibri" w:cs="Calibri" w:hint="default"/>
      <w:color w:val="C00000"/>
      <w:sz w:val="20"/>
      <w:szCs w:val="20"/>
      <w:u w:val="none"/>
    </w:rPr>
  </w:style>
  <w:style w:type="character" w:customStyle="1" w:styleId="font41">
    <w:name w:val="font41"/>
    <w:qFormat/>
    <w:rPr>
      <w:rFonts w:ascii="Times New Roman" w:hAnsi="Times New Roman" w:cs="Times New Roman" w:hint="default"/>
      <w:color w:val="000000"/>
      <w:sz w:val="20"/>
      <w:szCs w:val="20"/>
      <w:u w:val="none"/>
    </w:rPr>
  </w:style>
  <w:style w:type="paragraph" w:customStyle="1" w:styleId="Revision1">
    <w:name w:val="Revision1"/>
    <w:hidden/>
    <w:uiPriority w:val="99"/>
    <w:semiHidden/>
    <w:qFormat/>
    <w:rPr>
      <w:rFonts w:eastAsia="Times New Roman"/>
      <w:sz w:val="24"/>
      <w:szCs w:val="24"/>
    </w:rPr>
  </w:style>
  <w:style w:type="character" w:customStyle="1" w:styleId="ListParagraphChar">
    <w:name w:val="List Paragraph Char"/>
    <w:link w:val="ListParagraph"/>
    <w:uiPriority w:val="34"/>
    <w:qFormat/>
    <w:locked/>
    <w:rPr>
      <w:rFonts w:eastAsia="Times New Roman"/>
      <w:sz w:val="24"/>
      <w:szCs w:val="24"/>
    </w:rPr>
  </w:style>
  <w:style w:type="paragraph" w:customStyle="1" w:styleId="Revision2">
    <w:name w:val="Revision2"/>
    <w:hidden/>
    <w:uiPriority w:val="99"/>
    <w:semiHidden/>
    <w:qFormat/>
    <w:rPr>
      <w:rFonts w:eastAsia="Times New Roman"/>
      <w:sz w:val="24"/>
      <w:szCs w:val="24"/>
    </w:rPr>
  </w:style>
  <w:style w:type="paragraph" w:styleId="Revision">
    <w:name w:val="Revision"/>
    <w:hidden/>
    <w:uiPriority w:val="99"/>
    <w:semiHidden/>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9B4E6B-4A2B-4125-A151-4BC78ECBE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6672</Words>
  <Characters>38031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44614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creator>COA - Manila City</dc:creator>
  <cp:lastModifiedBy>Mario B. Bacoco</cp:lastModifiedBy>
  <cp:revision>10</cp:revision>
  <cp:lastPrinted>2021-08-25T06:15:00Z</cp:lastPrinted>
  <dcterms:created xsi:type="dcterms:W3CDTF">2021-08-25T01:21:00Z</dcterms:created>
  <dcterms:modified xsi:type="dcterms:W3CDTF">2021-08-26T00:50:00Z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1033-11.2.0.10224</vt:lpwstr>
  </property>
</Properties>
</file>