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Subtitle"/>
        <w:ind w:right="-149"/>
        <w:jc w:val="center"/>
        <w:rPr>
          <w:sz w:val="28"/>
          <w:szCs w:val="28"/>
        </w:rPr>
      </w:pPr>
      <w:bookmarkStart w:id="0" w:name="OLE_LINK1"/>
      <w:bookmarkStart w:id="1" w:name="_GoBack"/>
      <w:bookmarkEnd w:id="1"/>
      <w:r>
        <w:rPr>
          <w:sz w:val="28"/>
          <w:szCs w:val="28"/>
        </w:rPr>
        <w:t>STATUS OF IMPLEMENTATION OF PRIOR YEARS’ AUDIT RECOMMENDATIONS</w:t>
      </w:r>
    </w:p>
    <w:p>
      <w:pPr>
        <w:pStyle w:val="Subtitle"/>
      </w:pPr>
    </w:p>
    <w:p>
      <w:pPr>
        <w:pStyle w:val="Subtitle"/>
        <w:rPr>
          <w:b w:val="0"/>
          <w:sz w:val="24"/>
          <w:szCs w:val="24"/>
        </w:rPr>
      </w:pPr>
      <w:bookmarkStart w:id="2" w:name="_Hlk79945479"/>
      <w:r>
        <w:rPr>
          <w:b w:val="0"/>
          <w:sz w:val="24"/>
          <w:szCs w:val="24"/>
        </w:rPr>
        <w:t>Of the 79 prior years’ audit recommendations contained in the 2017, 2018 and 2019 Annual Audit Reports, 23 or 29.11 percent were fully implemented, 32 or 40.51 percent were partially implemented and 24 or 30.38 percent were unimplemented.</w:t>
      </w:r>
      <w:bookmarkEnd w:id="2"/>
      <w:r>
        <w:rPr>
          <w:b w:val="0"/>
          <w:sz w:val="24"/>
          <w:szCs w:val="24"/>
        </w:rPr>
        <w:t xml:space="preserve"> Details are as follows:</w:t>
      </w:r>
    </w:p>
    <w:p>
      <w:pPr>
        <w:pStyle w:val="Subtitle"/>
        <w:rPr>
          <w:b w:val="0"/>
        </w:rPr>
      </w:pPr>
    </w:p>
    <w:tbl>
      <w:tblPr>
        <w:tblW w:w="972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620" w:firstRow="1" w:lastRow="0" w:firstColumn="0" w:lastColumn="0" w:noHBand="1" w:noVBand="1"/>
      </w:tblPr>
      <w:tblGrid>
        <w:gridCol w:w="1260"/>
        <w:gridCol w:w="3330"/>
        <w:gridCol w:w="1643"/>
        <w:gridCol w:w="1620"/>
        <w:gridCol w:w="1872"/>
      </w:tblGrid>
      <w:tr>
        <w:trPr>
          <w:tblHeader/>
        </w:trPr>
        <w:tc>
          <w:tcPr>
            <w:tcW w:w="1260" w:type="dxa"/>
            <w:tcBorders>
              <w:top w:val="single" w:sz="4" w:space="0" w:color="auto"/>
              <w:left w:val="single" w:sz="4" w:space="0" w:color="auto"/>
              <w:bottom w:val="single" w:sz="4" w:space="0" w:color="auto"/>
              <w:right w:val="single" w:sz="4" w:space="0" w:color="auto"/>
            </w:tcBorders>
          </w:tcPr>
          <w:p>
            <w:pPr>
              <w:pStyle w:val="Heading2"/>
              <w:rPr>
                <w:sz w:val="20"/>
                <w:szCs w:val="20"/>
              </w:rPr>
            </w:pPr>
            <w:bookmarkStart w:id="3" w:name="OLE_LINK2"/>
          </w:p>
          <w:p>
            <w:pPr>
              <w:pStyle w:val="Heading2"/>
              <w:rPr>
                <w:sz w:val="20"/>
                <w:szCs w:val="20"/>
              </w:rPr>
            </w:pPr>
            <w:r>
              <w:rPr>
                <w:sz w:val="20"/>
                <w:szCs w:val="20"/>
              </w:rPr>
              <w:t>Reference</w:t>
            </w:r>
          </w:p>
        </w:tc>
        <w:tc>
          <w:tcPr>
            <w:tcW w:w="3330" w:type="dxa"/>
            <w:tcBorders>
              <w:top w:val="single" w:sz="4" w:space="0" w:color="auto"/>
              <w:left w:val="single" w:sz="4" w:space="0" w:color="auto"/>
              <w:bottom w:val="single" w:sz="4" w:space="0" w:color="auto"/>
              <w:right w:val="single" w:sz="4" w:space="0" w:color="auto"/>
            </w:tcBorders>
            <w:vAlign w:val="center"/>
          </w:tcPr>
          <w:p>
            <w:pPr>
              <w:pStyle w:val="Heading2"/>
              <w:rPr>
                <w:sz w:val="20"/>
                <w:szCs w:val="20"/>
              </w:rPr>
            </w:pPr>
            <w:r>
              <w:rPr>
                <w:sz w:val="20"/>
                <w:szCs w:val="20"/>
              </w:rPr>
              <w:t>Observations and Recommendations</w:t>
            </w:r>
          </w:p>
        </w:tc>
        <w:tc>
          <w:tcPr>
            <w:tcW w:w="1643" w:type="dxa"/>
            <w:tcBorders>
              <w:top w:val="single" w:sz="4" w:space="0" w:color="auto"/>
              <w:left w:val="single" w:sz="4" w:space="0" w:color="auto"/>
              <w:bottom w:val="single" w:sz="4" w:space="0" w:color="auto"/>
              <w:right w:val="single" w:sz="4" w:space="0" w:color="auto"/>
            </w:tcBorders>
            <w:vAlign w:val="center"/>
          </w:tcPr>
          <w:p>
            <w:pPr>
              <w:pStyle w:val="Heading2"/>
              <w:ind w:left="-108" w:right="-108"/>
              <w:rPr>
                <w:sz w:val="20"/>
                <w:szCs w:val="20"/>
              </w:rPr>
            </w:pPr>
            <w:r>
              <w:rPr>
                <w:sz w:val="20"/>
                <w:szCs w:val="20"/>
              </w:rPr>
              <w:t>Status of Implementation</w:t>
            </w:r>
          </w:p>
        </w:tc>
        <w:tc>
          <w:tcPr>
            <w:tcW w:w="1620" w:type="dxa"/>
            <w:tcBorders>
              <w:top w:val="single" w:sz="4" w:space="0" w:color="auto"/>
              <w:left w:val="single" w:sz="4" w:space="0" w:color="auto"/>
              <w:bottom w:val="single" w:sz="4" w:space="0" w:color="auto"/>
              <w:right w:val="single" w:sz="4" w:space="0" w:color="auto"/>
            </w:tcBorders>
            <w:vAlign w:val="center"/>
          </w:tcPr>
          <w:p>
            <w:pPr>
              <w:pStyle w:val="Heading2"/>
              <w:rPr>
                <w:sz w:val="20"/>
                <w:szCs w:val="20"/>
              </w:rPr>
            </w:pPr>
            <w:r>
              <w:rPr>
                <w:sz w:val="20"/>
                <w:szCs w:val="20"/>
              </w:rPr>
              <w:t>Management Action/ Comments</w:t>
            </w:r>
          </w:p>
        </w:tc>
        <w:tc>
          <w:tcPr>
            <w:tcW w:w="1872" w:type="dxa"/>
            <w:tcBorders>
              <w:top w:val="single" w:sz="4" w:space="0" w:color="auto"/>
              <w:left w:val="single" w:sz="4" w:space="0" w:color="auto"/>
              <w:bottom w:val="single" w:sz="4" w:space="0" w:color="auto"/>
              <w:right w:val="single" w:sz="4" w:space="0" w:color="auto"/>
            </w:tcBorders>
            <w:vAlign w:val="center"/>
          </w:tcPr>
          <w:p>
            <w:pPr>
              <w:pStyle w:val="Heading2"/>
              <w:rPr>
                <w:sz w:val="20"/>
                <w:szCs w:val="20"/>
              </w:rPr>
            </w:pPr>
            <w:r>
              <w:rPr>
                <w:sz w:val="20"/>
                <w:szCs w:val="20"/>
              </w:rPr>
              <w:t xml:space="preserve">Reason for </w:t>
            </w:r>
          </w:p>
          <w:p>
            <w:pPr>
              <w:pStyle w:val="Heading2"/>
              <w:rPr>
                <w:sz w:val="20"/>
                <w:szCs w:val="20"/>
              </w:rPr>
            </w:pPr>
            <w:r>
              <w:rPr>
                <w:sz w:val="20"/>
                <w:szCs w:val="20"/>
              </w:rPr>
              <w:t>Partial /Non- Implementation</w:t>
            </w:r>
          </w:p>
        </w:tc>
      </w:tr>
      <w:tr>
        <w:trPr>
          <w:trHeight w:val="70"/>
        </w:trPr>
        <w:tc>
          <w:tcPr>
            <w:tcW w:w="9725" w:type="dxa"/>
            <w:gridSpan w:val="5"/>
            <w:tcBorders>
              <w:top w:val="single" w:sz="4" w:space="0" w:color="auto"/>
            </w:tcBorders>
          </w:tcPr>
          <w:p>
            <w:pPr>
              <w:pStyle w:val="NoSpacing"/>
              <w:jc w:val="both"/>
              <w:rPr>
                <w:b/>
                <w:sz w:val="20"/>
                <w:szCs w:val="20"/>
              </w:rPr>
            </w:pPr>
            <w:r>
              <w:rPr>
                <w:b/>
                <w:sz w:val="20"/>
                <w:szCs w:val="20"/>
              </w:rPr>
              <w:t>AAR CY 2019</w:t>
            </w:r>
          </w:p>
        </w:tc>
      </w:tr>
      <w:tr>
        <w:trPr>
          <w:trHeight w:val="70"/>
        </w:trPr>
        <w:tc>
          <w:tcPr>
            <w:tcW w:w="1260" w:type="dxa"/>
            <w:tcBorders>
              <w:bottom w:val="nil"/>
            </w:tcBorders>
          </w:tcPr>
          <w:p>
            <w:pPr>
              <w:pStyle w:val="NoSpacing"/>
              <w:jc w:val="center"/>
              <w:rPr>
                <w:sz w:val="20"/>
                <w:szCs w:val="20"/>
              </w:rPr>
            </w:pPr>
            <w:r>
              <w:rPr>
                <w:sz w:val="20"/>
                <w:szCs w:val="20"/>
              </w:rPr>
              <w:t>Observation No. 1,</w:t>
            </w:r>
          </w:p>
          <w:p>
            <w:pPr>
              <w:pStyle w:val="NoSpacing"/>
              <w:jc w:val="center"/>
              <w:rPr>
                <w:sz w:val="20"/>
                <w:szCs w:val="20"/>
              </w:rPr>
            </w:pPr>
            <w:r>
              <w:rPr>
                <w:sz w:val="20"/>
                <w:szCs w:val="20"/>
              </w:rPr>
              <w:t>Pages 63-67</w:t>
            </w:r>
          </w:p>
        </w:tc>
        <w:tc>
          <w:tcPr>
            <w:tcW w:w="3330" w:type="dxa"/>
            <w:tcBorders>
              <w:bottom w:val="nil"/>
            </w:tcBorders>
          </w:tcPr>
          <w:p>
            <w:pPr>
              <w:pStyle w:val="ListParagraph"/>
              <w:widowControl w:val="0"/>
              <w:numPr>
                <w:ilvl w:val="0"/>
                <w:numId w:val="1"/>
              </w:numPr>
              <w:overflowPunct w:val="0"/>
              <w:autoSpaceDE w:val="0"/>
              <w:autoSpaceDN w:val="0"/>
              <w:adjustRightInd w:val="0"/>
              <w:ind w:left="338" w:hanging="346"/>
              <w:jc w:val="both"/>
              <w:rPr>
                <w:bCs/>
                <w:iCs/>
                <w:sz w:val="20"/>
                <w:szCs w:val="20"/>
              </w:rPr>
            </w:pPr>
            <w:r>
              <w:rPr>
                <w:bCs/>
                <w:iCs/>
                <w:sz w:val="20"/>
                <w:szCs w:val="20"/>
              </w:rPr>
              <w:t xml:space="preserve">The City has not submitted 1,684 disbursement vouchers (DVs) and their supporting documents involving P2.275 billion, thereby limiting the extent of audit, preventing us to establish fully the validity of the underlying transactions, and forfeiting the benefit of, among others, timely detecting errors and deficiencies; identifying areas for improvement; and having input to assessments of accountability and decisions that need to be made. One thousand four hundred thirty-five (1,435) of these </w:t>
            </w:r>
            <w:proofErr w:type="spellStart"/>
            <w:r>
              <w:rPr>
                <w:bCs/>
                <w:iCs/>
                <w:sz w:val="20"/>
                <w:szCs w:val="20"/>
              </w:rPr>
              <w:t>unsubmitted</w:t>
            </w:r>
            <w:proofErr w:type="spellEnd"/>
            <w:r>
              <w:rPr>
                <w:bCs/>
                <w:iCs/>
                <w:sz w:val="20"/>
                <w:szCs w:val="20"/>
              </w:rPr>
              <w:t xml:space="preserve"> DVs in the amount of P2.142 billion pertain to the disbursements from CY 2015 to 30 June 2019 and are the accountabilities of the previous City Administrations.</w:t>
            </w:r>
          </w:p>
          <w:p>
            <w:pPr>
              <w:pStyle w:val="ListParagraph"/>
              <w:widowControl w:val="0"/>
              <w:overflowPunct w:val="0"/>
              <w:autoSpaceDE w:val="0"/>
              <w:autoSpaceDN w:val="0"/>
              <w:adjustRightInd w:val="0"/>
              <w:ind w:left="426"/>
              <w:jc w:val="both"/>
              <w:rPr>
                <w:bCs/>
                <w:iCs/>
                <w:sz w:val="20"/>
                <w:szCs w:val="20"/>
              </w:rPr>
            </w:pPr>
          </w:p>
        </w:tc>
        <w:tc>
          <w:tcPr>
            <w:tcW w:w="1643" w:type="dxa"/>
            <w:tcBorders>
              <w:bottom w:val="nil"/>
            </w:tcBorders>
          </w:tcPr>
          <w:p>
            <w:pPr>
              <w:pStyle w:val="NoSpacing"/>
              <w:jc w:val="center"/>
              <w:rPr>
                <w:sz w:val="20"/>
                <w:szCs w:val="20"/>
              </w:rPr>
            </w:pPr>
          </w:p>
        </w:tc>
        <w:tc>
          <w:tcPr>
            <w:tcW w:w="1620" w:type="dxa"/>
            <w:tcBorders>
              <w:bottom w:val="nil"/>
            </w:tcBorders>
          </w:tcPr>
          <w:p>
            <w:pPr>
              <w:pStyle w:val="NoSpacing"/>
              <w:jc w:val="both"/>
              <w:rPr>
                <w:sz w:val="20"/>
                <w:szCs w:val="20"/>
              </w:rPr>
            </w:pPr>
          </w:p>
        </w:tc>
        <w:tc>
          <w:tcPr>
            <w:tcW w:w="1872" w:type="dxa"/>
            <w:tcBorders>
              <w:bottom w:val="nil"/>
            </w:tcBorders>
          </w:tcPr>
          <w:p>
            <w:pPr>
              <w:pStyle w:val="NoSpacing"/>
              <w:jc w:val="both"/>
              <w:rPr>
                <w:sz w:val="20"/>
                <w:szCs w:val="20"/>
              </w:rPr>
            </w:pPr>
          </w:p>
        </w:tc>
      </w:tr>
      <w:tr>
        <w:trPr>
          <w:trHeight w:val="70"/>
        </w:trPr>
        <w:tc>
          <w:tcPr>
            <w:tcW w:w="1260" w:type="dxa"/>
            <w:tcBorders>
              <w:top w:val="nil"/>
            </w:tcBorders>
          </w:tcPr>
          <w:p>
            <w:pPr>
              <w:pStyle w:val="NoSpacing"/>
              <w:jc w:val="center"/>
              <w:rPr>
                <w:sz w:val="20"/>
                <w:szCs w:val="20"/>
              </w:rPr>
            </w:pPr>
          </w:p>
        </w:tc>
        <w:tc>
          <w:tcPr>
            <w:tcW w:w="3330" w:type="dxa"/>
            <w:tcBorders>
              <w:top w:val="nil"/>
            </w:tcBorders>
          </w:tcPr>
          <w:p>
            <w:pPr>
              <w:pStyle w:val="ListParagraph"/>
              <w:widowControl w:val="0"/>
              <w:overflowPunct w:val="0"/>
              <w:autoSpaceDE w:val="0"/>
              <w:autoSpaceDN w:val="0"/>
              <w:adjustRightInd w:val="0"/>
              <w:ind w:left="338"/>
              <w:jc w:val="both"/>
              <w:rPr>
                <w:sz w:val="20"/>
                <w:szCs w:val="20"/>
              </w:rPr>
            </w:pPr>
            <w:r>
              <w:rPr>
                <w:sz w:val="20"/>
                <w:szCs w:val="20"/>
              </w:rPr>
              <w:t>We recommended that Management:</w:t>
            </w:r>
          </w:p>
          <w:p>
            <w:pPr>
              <w:pStyle w:val="ListParagraph"/>
              <w:widowControl w:val="0"/>
              <w:overflowPunct w:val="0"/>
              <w:autoSpaceDE w:val="0"/>
              <w:autoSpaceDN w:val="0"/>
              <w:adjustRightInd w:val="0"/>
              <w:ind w:left="426"/>
              <w:jc w:val="both"/>
              <w:rPr>
                <w:sz w:val="20"/>
                <w:szCs w:val="20"/>
              </w:rPr>
            </w:pPr>
          </w:p>
          <w:p>
            <w:pPr>
              <w:pStyle w:val="ListParagraph"/>
              <w:widowControl w:val="0"/>
              <w:numPr>
                <w:ilvl w:val="0"/>
                <w:numId w:val="2"/>
              </w:numPr>
              <w:overflowPunct w:val="0"/>
              <w:autoSpaceDE w:val="0"/>
              <w:autoSpaceDN w:val="0"/>
              <w:adjustRightInd w:val="0"/>
              <w:ind w:left="609" w:hanging="271"/>
              <w:jc w:val="both"/>
              <w:rPr>
                <w:sz w:val="20"/>
                <w:szCs w:val="20"/>
              </w:rPr>
            </w:pPr>
            <w:r>
              <w:rPr>
                <w:sz w:val="20"/>
                <w:szCs w:val="20"/>
              </w:rPr>
              <w:t xml:space="preserve">Direct the CTO to: </w:t>
            </w:r>
          </w:p>
          <w:p>
            <w:pPr>
              <w:pStyle w:val="ListParagraph"/>
              <w:widowControl w:val="0"/>
              <w:overflowPunct w:val="0"/>
              <w:autoSpaceDE w:val="0"/>
              <w:autoSpaceDN w:val="0"/>
              <w:adjustRightInd w:val="0"/>
              <w:ind w:left="426"/>
              <w:jc w:val="both"/>
              <w:rPr>
                <w:sz w:val="20"/>
                <w:szCs w:val="20"/>
              </w:rPr>
            </w:pPr>
          </w:p>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 xml:space="preserve">Produce and submit to the OCAT without further delay all the 288 DVs in para. 1.7 of Observation No. 1; </w:t>
            </w:r>
          </w:p>
          <w:p>
            <w:pPr>
              <w:pStyle w:val="ListParagraph"/>
              <w:widowControl w:val="0"/>
              <w:overflowPunct w:val="0"/>
              <w:autoSpaceDE w:val="0"/>
              <w:autoSpaceDN w:val="0"/>
              <w:adjustRightInd w:val="0"/>
              <w:ind w:left="426"/>
              <w:jc w:val="both"/>
              <w:rPr>
                <w:bCs/>
                <w:iCs/>
                <w:sz w:val="20"/>
                <w:szCs w:val="20"/>
              </w:rPr>
            </w:pPr>
          </w:p>
        </w:tc>
        <w:tc>
          <w:tcPr>
            <w:tcW w:w="1643" w:type="dxa"/>
            <w:tcBorders>
              <w:top w:val="nil"/>
            </w:tcBorders>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r>
              <w:rPr>
                <w:sz w:val="20"/>
                <w:szCs w:val="20"/>
              </w:rPr>
              <w:t>Not Implemented</w:t>
            </w:r>
          </w:p>
          <w:p>
            <w:pPr>
              <w:spacing w:after="0" w:line="240" w:lineRule="auto"/>
              <w:rPr>
                <w:sz w:val="20"/>
                <w:szCs w:val="20"/>
              </w:rPr>
            </w:pPr>
          </w:p>
        </w:tc>
        <w:tc>
          <w:tcPr>
            <w:tcW w:w="1620" w:type="dxa"/>
            <w:tcBorders>
              <w:top w:val="nil"/>
            </w:tcBorders>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lang w:val="en-US"/>
              </w:rPr>
            </w:pPr>
            <w:r>
              <w:rPr>
                <w:sz w:val="20"/>
                <w:szCs w:val="20"/>
              </w:rPr>
              <w:t>As of 31</w:t>
            </w:r>
            <w:r>
              <w:rPr>
                <w:sz w:val="20"/>
                <w:szCs w:val="20"/>
                <w:lang w:val="en-US"/>
              </w:rPr>
              <w:t>/12/</w:t>
            </w:r>
            <w:r>
              <w:rPr>
                <w:sz w:val="20"/>
                <w:szCs w:val="20"/>
              </w:rPr>
              <w:t xml:space="preserve">20, 36 paid DVs </w:t>
            </w:r>
            <w:r>
              <w:rPr>
                <w:sz w:val="20"/>
                <w:szCs w:val="20"/>
                <w:lang w:val="en-US"/>
              </w:rPr>
              <w:t>(</w:t>
            </w:r>
            <w:r>
              <w:rPr>
                <w:sz w:val="20"/>
                <w:szCs w:val="20"/>
              </w:rPr>
              <w:t>P51.352 million</w:t>
            </w:r>
            <w:r>
              <w:rPr>
                <w:sz w:val="20"/>
                <w:szCs w:val="20"/>
                <w:lang w:val="en-US"/>
              </w:rPr>
              <w:t xml:space="preserve">) </w:t>
            </w:r>
            <w:r>
              <w:rPr>
                <w:sz w:val="20"/>
                <w:szCs w:val="20"/>
              </w:rPr>
              <w:t xml:space="preserve">are </w:t>
            </w:r>
            <w:r>
              <w:rPr>
                <w:sz w:val="20"/>
                <w:szCs w:val="20"/>
                <w:lang w:val="en-US"/>
              </w:rPr>
              <w:t xml:space="preserve">not yet </w:t>
            </w:r>
            <w:r>
              <w:rPr>
                <w:sz w:val="20"/>
                <w:szCs w:val="20"/>
              </w:rPr>
              <w:t>submitted to</w:t>
            </w:r>
            <w:r>
              <w:rPr>
                <w:sz w:val="20"/>
                <w:szCs w:val="20"/>
                <w:lang w:val="en-US"/>
              </w:rPr>
              <w:t xml:space="preserve"> the</w:t>
            </w:r>
            <w:r>
              <w:rPr>
                <w:sz w:val="20"/>
                <w:szCs w:val="20"/>
              </w:rPr>
              <w:t xml:space="preserve"> OCAT</w:t>
            </w:r>
            <w:r>
              <w:rPr>
                <w:sz w:val="20"/>
                <w:szCs w:val="20"/>
                <w:lang w:val="en-US"/>
              </w:rPr>
              <w:t xml:space="preserve"> (</w:t>
            </w:r>
            <w:r>
              <w:rPr>
                <w:sz w:val="20"/>
                <w:szCs w:val="20"/>
              </w:rPr>
              <w:t>payments for B</w:t>
            </w:r>
            <w:proofErr w:type="spellStart"/>
            <w:r>
              <w:rPr>
                <w:sz w:val="20"/>
                <w:szCs w:val="20"/>
                <w:lang w:val="en-US"/>
              </w:rPr>
              <w:t>Tr</w:t>
            </w:r>
            <w:proofErr w:type="spellEnd"/>
            <w:r>
              <w:rPr>
                <w:sz w:val="20"/>
                <w:szCs w:val="20"/>
              </w:rPr>
              <w:t xml:space="preserve">, </w:t>
            </w:r>
            <w:r>
              <w:rPr>
                <w:sz w:val="20"/>
                <w:szCs w:val="20"/>
                <w:lang w:val="en-US"/>
              </w:rPr>
              <w:t>PS-</w:t>
            </w:r>
            <w:r>
              <w:rPr>
                <w:sz w:val="20"/>
                <w:szCs w:val="20"/>
              </w:rPr>
              <w:t xml:space="preserve">DBM, etc. </w:t>
            </w:r>
            <w:r>
              <w:rPr>
                <w:sz w:val="20"/>
                <w:szCs w:val="20"/>
                <w:lang w:val="en-US"/>
              </w:rPr>
              <w:t>that</w:t>
            </w:r>
            <w:r>
              <w:rPr>
                <w:sz w:val="20"/>
                <w:szCs w:val="20"/>
              </w:rPr>
              <w:t xml:space="preserve"> lack </w:t>
            </w:r>
            <w:r>
              <w:rPr>
                <w:sz w:val="20"/>
                <w:szCs w:val="20"/>
                <w:lang w:val="en-US"/>
              </w:rPr>
              <w:t>Official</w:t>
            </w:r>
            <w:r>
              <w:rPr>
                <w:sz w:val="20"/>
                <w:szCs w:val="20"/>
              </w:rPr>
              <w:t xml:space="preserve"> Receipt</w:t>
            </w:r>
            <w:r>
              <w:rPr>
                <w:sz w:val="20"/>
                <w:szCs w:val="20"/>
                <w:lang w:val="en-US"/>
              </w:rPr>
              <w:t xml:space="preserve"> </w:t>
            </w:r>
            <w:r>
              <w:rPr>
                <w:sz w:val="20"/>
                <w:szCs w:val="20"/>
              </w:rPr>
              <w:t>or Deposit Slip</w:t>
            </w:r>
            <w:r>
              <w:rPr>
                <w:sz w:val="20"/>
                <w:szCs w:val="20"/>
                <w:lang w:val="en-US"/>
              </w:rPr>
              <w:t xml:space="preserve"> and</w:t>
            </w:r>
            <w:r>
              <w:rPr>
                <w:sz w:val="20"/>
                <w:szCs w:val="20"/>
              </w:rPr>
              <w:t xml:space="preserve"> </w:t>
            </w:r>
            <w:r>
              <w:rPr>
                <w:sz w:val="20"/>
                <w:szCs w:val="20"/>
                <w:lang w:val="en-US"/>
              </w:rPr>
              <w:t xml:space="preserve">for </w:t>
            </w:r>
            <w:r>
              <w:rPr>
                <w:sz w:val="20"/>
                <w:szCs w:val="20"/>
              </w:rPr>
              <w:t>Job Order workers</w:t>
            </w:r>
            <w:r>
              <w:rPr>
                <w:sz w:val="20"/>
                <w:szCs w:val="20"/>
                <w:lang w:val="en-US"/>
              </w:rPr>
              <w:t xml:space="preserve"> </w:t>
            </w:r>
            <w:r>
              <w:rPr>
                <w:sz w:val="20"/>
                <w:szCs w:val="20"/>
              </w:rPr>
              <w:t>lack</w:t>
            </w:r>
            <w:proofErr w:type="spellStart"/>
            <w:r>
              <w:rPr>
                <w:sz w:val="20"/>
                <w:szCs w:val="20"/>
                <w:lang w:val="en-US"/>
              </w:rPr>
              <w:t>ing</w:t>
            </w:r>
            <w:proofErr w:type="spellEnd"/>
            <w:r>
              <w:rPr>
                <w:sz w:val="20"/>
                <w:szCs w:val="20"/>
              </w:rPr>
              <w:t xml:space="preserve"> duplicate</w:t>
            </w:r>
            <w:r>
              <w:rPr>
                <w:sz w:val="20"/>
                <w:szCs w:val="20"/>
                <w:lang w:val="en-US"/>
              </w:rPr>
              <w:t>s</w:t>
            </w:r>
            <w:r>
              <w:rPr>
                <w:sz w:val="20"/>
                <w:szCs w:val="20"/>
              </w:rPr>
              <w:t xml:space="preserve"> of checks</w:t>
            </w:r>
            <w:r>
              <w:rPr>
                <w:sz w:val="20"/>
                <w:szCs w:val="20"/>
                <w:lang w:val="en-US"/>
              </w:rPr>
              <w:t>).</w:t>
            </w:r>
          </w:p>
          <w:p>
            <w:pPr>
              <w:pStyle w:val="NoSpacing"/>
              <w:jc w:val="both"/>
              <w:rPr>
                <w:sz w:val="20"/>
                <w:szCs w:val="20"/>
              </w:rPr>
            </w:pPr>
          </w:p>
        </w:tc>
        <w:tc>
          <w:tcPr>
            <w:tcW w:w="1872" w:type="dxa"/>
            <w:tcBorders>
              <w:top w:val="nil"/>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pStyle w:val="NoSpacing"/>
              <w:jc w:val="both"/>
              <w:rPr>
                <w:sz w:val="20"/>
                <w:szCs w:val="20"/>
              </w:rPr>
            </w:pPr>
            <w:r>
              <w:rPr>
                <w:sz w:val="20"/>
                <w:szCs w:val="20"/>
              </w:rPr>
              <w:t xml:space="preserve">Of the </w:t>
            </w:r>
            <w:proofErr w:type="spellStart"/>
            <w:r>
              <w:rPr>
                <w:sz w:val="20"/>
                <w:szCs w:val="20"/>
              </w:rPr>
              <w:t>unsubmitted</w:t>
            </w:r>
            <w:proofErr w:type="spellEnd"/>
            <w:r>
              <w:rPr>
                <w:sz w:val="20"/>
                <w:szCs w:val="20"/>
              </w:rPr>
              <w:t xml:space="preserve"> DVs, 259 in the amount of P152.187 million are in the custody of the CTO as of 05/08/2021.</w:t>
            </w:r>
          </w:p>
        </w:tc>
      </w:tr>
      <w:tr>
        <w:trPr>
          <w:trHeight w:val="70"/>
        </w:trPr>
        <w:tc>
          <w:tcPr>
            <w:tcW w:w="1260" w:type="dxa"/>
            <w:tcBorders>
              <w:bottom w:val="nil"/>
            </w:tcBorders>
          </w:tcPr>
          <w:p>
            <w:pPr>
              <w:pStyle w:val="NoSpacing"/>
              <w:jc w:val="center"/>
              <w:rPr>
                <w:sz w:val="20"/>
                <w:szCs w:val="20"/>
              </w:rPr>
            </w:pPr>
          </w:p>
        </w:tc>
        <w:tc>
          <w:tcPr>
            <w:tcW w:w="3330" w:type="dxa"/>
            <w:tcBorders>
              <w:bottom w:val="nil"/>
            </w:tcBorders>
          </w:tcPr>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 xml:space="preserve">Maintain a registry of DVs not   yet submitted to the OCAT based on the RCI; </w:t>
            </w:r>
          </w:p>
          <w:p>
            <w:pPr>
              <w:pStyle w:val="ListParagraph"/>
              <w:widowControl w:val="0"/>
              <w:overflowPunct w:val="0"/>
              <w:autoSpaceDE w:val="0"/>
              <w:autoSpaceDN w:val="0"/>
              <w:adjustRightInd w:val="0"/>
              <w:jc w:val="both"/>
              <w:rPr>
                <w:sz w:val="20"/>
                <w:szCs w:val="20"/>
              </w:rPr>
            </w:pPr>
          </w:p>
        </w:tc>
        <w:tc>
          <w:tcPr>
            <w:tcW w:w="1643" w:type="dxa"/>
            <w:tcBorders>
              <w:bottom w:val="nil"/>
            </w:tcBorders>
          </w:tcPr>
          <w:p>
            <w:pPr>
              <w:spacing w:after="0" w:line="240" w:lineRule="auto"/>
              <w:jc w:val="center"/>
              <w:rPr>
                <w:sz w:val="20"/>
                <w:szCs w:val="20"/>
                <w:lang w:val="en-US"/>
              </w:rPr>
            </w:pPr>
            <w:r>
              <w:rPr>
                <w:sz w:val="20"/>
                <w:szCs w:val="20"/>
              </w:rPr>
              <w:t>Fully Implemented</w:t>
            </w:r>
          </w:p>
          <w:p>
            <w:pPr>
              <w:pStyle w:val="NoSpacing"/>
              <w:jc w:val="center"/>
              <w:rPr>
                <w:sz w:val="20"/>
                <w:szCs w:val="20"/>
              </w:rPr>
            </w:pPr>
          </w:p>
        </w:tc>
        <w:tc>
          <w:tcPr>
            <w:tcW w:w="1620" w:type="dxa"/>
            <w:tcBorders>
              <w:bottom w:val="nil"/>
            </w:tcBorders>
          </w:tcPr>
          <w:p>
            <w:pPr>
              <w:pStyle w:val="NoSpacing"/>
              <w:jc w:val="both"/>
              <w:rPr>
                <w:sz w:val="20"/>
                <w:szCs w:val="20"/>
                <w:lang w:val="en-US"/>
              </w:rPr>
            </w:pPr>
            <w:r>
              <w:rPr>
                <w:sz w:val="20"/>
                <w:szCs w:val="20"/>
              </w:rPr>
              <w:t>The CTO maintains a schedule of the DVs not yet submitted to OCAT</w:t>
            </w:r>
            <w:r>
              <w:rPr>
                <w:sz w:val="20"/>
                <w:szCs w:val="20"/>
                <w:lang w:val="en-US"/>
              </w:rPr>
              <w:t xml:space="preserve"> and </w:t>
            </w:r>
            <w:r>
              <w:rPr>
                <w:sz w:val="20"/>
                <w:szCs w:val="20"/>
              </w:rPr>
              <w:t>provided the same to the CAO.</w:t>
            </w:r>
          </w:p>
          <w:p>
            <w:pPr>
              <w:pStyle w:val="NoSpacing"/>
              <w:jc w:val="both"/>
              <w:rPr>
                <w:sz w:val="20"/>
                <w:szCs w:val="20"/>
              </w:rPr>
            </w:pPr>
          </w:p>
        </w:tc>
        <w:tc>
          <w:tcPr>
            <w:tcW w:w="1872" w:type="dxa"/>
            <w:tcBorders>
              <w:bottom w:val="nil"/>
            </w:tcBorders>
          </w:tcPr>
          <w:p>
            <w:pPr>
              <w:spacing w:after="0" w:line="240" w:lineRule="auto"/>
              <w:jc w:val="both"/>
              <w:rPr>
                <w:sz w:val="20"/>
                <w:szCs w:val="20"/>
              </w:rPr>
            </w:pPr>
          </w:p>
        </w:tc>
      </w:tr>
      <w:tr>
        <w:trPr>
          <w:trHeight w:val="70"/>
        </w:trPr>
        <w:tc>
          <w:tcPr>
            <w:tcW w:w="1260" w:type="dxa"/>
            <w:tcBorders>
              <w:top w:val="nil"/>
              <w:bottom w:val="nil"/>
            </w:tcBorders>
          </w:tcPr>
          <w:p>
            <w:pPr>
              <w:pStyle w:val="NoSpacing"/>
              <w:jc w:val="center"/>
              <w:rPr>
                <w:sz w:val="20"/>
                <w:szCs w:val="20"/>
              </w:rPr>
            </w:pPr>
          </w:p>
        </w:tc>
        <w:tc>
          <w:tcPr>
            <w:tcW w:w="3330" w:type="dxa"/>
            <w:tcBorders>
              <w:top w:val="nil"/>
              <w:bottom w:val="nil"/>
            </w:tcBorders>
          </w:tcPr>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Submit to the OCAT within the prescribed period all the DVs supporting the RCI; and</w:t>
            </w:r>
          </w:p>
        </w:tc>
        <w:tc>
          <w:tcPr>
            <w:tcW w:w="1643" w:type="dxa"/>
            <w:tcBorders>
              <w:top w:val="nil"/>
              <w:bottom w:val="nil"/>
            </w:tcBorders>
          </w:tcPr>
          <w:p>
            <w:pPr>
              <w:spacing w:after="0" w:line="240" w:lineRule="auto"/>
              <w:jc w:val="center"/>
              <w:rPr>
                <w:sz w:val="20"/>
                <w:szCs w:val="20"/>
              </w:rPr>
            </w:pPr>
            <w:r>
              <w:rPr>
                <w:sz w:val="20"/>
                <w:szCs w:val="20"/>
              </w:rPr>
              <w:t>Not Implemented</w:t>
            </w:r>
          </w:p>
          <w:p>
            <w:pPr>
              <w:spacing w:after="0" w:line="240" w:lineRule="auto"/>
              <w:rPr>
                <w:sz w:val="20"/>
                <w:szCs w:val="20"/>
              </w:rPr>
            </w:pPr>
          </w:p>
        </w:tc>
        <w:tc>
          <w:tcPr>
            <w:tcW w:w="1620" w:type="dxa"/>
            <w:tcBorders>
              <w:top w:val="nil"/>
              <w:bottom w:val="nil"/>
            </w:tcBorders>
          </w:tcPr>
          <w:p>
            <w:pPr>
              <w:pStyle w:val="NoSpacing"/>
              <w:jc w:val="both"/>
              <w:rPr>
                <w:sz w:val="20"/>
                <w:szCs w:val="20"/>
                <w:lang w:val="en-US"/>
              </w:rPr>
            </w:pPr>
            <w:r>
              <w:rPr>
                <w:sz w:val="20"/>
                <w:szCs w:val="20"/>
              </w:rPr>
              <w:t>As of 31</w:t>
            </w:r>
            <w:r>
              <w:rPr>
                <w:sz w:val="20"/>
                <w:szCs w:val="20"/>
                <w:lang w:val="en-US"/>
              </w:rPr>
              <w:t>/12/</w:t>
            </w:r>
            <w:r>
              <w:rPr>
                <w:sz w:val="20"/>
                <w:szCs w:val="20"/>
              </w:rPr>
              <w:t xml:space="preserve">20, 36 paid DVs </w:t>
            </w:r>
            <w:r>
              <w:rPr>
                <w:sz w:val="20"/>
                <w:szCs w:val="20"/>
                <w:lang w:val="en-US"/>
              </w:rPr>
              <w:t>(</w:t>
            </w:r>
            <w:r>
              <w:rPr>
                <w:sz w:val="20"/>
                <w:szCs w:val="20"/>
              </w:rPr>
              <w:t>P51.352 million</w:t>
            </w:r>
            <w:r>
              <w:rPr>
                <w:sz w:val="20"/>
                <w:szCs w:val="20"/>
                <w:lang w:val="en-US"/>
              </w:rPr>
              <w:t>)</w:t>
            </w:r>
            <w:r>
              <w:rPr>
                <w:sz w:val="20"/>
                <w:szCs w:val="20"/>
              </w:rPr>
              <w:t xml:space="preserve"> are </w:t>
            </w:r>
            <w:r>
              <w:rPr>
                <w:sz w:val="20"/>
                <w:szCs w:val="20"/>
                <w:lang w:val="en-US"/>
              </w:rPr>
              <w:t xml:space="preserve">not yet </w:t>
            </w:r>
            <w:r>
              <w:rPr>
                <w:sz w:val="20"/>
                <w:szCs w:val="20"/>
              </w:rPr>
              <w:t>submitted to</w:t>
            </w:r>
            <w:r>
              <w:rPr>
                <w:sz w:val="20"/>
                <w:szCs w:val="20"/>
                <w:lang w:val="en-US"/>
              </w:rPr>
              <w:t xml:space="preserve"> the</w:t>
            </w:r>
            <w:r>
              <w:rPr>
                <w:sz w:val="20"/>
                <w:szCs w:val="20"/>
              </w:rPr>
              <w:t xml:space="preserve"> OCAT</w:t>
            </w:r>
            <w:r>
              <w:rPr>
                <w:sz w:val="20"/>
                <w:szCs w:val="20"/>
                <w:lang w:val="en-US"/>
              </w:rPr>
              <w:t>.</w:t>
            </w:r>
          </w:p>
          <w:p>
            <w:pPr>
              <w:pStyle w:val="NoSpacing"/>
              <w:jc w:val="both"/>
              <w:rPr>
                <w:sz w:val="20"/>
                <w:szCs w:val="20"/>
              </w:rPr>
            </w:pPr>
          </w:p>
        </w:tc>
        <w:tc>
          <w:tcPr>
            <w:tcW w:w="1872" w:type="dxa"/>
            <w:tcBorders>
              <w:top w:val="nil"/>
              <w:bottom w:val="nil"/>
            </w:tcBorders>
          </w:tcPr>
          <w:p>
            <w:pPr>
              <w:pStyle w:val="NoSpacing"/>
              <w:jc w:val="both"/>
              <w:rPr>
                <w:sz w:val="20"/>
                <w:szCs w:val="20"/>
              </w:rPr>
            </w:pPr>
            <w:r>
              <w:rPr>
                <w:sz w:val="20"/>
                <w:szCs w:val="20"/>
              </w:rPr>
              <w:t>DVs supporting the RCI are not yet submitted within the prescribed period.</w:t>
            </w:r>
          </w:p>
          <w:p>
            <w:pPr>
              <w:pStyle w:val="NoSpacing"/>
              <w:jc w:val="both"/>
              <w:rPr>
                <w:sz w:val="20"/>
                <w:szCs w:val="20"/>
              </w:rPr>
            </w:pPr>
          </w:p>
        </w:tc>
      </w:tr>
      <w:tr>
        <w:trPr>
          <w:trHeight w:val="70"/>
        </w:trPr>
        <w:tc>
          <w:tcPr>
            <w:tcW w:w="1260" w:type="dxa"/>
            <w:tcBorders>
              <w:top w:val="nil"/>
              <w:bottom w:val="nil"/>
            </w:tcBorders>
          </w:tcPr>
          <w:p>
            <w:pPr>
              <w:pStyle w:val="NoSpacing"/>
              <w:jc w:val="center"/>
              <w:rPr>
                <w:sz w:val="20"/>
                <w:szCs w:val="20"/>
              </w:rPr>
            </w:pPr>
          </w:p>
        </w:tc>
        <w:tc>
          <w:tcPr>
            <w:tcW w:w="3330" w:type="dxa"/>
            <w:tcBorders>
              <w:top w:val="nil"/>
              <w:bottom w:val="nil"/>
            </w:tcBorders>
          </w:tcPr>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In order to support fully all the checks issued in the RCI (a) submit to OCAT the copy of the DVs for paid payrolls and unclaimed checks together with a list of these DVs; and (b) submit every end of the month directly to the Auditor’s Office the original DVs once the payrolls are fully paid or the checks are claimed;</w:t>
            </w:r>
          </w:p>
          <w:p>
            <w:pPr>
              <w:pStyle w:val="ListParagraph"/>
              <w:widowControl w:val="0"/>
              <w:overflowPunct w:val="0"/>
              <w:autoSpaceDE w:val="0"/>
              <w:autoSpaceDN w:val="0"/>
              <w:adjustRightInd w:val="0"/>
              <w:ind w:left="609"/>
              <w:jc w:val="both"/>
              <w:rPr>
                <w:sz w:val="20"/>
                <w:szCs w:val="20"/>
              </w:rPr>
            </w:pPr>
          </w:p>
        </w:tc>
        <w:tc>
          <w:tcPr>
            <w:tcW w:w="1643" w:type="dxa"/>
            <w:tcBorders>
              <w:top w:val="nil"/>
              <w:bottom w:val="nil"/>
            </w:tcBorders>
          </w:tcPr>
          <w:p>
            <w:pPr>
              <w:spacing w:after="0" w:line="240" w:lineRule="auto"/>
              <w:jc w:val="center"/>
              <w:rPr>
                <w:sz w:val="20"/>
                <w:szCs w:val="20"/>
              </w:rPr>
            </w:pPr>
            <w:r>
              <w:rPr>
                <w:sz w:val="20"/>
                <w:szCs w:val="20"/>
              </w:rPr>
              <w:t>Fully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rPr>
                <w:sz w:val="20"/>
                <w:szCs w:val="20"/>
              </w:rPr>
            </w:pPr>
          </w:p>
        </w:tc>
        <w:tc>
          <w:tcPr>
            <w:tcW w:w="1620" w:type="dxa"/>
            <w:tcBorders>
              <w:top w:val="nil"/>
              <w:bottom w:val="nil"/>
            </w:tcBorders>
          </w:tcPr>
          <w:p>
            <w:pPr>
              <w:pStyle w:val="NoSpacing"/>
              <w:jc w:val="both"/>
              <w:rPr>
                <w:sz w:val="20"/>
                <w:szCs w:val="20"/>
              </w:rPr>
            </w:pPr>
            <w:r>
              <w:rPr>
                <w:sz w:val="20"/>
                <w:szCs w:val="20"/>
              </w:rPr>
              <w:t>The CTO and OCAT are already complying with the recommendation.</w:t>
            </w:r>
          </w:p>
        </w:tc>
        <w:tc>
          <w:tcPr>
            <w:tcW w:w="1872" w:type="dxa"/>
            <w:tcBorders>
              <w:top w:val="nil"/>
              <w:bottom w:val="nil"/>
            </w:tcBorders>
          </w:tcPr>
          <w:p>
            <w:pPr>
              <w:spacing w:after="0" w:line="240" w:lineRule="auto"/>
              <w:jc w:val="both"/>
              <w:rPr>
                <w:sz w:val="20"/>
                <w:szCs w:val="20"/>
              </w:rPr>
            </w:pPr>
          </w:p>
        </w:tc>
      </w:tr>
      <w:tr>
        <w:trPr>
          <w:trHeight w:val="70"/>
        </w:trPr>
        <w:tc>
          <w:tcPr>
            <w:tcW w:w="1260" w:type="dxa"/>
            <w:tcBorders>
              <w:top w:val="nil"/>
              <w:bottom w:val="single" w:sz="4" w:space="0" w:color="auto"/>
            </w:tcBorders>
          </w:tcPr>
          <w:p>
            <w:pPr>
              <w:pStyle w:val="NoSpacing"/>
              <w:jc w:val="center"/>
              <w:rPr>
                <w:sz w:val="20"/>
                <w:szCs w:val="20"/>
              </w:rPr>
            </w:pPr>
          </w:p>
        </w:tc>
        <w:tc>
          <w:tcPr>
            <w:tcW w:w="3330" w:type="dxa"/>
            <w:tcBorders>
              <w:top w:val="nil"/>
              <w:bottom w:val="single" w:sz="4" w:space="0" w:color="auto"/>
            </w:tcBorders>
          </w:tcPr>
          <w:p>
            <w:pPr>
              <w:pStyle w:val="ListParagraph"/>
              <w:widowControl w:val="0"/>
              <w:numPr>
                <w:ilvl w:val="0"/>
                <w:numId w:val="2"/>
              </w:numPr>
              <w:overflowPunct w:val="0"/>
              <w:autoSpaceDE w:val="0"/>
              <w:autoSpaceDN w:val="0"/>
              <w:adjustRightInd w:val="0"/>
              <w:ind w:left="609" w:hanging="271"/>
              <w:jc w:val="both"/>
              <w:rPr>
                <w:sz w:val="20"/>
                <w:szCs w:val="20"/>
              </w:rPr>
            </w:pPr>
            <w:r>
              <w:rPr>
                <w:sz w:val="20"/>
                <w:szCs w:val="20"/>
              </w:rPr>
              <w:t xml:space="preserve">Require the OCAT to: </w:t>
            </w:r>
          </w:p>
          <w:p>
            <w:pPr>
              <w:spacing w:after="0" w:line="240" w:lineRule="auto"/>
              <w:ind w:left="1146"/>
              <w:jc w:val="both"/>
              <w:rPr>
                <w:sz w:val="20"/>
                <w:szCs w:val="20"/>
              </w:rPr>
            </w:pPr>
          </w:p>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Submit to the CAO without further delay all the 1,684 DVs specified in para. 1.5 of Observation No. 1; and</w:t>
            </w:r>
          </w:p>
          <w:p>
            <w:pPr>
              <w:pStyle w:val="ListParagraph"/>
              <w:widowControl w:val="0"/>
              <w:overflowPunct w:val="0"/>
              <w:autoSpaceDE w:val="0"/>
              <w:autoSpaceDN w:val="0"/>
              <w:adjustRightInd w:val="0"/>
              <w:ind w:left="426"/>
              <w:jc w:val="both"/>
              <w:rPr>
                <w:bCs/>
                <w:iCs/>
                <w:sz w:val="20"/>
                <w:szCs w:val="20"/>
              </w:rPr>
            </w:pPr>
          </w:p>
        </w:tc>
        <w:tc>
          <w:tcPr>
            <w:tcW w:w="1643" w:type="dxa"/>
            <w:tcBorders>
              <w:top w:val="nil"/>
              <w:bottom w:val="single" w:sz="4" w:space="0" w:color="auto"/>
            </w:tcBorders>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r>
              <w:rPr>
                <w:sz w:val="20"/>
                <w:szCs w:val="20"/>
              </w:rPr>
              <w:t>Not Implemented</w:t>
            </w:r>
          </w:p>
          <w:p>
            <w:pPr>
              <w:spacing w:after="0" w:line="240" w:lineRule="auto"/>
              <w:rPr>
                <w:sz w:val="20"/>
                <w:szCs w:val="20"/>
              </w:rPr>
            </w:pPr>
          </w:p>
        </w:tc>
        <w:tc>
          <w:tcPr>
            <w:tcW w:w="1620" w:type="dxa"/>
            <w:tcBorders>
              <w:top w:val="nil"/>
              <w:bottom w:val="single" w:sz="4" w:space="0" w:color="auto"/>
            </w:tcBorders>
          </w:tcPr>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 xml:space="preserve">The City Mayor directed the OIC CTO and OIC OCAT to </w:t>
            </w:r>
            <w:r>
              <w:rPr>
                <w:sz w:val="20"/>
                <w:szCs w:val="20"/>
                <w:lang w:val="en-US"/>
              </w:rPr>
              <w:t xml:space="preserve">write </w:t>
            </w:r>
            <w:r>
              <w:rPr>
                <w:sz w:val="20"/>
                <w:szCs w:val="20"/>
              </w:rPr>
              <w:t xml:space="preserve">the former City Treasurer and Accountant informing them of the </w:t>
            </w:r>
            <w:proofErr w:type="spellStart"/>
            <w:r>
              <w:rPr>
                <w:sz w:val="20"/>
                <w:szCs w:val="20"/>
              </w:rPr>
              <w:t>unsubmitted</w:t>
            </w:r>
            <w:proofErr w:type="spellEnd"/>
            <w:r>
              <w:rPr>
                <w:sz w:val="20"/>
                <w:szCs w:val="20"/>
              </w:rPr>
              <w:t xml:space="preserve"> DVs from CY 2015 to 30/06/2019</w:t>
            </w:r>
            <w:r>
              <w:rPr>
                <w:sz w:val="20"/>
                <w:szCs w:val="20"/>
                <w:lang w:val="en-US"/>
              </w:rPr>
              <w:t xml:space="preserve"> </w:t>
            </w:r>
            <w:r>
              <w:rPr>
                <w:sz w:val="20"/>
                <w:szCs w:val="20"/>
              </w:rPr>
              <w:t xml:space="preserve">and attach copy of the </w:t>
            </w:r>
            <w:r>
              <w:rPr>
                <w:sz w:val="20"/>
                <w:szCs w:val="20"/>
                <w:lang w:val="en-US"/>
              </w:rPr>
              <w:t xml:space="preserve">attendant </w:t>
            </w:r>
            <w:r>
              <w:rPr>
                <w:sz w:val="20"/>
                <w:szCs w:val="20"/>
              </w:rPr>
              <w:t>AOM</w:t>
            </w:r>
            <w:r>
              <w:rPr>
                <w:sz w:val="20"/>
                <w:szCs w:val="20"/>
                <w:lang w:val="en-US"/>
              </w:rPr>
              <w:t>.</w:t>
            </w:r>
          </w:p>
          <w:p>
            <w:pPr>
              <w:pStyle w:val="NoSpacing"/>
              <w:jc w:val="both"/>
              <w:rPr>
                <w:sz w:val="20"/>
                <w:szCs w:val="20"/>
              </w:rPr>
            </w:pPr>
          </w:p>
        </w:tc>
        <w:tc>
          <w:tcPr>
            <w:tcW w:w="1872" w:type="dxa"/>
            <w:tcBorders>
              <w:top w:val="nil"/>
              <w:bottom w:val="single" w:sz="4" w:space="0" w:color="auto"/>
            </w:tcBorders>
          </w:tcPr>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 xml:space="preserve">As of this writing, the City has not submitted 1,841 DVs involving P2.263 billion. 1,387 of these </w:t>
            </w:r>
            <w:proofErr w:type="spellStart"/>
            <w:r>
              <w:rPr>
                <w:sz w:val="20"/>
                <w:szCs w:val="20"/>
              </w:rPr>
              <w:t>unsubmitted</w:t>
            </w:r>
            <w:proofErr w:type="spellEnd"/>
            <w:r>
              <w:rPr>
                <w:sz w:val="20"/>
                <w:szCs w:val="20"/>
              </w:rPr>
              <w:t xml:space="preserve"> DVs in the amount of P2.028 billion pertain to the disbursements from CY 2015 to 30 June 2019 and are the accountabilities of the previous City Administrations.</w:t>
            </w:r>
          </w:p>
          <w:p>
            <w:pPr>
              <w:pStyle w:val="NoSpacing"/>
              <w:jc w:val="both"/>
              <w:rPr>
                <w:sz w:val="20"/>
                <w:szCs w:val="20"/>
              </w:rPr>
            </w:pPr>
          </w:p>
        </w:tc>
      </w:tr>
      <w:tr>
        <w:trPr>
          <w:cantSplit/>
          <w:trHeight w:val="70"/>
        </w:trPr>
        <w:tc>
          <w:tcPr>
            <w:tcW w:w="1260" w:type="dxa"/>
            <w:tcBorders>
              <w:top w:val="single" w:sz="4" w:space="0" w:color="auto"/>
              <w:left w:val="single" w:sz="4" w:space="0" w:color="auto"/>
              <w:bottom w:val="nil"/>
              <w:right w:val="single" w:sz="4" w:space="0" w:color="auto"/>
            </w:tcBorders>
          </w:tcPr>
          <w:p>
            <w:pPr>
              <w:pStyle w:val="NoSpacing"/>
              <w:jc w:val="center"/>
              <w:rPr>
                <w:sz w:val="20"/>
                <w:szCs w:val="20"/>
              </w:rPr>
            </w:pPr>
          </w:p>
        </w:tc>
        <w:tc>
          <w:tcPr>
            <w:tcW w:w="3330" w:type="dxa"/>
            <w:tcBorders>
              <w:top w:val="single" w:sz="4" w:space="0" w:color="auto"/>
              <w:left w:val="single" w:sz="4" w:space="0" w:color="auto"/>
              <w:bottom w:val="nil"/>
              <w:right w:val="single" w:sz="4" w:space="0" w:color="auto"/>
            </w:tcBorders>
          </w:tcPr>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Henceforth, submit to the CAO within the prescribed period all the DVs supporting the checks issued in the RCI with the list of original DVs still with the CTO, in the proper case, and stop the preparation of a separate schedule of DVs; and</w:t>
            </w:r>
          </w:p>
          <w:p>
            <w:pPr>
              <w:pStyle w:val="ListParagraph"/>
              <w:widowControl w:val="0"/>
              <w:overflowPunct w:val="0"/>
              <w:autoSpaceDE w:val="0"/>
              <w:autoSpaceDN w:val="0"/>
              <w:adjustRightInd w:val="0"/>
              <w:ind w:left="426"/>
              <w:jc w:val="both"/>
              <w:rPr>
                <w:bCs/>
                <w:iCs/>
                <w:sz w:val="20"/>
                <w:szCs w:val="20"/>
              </w:rPr>
            </w:pPr>
          </w:p>
        </w:tc>
        <w:tc>
          <w:tcPr>
            <w:tcW w:w="1643" w:type="dxa"/>
            <w:tcBorders>
              <w:top w:val="single" w:sz="4" w:space="0" w:color="auto"/>
              <w:left w:val="single" w:sz="4" w:space="0" w:color="auto"/>
              <w:bottom w:val="nil"/>
              <w:right w:val="single" w:sz="4" w:space="0" w:color="auto"/>
            </w:tcBorders>
          </w:tcPr>
          <w:p>
            <w:pPr>
              <w:spacing w:after="0" w:line="240" w:lineRule="auto"/>
              <w:jc w:val="center"/>
              <w:rPr>
                <w:sz w:val="20"/>
                <w:szCs w:val="20"/>
              </w:rPr>
            </w:pPr>
            <w:r>
              <w:rPr>
                <w:sz w:val="20"/>
                <w:szCs w:val="20"/>
              </w:rPr>
              <w:t>Partially Implemented</w:t>
            </w:r>
          </w:p>
          <w:p>
            <w:pPr>
              <w:spacing w:after="0" w:line="240" w:lineRule="auto"/>
              <w:jc w:val="center"/>
              <w:rPr>
                <w:sz w:val="20"/>
                <w:szCs w:val="20"/>
              </w:rPr>
            </w:pPr>
          </w:p>
        </w:tc>
        <w:tc>
          <w:tcPr>
            <w:tcW w:w="1620" w:type="dxa"/>
            <w:tcBorders>
              <w:top w:val="single" w:sz="4" w:space="0" w:color="auto"/>
              <w:left w:val="single" w:sz="4" w:space="0" w:color="auto"/>
              <w:bottom w:val="nil"/>
              <w:right w:val="single" w:sz="4" w:space="0" w:color="auto"/>
            </w:tcBorders>
          </w:tcPr>
          <w:p>
            <w:pPr>
              <w:pStyle w:val="NoSpacing"/>
              <w:jc w:val="both"/>
              <w:rPr>
                <w:sz w:val="20"/>
                <w:szCs w:val="20"/>
              </w:rPr>
            </w:pPr>
            <w:r>
              <w:rPr>
                <w:sz w:val="20"/>
                <w:szCs w:val="20"/>
              </w:rPr>
              <w:t>The OCAT</w:t>
            </w:r>
            <w:r>
              <w:rPr>
                <w:sz w:val="20"/>
                <w:szCs w:val="20"/>
                <w:lang w:val="en-US"/>
              </w:rPr>
              <w:t xml:space="preserve"> and </w:t>
            </w:r>
            <w:r>
              <w:rPr>
                <w:sz w:val="20"/>
                <w:szCs w:val="20"/>
              </w:rPr>
              <w:t xml:space="preserve">CTO, </w:t>
            </w:r>
            <w:r>
              <w:rPr>
                <w:sz w:val="20"/>
                <w:szCs w:val="20"/>
                <w:lang w:val="en-US"/>
              </w:rPr>
              <w:t xml:space="preserve">set </w:t>
            </w:r>
            <w:r>
              <w:rPr>
                <w:sz w:val="20"/>
                <w:szCs w:val="20"/>
              </w:rPr>
              <w:t xml:space="preserve">a </w:t>
            </w:r>
            <w:r>
              <w:rPr>
                <w:sz w:val="20"/>
                <w:szCs w:val="20"/>
                <w:lang w:val="en-US"/>
              </w:rPr>
              <w:t xml:space="preserve">system </w:t>
            </w:r>
            <w:r>
              <w:rPr>
                <w:sz w:val="20"/>
                <w:szCs w:val="20"/>
              </w:rPr>
              <w:t>that will hasten</w:t>
            </w:r>
            <w:r>
              <w:rPr>
                <w:sz w:val="20"/>
                <w:szCs w:val="20"/>
                <w:lang w:val="en-US"/>
              </w:rPr>
              <w:t xml:space="preserve"> DV </w:t>
            </w:r>
            <w:r>
              <w:rPr>
                <w:sz w:val="20"/>
                <w:szCs w:val="20"/>
              </w:rPr>
              <w:t>submission to CAO.</w:t>
            </w:r>
          </w:p>
          <w:p>
            <w:pPr>
              <w:pStyle w:val="NoSpacing"/>
              <w:jc w:val="both"/>
              <w:rPr>
                <w:sz w:val="20"/>
                <w:szCs w:val="20"/>
              </w:rPr>
            </w:pPr>
          </w:p>
        </w:tc>
        <w:tc>
          <w:tcPr>
            <w:tcW w:w="1872" w:type="dxa"/>
            <w:tcBorders>
              <w:top w:val="single" w:sz="4" w:space="0" w:color="auto"/>
              <w:left w:val="single" w:sz="4" w:space="0" w:color="auto"/>
              <w:bottom w:val="nil"/>
              <w:right w:val="single" w:sz="4" w:space="0" w:color="auto"/>
            </w:tcBorders>
          </w:tcPr>
          <w:p>
            <w:pPr>
              <w:pStyle w:val="NoSpacing"/>
              <w:jc w:val="both"/>
              <w:rPr>
                <w:sz w:val="20"/>
                <w:szCs w:val="20"/>
              </w:rPr>
            </w:pPr>
            <w:r>
              <w:rPr>
                <w:sz w:val="20"/>
                <w:szCs w:val="20"/>
              </w:rPr>
              <w:t>Not all DVs specified in the RCI are submitted to the CAO.</w:t>
            </w:r>
          </w:p>
        </w:tc>
      </w:tr>
      <w:tr>
        <w:trPr>
          <w:trHeight w:val="5308"/>
        </w:trPr>
        <w:tc>
          <w:tcPr>
            <w:tcW w:w="1260" w:type="dxa"/>
            <w:tcBorders>
              <w:top w:val="nil"/>
            </w:tcBorders>
          </w:tcPr>
          <w:p>
            <w:pPr>
              <w:pStyle w:val="NoSpacing"/>
              <w:jc w:val="center"/>
              <w:rPr>
                <w:sz w:val="20"/>
                <w:szCs w:val="20"/>
              </w:rPr>
            </w:pPr>
          </w:p>
        </w:tc>
        <w:tc>
          <w:tcPr>
            <w:tcW w:w="3330" w:type="dxa"/>
            <w:tcBorders>
              <w:top w:val="nil"/>
            </w:tcBorders>
          </w:tcPr>
          <w:p>
            <w:pPr>
              <w:pStyle w:val="ListParagraph"/>
              <w:widowControl w:val="0"/>
              <w:numPr>
                <w:ilvl w:val="0"/>
                <w:numId w:val="2"/>
              </w:numPr>
              <w:overflowPunct w:val="0"/>
              <w:autoSpaceDE w:val="0"/>
              <w:autoSpaceDN w:val="0"/>
              <w:adjustRightInd w:val="0"/>
              <w:ind w:left="609" w:hanging="271"/>
              <w:jc w:val="both"/>
              <w:rPr>
                <w:sz w:val="20"/>
                <w:szCs w:val="20"/>
              </w:rPr>
            </w:pPr>
            <w:r>
              <w:rPr>
                <w:sz w:val="20"/>
                <w:szCs w:val="20"/>
              </w:rPr>
              <w:t xml:space="preserve">In order to avoid retention of DVs and payrolls at the CTO, minimize cash payment by using digital payment through the ATM or similar cash card accounts issued by established financial services providers; </w:t>
            </w:r>
          </w:p>
          <w:p>
            <w:pPr>
              <w:pStyle w:val="ListParagraph"/>
              <w:widowControl w:val="0"/>
              <w:overflowPunct w:val="0"/>
              <w:autoSpaceDE w:val="0"/>
              <w:autoSpaceDN w:val="0"/>
              <w:adjustRightInd w:val="0"/>
              <w:ind w:left="609"/>
              <w:jc w:val="both"/>
              <w:rPr>
                <w:sz w:val="20"/>
                <w:szCs w:val="20"/>
              </w:rPr>
            </w:pPr>
          </w:p>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 xml:space="preserve">Evaluate and address fully the lack of personnel in the OCAT; </w:t>
            </w:r>
          </w:p>
          <w:p>
            <w:pPr>
              <w:pStyle w:val="ListParagraph"/>
              <w:widowControl w:val="0"/>
              <w:overflowPunct w:val="0"/>
              <w:autoSpaceDE w:val="0"/>
              <w:autoSpaceDN w:val="0"/>
              <w:adjustRightInd w:val="0"/>
              <w:ind w:left="879"/>
              <w:jc w:val="both"/>
              <w:rPr>
                <w:sz w:val="20"/>
                <w:szCs w:val="20"/>
              </w:rPr>
            </w:pPr>
          </w:p>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Instruct the CTO and OCAT to recapture the cash for all:</w:t>
            </w:r>
          </w:p>
          <w:p>
            <w:pPr>
              <w:numPr>
                <w:ilvl w:val="0"/>
                <w:numId w:val="4"/>
              </w:numPr>
              <w:spacing w:after="0" w:line="240" w:lineRule="auto"/>
              <w:ind w:left="1149" w:hanging="270"/>
              <w:jc w:val="both"/>
              <w:rPr>
                <w:sz w:val="20"/>
                <w:szCs w:val="20"/>
              </w:rPr>
            </w:pPr>
            <w:r>
              <w:rPr>
                <w:sz w:val="20"/>
                <w:szCs w:val="20"/>
              </w:rPr>
              <w:t xml:space="preserve"> checks that have remained unclaimed for more than six months; and</w:t>
            </w:r>
          </w:p>
          <w:p>
            <w:pPr>
              <w:spacing w:after="0" w:line="240" w:lineRule="auto"/>
              <w:ind w:left="1149"/>
              <w:jc w:val="both"/>
              <w:rPr>
                <w:sz w:val="20"/>
                <w:szCs w:val="20"/>
              </w:rPr>
            </w:pPr>
          </w:p>
          <w:p>
            <w:pPr>
              <w:numPr>
                <w:ilvl w:val="0"/>
                <w:numId w:val="4"/>
              </w:numPr>
              <w:spacing w:after="0" w:line="240" w:lineRule="auto"/>
              <w:ind w:left="1149" w:hanging="270"/>
              <w:jc w:val="both"/>
              <w:rPr>
                <w:sz w:val="20"/>
                <w:szCs w:val="20"/>
                <w:lang w:val="en-US"/>
              </w:rPr>
            </w:pPr>
            <w:proofErr w:type="gramStart"/>
            <w:r>
              <w:rPr>
                <w:sz w:val="20"/>
                <w:szCs w:val="20"/>
              </w:rPr>
              <w:t>payrolls</w:t>
            </w:r>
            <w:proofErr w:type="gramEnd"/>
            <w:r>
              <w:rPr>
                <w:sz w:val="20"/>
                <w:szCs w:val="20"/>
              </w:rPr>
              <w:t xml:space="preserve"> that have remained unpaid after 60 days.  </w:t>
            </w:r>
          </w:p>
          <w:p>
            <w:pPr>
              <w:pStyle w:val="ListParagraph"/>
              <w:widowControl w:val="0"/>
              <w:overflowPunct w:val="0"/>
              <w:autoSpaceDE w:val="0"/>
              <w:autoSpaceDN w:val="0"/>
              <w:adjustRightInd w:val="0"/>
              <w:ind w:left="426"/>
              <w:jc w:val="both"/>
              <w:rPr>
                <w:bCs/>
                <w:iCs/>
                <w:sz w:val="20"/>
                <w:szCs w:val="20"/>
              </w:rPr>
            </w:pPr>
          </w:p>
        </w:tc>
        <w:tc>
          <w:tcPr>
            <w:tcW w:w="1643" w:type="dxa"/>
            <w:tcBorders>
              <w:top w:val="nil"/>
            </w:tcBorders>
          </w:tcPr>
          <w:p>
            <w:pPr>
              <w:pStyle w:val="NoSpacing"/>
              <w:jc w:val="center"/>
              <w:rPr>
                <w:sz w:val="20"/>
                <w:szCs w:val="20"/>
              </w:rPr>
            </w:pPr>
            <w:r>
              <w:rPr>
                <w:sz w:val="20"/>
                <w:szCs w:val="20"/>
              </w:rPr>
              <w:t>Fully Implemented</w:t>
            </w: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r>
              <w:rPr>
                <w:sz w:val="20"/>
                <w:szCs w:val="20"/>
              </w:rPr>
              <w:t>Fully Implemented</w:t>
            </w:r>
          </w:p>
          <w:p>
            <w:pPr>
              <w:pStyle w:val="NoSpacing"/>
              <w:jc w:val="center"/>
              <w:rPr>
                <w:sz w:val="20"/>
                <w:szCs w:val="20"/>
              </w:rPr>
            </w:pPr>
          </w:p>
          <w:p>
            <w:pPr>
              <w:pStyle w:val="NoSpacing"/>
              <w:jc w:val="center"/>
              <w:rPr>
                <w:sz w:val="20"/>
                <w:szCs w:val="20"/>
              </w:rPr>
            </w:pPr>
          </w:p>
          <w:p>
            <w:pPr>
              <w:pStyle w:val="NoSpacing"/>
              <w:jc w:val="center"/>
              <w:rPr>
                <w:sz w:val="20"/>
                <w:szCs w:val="20"/>
              </w:rPr>
            </w:pPr>
            <w:r>
              <w:rPr>
                <w:sz w:val="20"/>
                <w:szCs w:val="20"/>
              </w:rPr>
              <w:t>Fully Implemented</w:t>
            </w:r>
          </w:p>
        </w:tc>
        <w:tc>
          <w:tcPr>
            <w:tcW w:w="1620" w:type="dxa"/>
            <w:tcBorders>
              <w:top w:val="nil"/>
            </w:tcBorders>
          </w:tcPr>
          <w:p>
            <w:pPr>
              <w:pStyle w:val="NoSpacing"/>
              <w:jc w:val="both"/>
              <w:rPr>
                <w:sz w:val="20"/>
                <w:szCs w:val="20"/>
              </w:rPr>
            </w:pPr>
            <w:r>
              <w:rPr>
                <w:sz w:val="20"/>
                <w:szCs w:val="20"/>
              </w:rPr>
              <w:t>Digitalization of payroll had been made.</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The City hired five additional CPAs.</w:t>
            </w:r>
          </w:p>
          <w:p>
            <w:pPr>
              <w:pStyle w:val="NoSpacing"/>
              <w:jc w:val="both"/>
              <w:rPr>
                <w:sz w:val="20"/>
                <w:szCs w:val="20"/>
              </w:rPr>
            </w:pPr>
          </w:p>
          <w:p>
            <w:pPr>
              <w:pStyle w:val="NoSpacing"/>
              <w:jc w:val="both"/>
              <w:rPr>
                <w:sz w:val="20"/>
                <w:szCs w:val="20"/>
              </w:rPr>
            </w:pPr>
            <w:r>
              <w:rPr>
                <w:sz w:val="20"/>
                <w:szCs w:val="20"/>
              </w:rPr>
              <w:t xml:space="preserve">The OCAT now maintains schedules of unclaimed checks </w:t>
            </w:r>
            <w:r>
              <w:rPr>
                <w:sz w:val="20"/>
                <w:szCs w:val="20"/>
                <w:lang w:val="en-US"/>
              </w:rPr>
              <w:t xml:space="preserve">&amp; </w:t>
            </w:r>
            <w:r>
              <w:rPr>
                <w:sz w:val="20"/>
                <w:szCs w:val="20"/>
              </w:rPr>
              <w:t xml:space="preserve">payroll. And after </w:t>
            </w:r>
            <w:r>
              <w:rPr>
                <w:sz w:val="20"/>
                <w:szCs w:val="20"/>
                <w:lang w:val="en-US"/>
              </w:rPr>
              <w:t>six</w:t>
            </w:r>
            <w:r>
              <w:rPr>
                <w:sz w:val="20"/>
                <w:szCs w:val="20"/>
              </w:rPr>
              <w:t xml:space="preserve"> months or 60 days, these payments are reverted to the C</w:t>
            </w:r>
            <w:r>
              <w:rPr>
                <w:sz w:val="20"/>
                <w:szCs w:val="20"/>
                <w:lang w:val="en-US"/>
              </w:rPr>
              <w:t xml:space="preserve">iB </w:t>
            </w:r>
            <w:r>
              <w:rPr>
                <w:sz w:val="20"/>
                <w:szCs w:val="20"/>
              </w:rPr>
              <w:t>account</w:t>
            </w:r>
            <w:r>
              <w:rPr>
                <w:sz w:val="20"/>
                <w:szCs w:val="20"/>
                <w:lang w:val="en-US"/>
              </w:rPr>
              <w:t>.</w:t>
            </w:r>
          </w:p>
          <w:p>
            <w:pPr>
              <w:pStyle w:val="NoSpacing"/>
              <w:jc w:val="both"/>
              <w:rPr>
                <w:sz w:val="20"/>
                <w:szCs w:val="20"/>
              </w:rPr>
            </w:pPr>
          </w:p>
        </w:tc>
        <w:tc>
          <w:tcPr>
            <w:tcW w:w="1872" w:type="dxa"/>
            <w:tcBorders>
              <w:top w:val="nil"/>
            </w:tcBorders>
          </w:tcPr>
          <w:p>
            <w:pPr>
              <w:pStyle w:val="NoSpacing"/>
              <w:jc w:val="both"/>
              <w:rPr>
                <w:sz w:val="20"/>
                <w:szCs w:val="20"/>
              </w:rPr>
            </w:pPr>
          </w:p>
        </w:tc>
      </w:tr>
      <w:tr>
        <w:trPr>
          <w:trHeight w:val="638"/>
        </w:trPr>
        <w:tc>
          <w:tcPr>
            <w:tcW w:w="1260" w:type="dxa"/>
          </w:tcPr>
          <w:p>
            <w:pPr>
              <w:spacing w:after="0" w:line="240" w:lineRule="auto"/>
              <w:jc w:val="center"/>
              <w:rPr>
                <w:sz w:val="20"/>
                <w:szCs w:val="20"/>
              </w:rPr>
            </w:pPr>
            <w:r>
              <w:rPr>
                <w:sz w:val="20"/>
                <w:szCs w:val="20"/>
              </w:rPr>
              <w:t>Observation No. 2.</w:t>
            </w:r>
          </w:p>
          <w:p>
            <w:pPr>
              <w:spacing w:after="0" w:line="240" w:lineRule="auto"/>
              <w:jc w:val="center"/>
              <w:rPr>
                <w:sz w:val="20"/>
                <w:szCs w:val="20"/>
                <w:lang w:val="en-US"/>
              </w:rPr>
            </w:pPr>
            <w:r>
              <w:rPr>
                <w:sz w:val="20"/>
                <w:szCs w:val="20"/>
              </w:rPr>
              <w:t>Pages 68-71</w:t>
            </w:r>
          </w:p>
          <w:p>
            <w:pPr>
              <w:pStyle w:val="NoSpacing"/>
              <w:jc w:val="center"/>
              <w:rPr>
                <w:sz w:val="20"/>
                <w:szCs w:val="20"/>
              </w:rPr>
            </w:pPr>
          </w:p>
        </w:tc>
        <w:tc>
          <w:tcPr>
            <w:tcW w:w="3330" w:type="dxa"/>
          </w:tcPr>
          <w:p>
            <w:pPr>
              <w:numPr>
                <w:ilvl w:val="0"/>
                <w:numId w:val="1"/>
              </w:numPr>
              <w:spacing w:after="0" w:line="240" w:lineRule="auto"/>
              <w:ind w:left="338"/>
              <w:jc w:val="both"/>
              <w:rPr>
                <w:sz w:val="20"/>
                <w:szCs w:val="20"/>
                <w:lang w:val="en-US"/>
              </w:rPr>
            </w:pPr>
            <w:r>
              <w:rPr>
                <w:sz w:val="20"/>
                <w:szCs w:val="20"/>
              </w:rPr>
              <w:t>Accounting errors in recording transactions amounting to P706.687 million resulted in the misstatement of affected accounts and weighed on the fair presentation of the City’s Financial Statements (FS). Most of these accounting errors occurred during the past City Administrations.</w:t>
            </w:r>
          </w:p>
          <w:p>
            <w:pPr>
              <w:spacing w:after="0" w:line="240" w:lineRule="auto"/>
              <w:ind w:left="338"/>
              <w:jc w:val="both"/>
              <w:rPr>
                <w:sz w:val="20"/>
                <w:szCs w:val="20"/>
                <w:lang w:val="en-US"/>
              </w:rPr>
            </w:pPr>
          </w:p>
          <w:p>
            <w:pPr>
              <w:spacing w:after="0" w:line="240" w:lineRule="auto"/>
              <w:ind w:left="338"/>
              <w:jc w:val="both"/>
              <w:rPr>
                <w:sz w:val="20"/>
                <w:szCs w:val="20"/>
                <w:lang w:val="en-US"/>
              </w:rPr>
            </w:pPr>
            <w:r>
              <w:rPr>
                <w:sz w:val="20"/>
                <w:szCs w:val="20"/>
              </w:rPr>
              <w:t>We recommended that Management direct OCAT to correct immediately the accounting errors discussed in Observation No. 2.</w:t>
            </w:r>
          </w:p>
          <w:p>
            <w:pPr>
              <w:pStyle w:val="ListParagraph"/>
              <w:widowControl w:val="0"/>
              <w:overflowPunct w:val="0"/>
              <w:autoSpaceDE w:val="0"/>
              <w:autoSpaceDN w:val="0"/>
              <w:adjustRightInd w:val="0"/>
              <w:ind w:left="426"/>
              <w:jc w:val="both"/>
              <w:rPr>
                <w:bCs/>
                <w:iCs/>
                <w:sz w:val="20"/>
                <w:szCs w:val="20"/>
              </w:rPr>
            </w:pPr>
          </w:p>
        </w:tc>
        <w:tc>
          <w:tcPr>
            <w:tcW w:w="1643" w:type="dxa"/>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r>
              <w:rPr>
                <w:sz w:val="20"/>
                <w:szCs w:val="20"/>
              </w:rPr>
              <w:t>Partially Implemented</w:t>
            </w:r>
          </w:p>
          <w:p>
            <w:pPr>
              <w:spacing w:after="0" w:line="240" w:lineRule="auto"/>
              <w:jc w:val="center"/>
              <w:rPr>
                <w:sz w:val="20"/>
                <w:szCs w:val="20"/>
              </w:rPr>
            </w:pPr>
          </w:p>
          <w:p>
            <w:pPr>
              <w:pStyle w:val="NoSpacing"/>
              <w:jc w:val="center"/>
              <w:rPr>
                <w:sz w:val="20"/>
                <w:szCs w:val="20"/>
              </w:rPr>
            </w:pPr>
            <w:r>
              <w:rPr>
                <w:sz w:val="20"/>
                <w:szCs w:val="20"/>
              </w:rPr>
              <w:t xml:space="preserve">Recommendation is reiterated </w:t>
            </w:r>
            <w:r>
              <w:rPr>
                <w:sz w:val="20"/>
                <w:szCs w:val="20"/>
              </w:rPr>
              <w:lastRenderedPageBreak/>
              <w:t>(Finding No. 1, pp. 66-69)</w:t>
            </w:r>
          </w:p>
        </w:tc>
        <w:tc>
          <w:tcPr>
            <w:tcW w:w="1620" w:type="dxa"/>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The OCAT made proper adjusting entr</w:t>
            </w:r>
            <w:r>
              <w:rPr>
                <w:sz w:val="20"/>
                <w:szCs w:val="20"/>
                <w:lang w:val="en-US"/>
              </w:rPr>
              <w:t>ies</w:t>
            </w:r>
            <w:r>
              <w:rPr>
                <w:sz w:val="20"/>
                <w:szCs w:val="20"/>
              </w:rPr>
              <w:t xml:space="preserve"> to correct </w:t>
            </w:r>
            <w:r>
              <w:rPr>
                <w:sz w:val="20"/>
                <w:szCs w:val="20"/>
                <w:lang w:val="en-US"/>
              </w:rPr>
              <w:t xml:space="preserve">the </w:t>
            </w:r>
            <w:r>
              <w:rPr>
                <w:sz w:val="20"/>
                <w:szCs w:val="20"/>
              </w:rPr>
              <w:t>misstatements.</w:t>
            </w:r>
          </w:p>
        </w:tc>
        <w:tc>
          <w:tcPr>
            <w:tcW w:w="1872" w:type="dxa"/>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Accounting errors totaling P66.815 million are not yet corrected.</w:t>
            </w:r>
          </w:p>
        </w:tc>
      </w:tr>
      <w:tr>
        <w:trPr>
          <w:trHeight w:val="70"/>
        </w:trPr>
        <w:tc>
          <w:tcPr>
            <w:tcW w:w="1260" w:type="dxa"/>
            <w:tcBorders>
              <w:bottom w:val="nil"/>
            </w:tcBorders>
          </w:tcPr>
          <w:p>
            <w:pPr>
              <w:spacing w:after="0" w:line="240" w:lineRule="auto"/>
              <w:jc w:val="center"/>
              <w:rPr>
                <w:sz w:val="20"/>
                <w:szCs w:val="20"/>
              </w:rPr>
            </w:pPr>
            <w:r>
              <w:rPr>
                <w:sz w:val="20"/>
                <w:szCs w:val="20"/>
              </w:rPr>
              <w:t>Observation No. 3,</w:t>
            </w:r>
          </w:p>
          <w:p>
            <w:pPr>
              <w:spacing w:after="0" w:line="240" w:lineRule="auto"/>
              <w:jc w:val="center"/>
              <w:rPr>
                <w:sz w:val="20"/>
                <w:szCs w:val="20"/>
                <w:lang w:val="en-US"/>
              </w:rPr>
            </w:pPr>
            <w:r>
              <w:rPr>
                <w:sz w:val="20"/>
                <w:szCs w:val="20"/>
              </w:rPr>
              <w:t>Pages 71-73</w:t>
            </w:r>
          </w:p>
          <w:p>
            <w:pPr>
              <w:pStyle w:val="NoSpacing"/>
              <w:jc w:val="center"/>
              <w:rPr>
                <w:sz w:val="20"/>
                <w:szCs w:val="20"/>
              </w:rPr>
            </w:pPr>
          </w:p>
        </w:tc>
        <w:tc>
          <w:tcPr>
            <w:tcW w:w="3330" w:type="dxa"/>
            <w:tcBorders>
              <w:bottom w:val="nil"/>
            </w:tcBorders>
          </w:tcPr>
          <w:p>
            <w:pPr>
              <w:numPr>
                <w:ilvl w:val="0"/>
                <w:numId w:val="1"/>
              </w:numPr>
              <w:spacing w:after="0" w:line="240" w:lineRule="auto"/>
              <w:ind w:left="338"/>
              <w:jc w:val="both"/>
              <w:rPr>
                <w:sz w:val="20"/>
                <w:szCs w:val="20"/>
                <w:lang w:val="en-US"/>
              </w:rPr>
            </w:pPr>
            <w:r>
              <w:rPr>
                <w:sz w:val="20"/>
                <w:szCs w:val="20"/>
              </w:rPr>
              <w:t>The City had not disclosed in the Notes to FS the required information relevant to the understanding of the accounts presented in its FS that will enable users of these FS to evaluate the significance of the assets, liabilities and equity to the City’s financial position and performance and the nature and extent of risks arising from them.</w:t>
            </w:r>
          </w:p>
          <w:p>
            <w:pPr>
              <w:pStyle w:val="ListParagraph"/>
              <w:widowControl w:val="0"/>
              <w:overflowPunct w:val="0"/>
              <w:autoSpaceDE w:val="0"/>
              <w:autoSpaceDN w:val="0"/>
              <w:adjustRightInd w:val="0"/>
              <w:ind w:left="426"/>
              <w:jc w:val="both"/>
              <w:rPr>
                <w:bCs/>
                <w:iCs/>
                <w:sz w:val="20"/>
                <w:szCs w:val="20"/>
              </w:rPr>
            </w:pPr>
          </w:p>
        </w:tc>
        <w:tc>
          <w:tcPr>
            <w:tcW w:w="1643" w:type="dxa"/>
            <w:tcBorders>
              <w:bottom w:val="nil"/>
            </w:tcBorders>
          </w:tcPr>
          <w:p>
            <w:pPr>
              <w:pStyle w:val="NoSpacing"/>
              <w:jc w:val="center"/>
              <w:rPr>
                <w:sz w:val="20"/>
                <w:szCs w:val="20"/>
              </w:rPr>
            </w:pPr>
          </w:p>
        </w:tc>
        <w:tc>
          <w:tcPr>
            <w:tcW w:w="1620" w:type="dxa"/>
            <w:tcBorders>
              <w:bottom w:val="nil"/>
            </w:tcBorders>
          </w:tcPr>
          <w:p>
            <w:pPr>
              <w:pStyle w:val="NoSpacing"/>
              <w:jc w:val="both"/>
              <w:rPr>
                <w:sz w:val="20"/>
                <w:szCs w:val="20"/>
              </w:rPr>
            </w:pPr>
          </w:p>
        </w:tc>
        <w:tc>
          <w:tcPr>
            <w:tcW w:w="1872" w:type="dxa"/>
            <w:tcBorders>
              <w:bottom w:val="nil"/>
            </w:tcBorders>
          </w:tcPr>
          <w:p>
            <w:pPr>
              <w:pStyle w:val="NoSpacing"/>
              <w:jc w:val="both"/>
              <w:rPr>
                <w:sz w:val="20"/>
                <w:szCs w:val="20"/>
              </w:rPr>
            </w:pPr>
          </w:p>
        </w:tc>
      </w:tr>
      <w:tr>
        <w:trPr>
          <w:trHeight w:val="70"/>
        </w:trPr>
        <w:tc>
          <w:tcPr>
            <w:tcW w:w="1260" w:type="dxa"/>
            <w:tcBorders>
              <w:top w:val="nil"/>
              <w:bottom w:val="single" w:sz="4" w:space="0" w:color="auto"/>
            </w:tcBorders>
          </w:tcPr>
          <w:p>
            <w:pPr>
              <w:pStyle w:val="NoSpacing"/>
              <w:jc w:val="center"/>
              <w:rPr>
                <w:sz w:val="20"/>
                <w:szCs w:val="20"/>
              </w:rPr>
            </w:pPr>
          </w:p>
        </w:tc>
        <w:tc>
          <w:tcPr>
            <w:tcW w:w="3330" w:type="dxa"/>
            <w:tcBorders>
              <w:top w:val="nil"/>
              <w:bottom w:val="single" w:sz="4" w:space="0" w:color="auto"/>
            </w:tcBorders>
          </w:tcPr>
          <w:p>
            <w:pPr>
              <w:spacing w:after="0" w:line="240" w:lineRule="auto"/>
              <w:ind w:left="338"/>
              <w:jc w:val="both"/>
              <w:rPr>
                <w:sz w:val="20"/>
                <w:szCs w:val="20"/>
                <w:lang w:val="en-US"/>
              </w:rPr>
            </w:pPr>
            <w:r>
              <w:rPr>
                <w:sz w:val="20"/>
                <w:szCs w:val="20"/>
                <w:lang w:val="en-US"/>
              </w:rPr>
              <w:t>We recommended t</w:t>
            </w:r>
            <w:r>
              <w:rPr>
                <w:sz w:val="20"/>
                <w:szCs w:val="20"/>
              </w:rPr>
              <w:t>hat Management direct the OCAT to disclose in the Notes to FS the foregoing information.</w:t>
            </w:r>
          </w:p>
          <w:p>
            <w:pPr>
              <w:pStyle w:val="ListParagraph"/>
              <w:widowControl w:val="0"/>
              <w:overflowPunct w:val="0"/>
              <w:autoSpaceDE w:val="0"/>
              <w:autoSpaceDN w:val="0"/>
              <w:adjustRightInd w:val="0"/>
              <w:ind w:left="426"/>
              <w:jc w:val="both"/>
              <w:rPr>
                <w:bCs/>
                <w:iCs/>
                <w:sz w:val="20"/>
                <w:szCs w:val="20"/>
              </w:rPr>
            </w:pPr>
          </w:p>
        </w:tc>
        <w:tc>
          <w:tcPr>
            <w:tcW w:w="1643" w:type="dxa"/>
            <w:tcBorders>
              <w:top w:val="nil"/>
              <w:bottom w:val="single" w:sz="4" w:space="0" w:color="auto"/>
            </w:tcBorders>
          </w:tcPr>
          <w:p>
            <w:pPr>
              <w:pStyle w:val="NoSpacing"/>
              <w:jc w:val="center"/>
              <w:rPr>
                <w:sz w:val="20"/>
                <w:szCs w:val="20"/>
              </w:rPr>
            </w:pPr>
            <w:r>
              <w:rPr>
                <w:sz w:val="20"/>
                <w:szCs w:val="20"/>
              </w:rPr>
              <w:t>Partially Implemented</w:t>
            </w:r>
            <w:r>
              <w:rPr>
                <w:sz w:val="20"/>
                <w:szCs w:val="20"/>
              </w:rPr>
              <w:br/>
            </w:r>
            <w:r>
              <w:rPr>
                <w:sz w:val="20"/>
                <w:szCs w:val="20"/>
              </w:rPr>
              <w:br/>
            </w:r>
          </w:p>
          <w:p>
            <w:pPr>
              <w:pStyle w:val="NoSpacing"/>
              <w:jc w:val="center"/>
              <w:rPr>
                <w:sz w:val="20"/>
                <w:szCs w:val="20"/>
              </w:rPr>
            </w:pPr>
          </w:p>
        </w:tc>
        <w:tc>
          <w:tcPr>
            <w:tcW w:w="1620" w:type="dxa"/>
            <w:tcBorders>
              <w:top w:val="nil"/>
              <w:bottom w:val="single" w:sz="4" w:space="0" w:color="auto"/>
            </w:tcBorders>
          </w:tcPr>
          <w:p>
            <w:pPr>
              <w:pStyle w:val="NoSpacing"/>
              <w:jc w:val="both"/>
              <w:rPr>
                <w:sz w:val="20"/>
                <w:szCs w:val="20"/>
                <w:lang w:val="en-US"/>
              </w:rPr>
            </w:pPr>
            <w:r>
              <w:rPr>
                <w:sz w:val="20"/>
                <w:szCs w:val="20"/>
              </w:rPr>
              <w:t xml:space="preserve">The OCAT made proper </w:t>
            </w:r>
            <w:r>
              <w:rPr>
                <w:sz w:val="20"/>
                <w:szCs w:val="20"/>
                <w:lang w:val="en-US"/>
              </w:rPr>
              <w:t>disclosure in the Notes to FS.</w:t>
            </w:r>
          </w:p>
        </w:tc>
        <w:tc>
          <w:tcPr>
            <w:tcW w:w="1872" w:type="dxa"/>
            <w:tcBorders>
              <w:top w:val="nil"/>
              <w:bottom w:val="single" w:sz="4" w:space="0" w:color="auto"/>
            </w:tcBorders>
          </w:tcPr>
          <w:p>
            <w:pPr>
              <w:pStyle w:val="NoSpacing"/>
              <w:jc w:val="both"/>
              <w:rPr>
                <w:sz w:val="20"/>
                <w:szCs w:val="20"/>
              </w:rPr>
            </w:pPr>
            <w:r>
              <w:rPr>
                <w:sz w:val="20"/>
                <w:szCs w:val="20"/>
                <w:lang w:val="en-US"/>
              </w:rPr>
              <w:t xml:space="preserve">Certain </w:t>
            </w:r>
            <w:r>
              <w:rPr>
                <w:sz w:val="20"/>
                <w:szCs w:val="20"/>
              </w:rPr>
              <w:t>information relevant to the understanding of the accounts presented in the FS are not yet disclosed.</w:t>
            </w:r>
          </w:p>
          <w:p>
            <w:pPr>
              <w:pStyle w:val="NoSpacing"/>
              <w:jc w:val="both"/>
              <w:rPr>
                <w:sz w:val="20"/>
                <w:szCs w:val="20"/>
              </w:rPr>
            </w:pPr>
          </w:p>
          <w:p>
            <w:pPr>
              <w:pStyle w:val="NoSpacing"/>
              <w:jc w:val="both"/>
              <w:rPr>
                <w:sz w:val="20"/>
                <w:szCs w:val="20"/>
              </w:rPr>
            </w:pPr>
          </w:p>
        </w:tc>
      </w:tr>
      <w:tr>
        <w:trPr>
          <w:trHeight w:val="3450"/>
        </w:trPr>
        <w:tc>
          <w:tcPr>
            <w:tcW w:w="1260" w:type="dxa"/>
            <w:vMerge w:val="restart"/>
            <w:tcBorders>
              <w:bottom w:val="single" w:sz="4" w:space="0" w:color="auto"/>
            </w:tcBorders>
          </w:tcPr>
          <w:p>
            <w:pPr>
              <w:spacing w:after="0" w:line="240" w:lineRule="auto"/>
              <w:jc w:val="center"/>
              <w:rPr>
                <w:sz w:val="20"/>
                <w:szCs w:val="20"/>
              </w:rPr>
            </w:pPr>
            <w:r>
              <w:rPr>
                <w:sz w:val="20"/>
                <w:szCs w:val="20"/>
              </w:rPr>
              <w:t>Observation No. 4,</w:t>
            </w:r>
          </w:p>
          <w:p>
            <w:pPr>
              <w:spacing w:after="0" w:line="240" w:lineRule="auto"/>
              <w:jc w:val="center"/>
              <w:rPr>
                <w:sz w:val="20"/>
                <w:szCs w:val="20"/>
                <w:lang w:val="en-US"/>
              </w:rPr>
            </w:pPr>
            <w:r>
              <w:rPr>
                <w:sz w:val="20"/>
                <w:szCs w:val="20"/>
              </w:rPr>
              <w:t>Pages 73-77</w:t>
            </w:r>
          </w:p>
          <w:p>
            <w:pPr>
              <w:pStyle w:val="NoSpacing"/>
              <w:jc w:val="center"/>
              <w:rPr>
                <w:sz w:val="20"/>
                <w:szCs w:val="20"/>
              </w:rPr>
            </w:pPr>
          </w:p>
        </w:tc>
        <w:tc>
          <w:tcPr>
            <w:tcW w:w="3330" w:type="dxa"/>
            <w:tcBorders>
              <w:bottom w:val="single" w:sz="4" w:space="0" w:color="auto"/>
            </w:tcBorders>
          </w:tcPr>
          <w:p>
            <w:pPr>
              <w:numPr>
                <w:ilvl w:val="0"/>
                <w:numId w:val="1"/>
              </w:numPr>
              <w:spacing w:after="0" w:line="240" w:lineRule="auto"/>
              <w:ind w:left="338" w:hanging="338"/>
              <w:jc w:val="both"/>
              <w:rPr>
                <w:sz w:val="20"/>
                <w:szCs w:val="20"/>
                <w:lang w:val="en-US"/>
              </w:rPr>
            </w:pPr>
            <w:r>
              <w:rPr>
                <w:sz w:val="20"/>
                <w:szCs w:val="20"/>
              </w:rPr>
              <w:t>The substantial differences in the records of Cash in Bank (CiB) of the OCAT, CTO and depository banks undermine the quality of Cash in Bank information presented in the City’s financial statements.</w:t>
            </w:r>
          </w:p>
          <w:p>
            <w:pPr>
              <w:spacing w:after="0" w:line="240" w:lineRule="auto"/>
              <w:ind w:left="338"/>
              <w:jc w:val="both"/>
              <w:rPr>
                <w:sz w:val="20"/>
                <w:szCs w:val="20"/>
                <w:lang w:val="en-US"/>
              </w:rPr>
            </w:pPr>
          </w:p>
          <w:p>
            <w:pPr>
              <w:spacing w:after="0" w:line="240" w:lineRule="auto"/>
              <w:ind w:left="338"/>
              <w:jc w:val="both"/>
              <w:rPr>
                <w:sz w:val="20"/>
                <w:szCs w:val="20"/>
              </w:rPr>
            </w:pPr>
            <w:r>
              <w:rPr>
                <w:sz w:val="20"/>
                <w:szCs w:val="20"/>
              </w:rPr>
              <w:t xml:space="preserve">We recommended that Management: </w:t>
            </w:r>
          </w:p>
          <w:p>
            <w:pPr>
              <w:spacing w:after="0" w:line="240" w:lineRule="auto"/>
              <w:ind w:left="426"/>
              <w:jc w:val="both"/>
              <w:rPr>
                <w:sz w:val="20"/>
                <w:szCs w:val="20"/>
              </w:rPr>
            </w:pPr>
          </w:p>
          <w:p>
            <w:pPr>
              <w:numPr>
                <w:ilvl w:val="0"/>
                <w:numId w:val="5"/>
              </w:numPr>
              <w:spacing w:after="0" w:line="240" w:lineRule="auto"/>
              <w:ind w:left="609" w:hanging="271"/>
              <w:jc w:val="both"/>
              <w:rPr>
                <w:sz w:val="20"/>
                <w:szCs w:val="20"/>
              </w:rPr>
            </w:pPr>
            <w:r>
              <w:rPr>
                <w:sz w:val="20"/>
                <w:szCs w:val="20"/>
              </w:rPr>
              <w:t>Address fully the control breakdowns in accounting for checks issued and accounting reconciliation;</w:t>
            </w:r>
          </w:p>
          <w:p>
            <w:pPr>
              <w:spacing w:after="0" w:line="240" w:lineRule="auto"/>
              <w:ind w:left="609"/>
              <w:jc w:val="both"/>
              <w:rPr>
                <w:sz w:val="20"/>
                <w:szCs w:val="20"/>
              </w:rPr>
            </w:pPr>
          </w:p>
          <w:p>
            <w:pPr>
              <w:spacing w:after="0" w:line="240" w:lineRule="auto"/>
              <w:ind w:left="426"/>
              <w:jc w:val="both"/>
              <w:rPr>
                <w:sz w:val="20"/>
                <w:szCs w:val="20"/>
              </w:rPr>
            </w:pPr>
          </w:p>
          <w:p>
            <w:pPr>
              <w:spacing w:after="0" w:line="240" w:lineRule="auto"/>
              <w:ind w:left="426"/>
              <w:jc w:val="both"/>
              <w:rPr>
                <w:sz w:val="20"/>
                <w:szCs w:val="20"/>
              </w:rPr>
            </w:pPr>
          </w:p>
          <w:p>
            <w:pPr>
              <w:spacing w:after="0" w:line="240" w:lineRule="auto"/>
              <w:ind w:left="426"/>
              <w:jc w:val="both"/>
              <w:rPr>
                <w:sz w:val="20"/>
                <w:szCs w:val="20"/>
              </w:rPr>
            </w:pPr>
          </w:p>
          <w:p>
            <w:pPr>
              <w:spacing w:after="0" w:line="240" w:lineRule="auto"/>
              <w:ind w:left="426"/>
              <w:jc w:val="both"/>
              <w:rPr>
                <w:sz w:val="20"/>
                <w:szCs w:val="20"/>
              </w:rPr>
            </w:pPr>
          </w:p>
          <w:p>
            <w:pPr>
              <w:numPr>
                <w:ilvl w:val="0"/>
                <w:numId w:val="5"/>
              </w:numPr>
              <w:spacing w:after="0" w:line="240" w:lineRule="auto"/>
              <w:ind w:left="609" w:hanging="271"/>
              <w:jc w:val="both"/>
              <w:rPr>
                <w:sz w:val="20"/>
                <w:szCs w:val="20"/>
                <w:lang w:val="en-US"/>
              </w:rPr>
            </w:pPr>
            <w:r>
              <w:rPr>
                <w:sz w:val="20"/>
                <w:szCs w:val="20"/>
              </w:rPr>
              <w:t>Direct the OCAT and CTO to reconcile fully their CiB records with those of the depository bank; and</w:t>
            </w:r>
          </w:p>
          <w:p>
            <w:pPr>
              <w:spacing w:after="0" w:line="240" w:lineRule="auto"/>
              <w:ind w:left="426"/>
              <w:jc w:val="both"/>
              <w:rPr>
                <w:bCs/>
                <w:iCs/>
                <w:sz w:val="20"/>
                <w:szCs w:val="20"/>
              </w:rPr>
            </w:pPr>
          </w:p>
        </w:tc>
        <w:tc>
          <w:tcPr>
            <w:tcW w:w="1643" w:type="dxa"/>
            <w:tcBorders>
              <w:bottom w:val="single" w:sz="4" w:space="0" w:color="auto"/>
            </w:tcBorders>
          </w:tcPr>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r>
              <w:rPr>
                <w:sz w:val="20"/>
                <w:szCs w:val="20"/>
              </w:rPr>
              <w:t>Partially Implemented</w:t>
            </w:r>
          </w:p>
          <w:p>
            <w:pPr>
              <w:pStyle w:val="NoSpacing"/>
              <w:jc w:val="center"/>
              <w:rPr>
                <w:sz w:val="20"/>
                <w:szCs w:val="20"/>
              </w:rPr>
            </w:pPr>
          </w:p>
          <w:p>
            <w:pPr>
              <w:pStyle w:val="NoSpacing"/>
              <w:jc w:val="center"/>
              <w:rPr>
                <w:sz w:val="20"/>
                <w:szCs w:val="20"/>
              </w:rPr>
            </w:pPr>
            <w:r>
              <w:rPr>
                <w:sz w:val="20"/>
                <w:szCs w:val="20"/>
              </w:rPr>
              <w:t>Recommendation is reiterated/revised (Finding No. 1, pp. 66-69)</w:t>
            </w:r>
          </w:p>
          <w:p>
            <w:pPr>
              <w:pStyle w:val="NoSpacing"/>
              <w:jc w:val="center"/>
              <w:rPr>
                <w:sz w:val="20"/>
                <w:szCs w:val="20"/>
              </w:rPr>
            </w:pPr>
          </w:p>
          <w:p>
            <w:pPr>
              <w:spacing w:after="0" w:line="240" w:lineRule="auto"/>
              <w:jc w:val="center"/>
              <w:rPr>
                <w:sz w:val="20"/>
                <w:szCs w:val="20"/>
                <w:lang w:val="en-US"/>
              </w:rPr>
            </w:pPr>
            <w:r>
              <w:rPr>
                <w:sz w:val="20"/>
                <w:szCs w:val="20"/>
              </w:rPr>
              <w:t>Not Implemented</w:t>
            </w:r>
          </w:p>
          <w:p>
            <w:pPr>
              <w:pStyle w:val="NoSpacing"/>
              <w:jc w:val="center"/>
              <w:rPr>
                <w:sz w:val="20"/>
                <w:szCs w:val="20"/>
              </w:rPr>
            </w:pPr>
          </w:p>
          <w:p>
            <w:pPr>
              <w:pStyle w:val="NoSpacing"/>
              <w:jc w:val="center"/>
              <w:rPr>
                <w:sz w:val="20"/>
                <w:szCs w:val="20"/>
              </w:rPr>
            </w:pPr>
            <w:r>
              <w:rPr>
                <w:sz w:val="20"/>
                <w:szCs w:val="20"/>
              </w:rPr>
              <w:t>Recommendation is reiterated (Finding No. 1, pp. 66-69)</w:t>
            </w:r>
          </w:p>
        </w:tc>
        <w:tc>
          <w:tcPr>
            <w:tcW w:w="1620" w:type="dxa"/>
            <w:vMerge w:val="restart"/>
            <w:tcBorders>
              <w:bottom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pStyle w:val="NoSpacing"/>
              <w:jc w:val="both"/>
              <w:rPr>
                <w:sz w:val="20"/>
                <w:szCs w:val="20"/>
              </w:rPr>
            </w:pPr>
            <w:r>
              <w:rPr>
                <w:sz w:val="20"/>
                <w:szCs w:val="20"/>
              </w:rPr>
              <w:t xml:space="preserve">The OCAT adheres to such recommendation and made a proper adjusting entry to correct such misstatements. </w:t>
            </w:r>
          </w:p>
          <w:p>
            <w:pPr>
              <w:pStyle w:val="NoSpacing"/>
              <w:jc w:val="both"/>
              <w:rPr>
                <w:sz w:val="20"/>
                <w:szCs w:val="20"/>
              </w:rPr>
            </w:pPr>
          </w:p>
          <w:p>
            <w:pPr>
              <w:spacing w:after="0" w:line="240" w:lineRule="auto"/>
              <w:jc w:val="both"/>
              <w:rPr>
                <w:sz w:val="20"/>
                <w:szCs w:val="20"/>
              </w:rPr>
            </w:pPr>
            <w:r>
              <w:rPr>
                <w:sz w:val="20"/>
                <w:szCs w:val="20"/>
              </w:rPr>
              <w:t xml:space="preserve">The OCAT </w:t>
            </w:r>
            <w:r>
              <w:rPr>
                <w:sz w:val="20"/>
                <w:szCs w:val="20"/>
                <w:lang w:val="en-US"/>
              </w:rPr>
              <w:t>and</w:t>
            </w:r>
            <w:r>
              <w:rPr>
                <w:sz w:val="20"/>
                <w:szCs w:val="20"/>
              </w:rPr>
              <w:t xml:space="preserve"> CTO </w:t>
            </w:r>
            <w:r>
              <w:rPr>
                <w:sz w:val="20"/>
                <w:szCs w:val="20"/>
                <w:lang w:val="en-US"/>
              </w:rPr>
              <w:t>are</w:t>
            </w:r>
            <w:r>
              <w:rPr>
                <w:sz w:val="20"/>
                <w:szCs w:val="20"/>
              </w:rPr>
              <w:t xml:space="preserve"> now reconciling</w:t>
            </w:r>
            <w:r>
              <w:rPr>
                <w:sz w:val="20"/>
                <w:szCs w:val="20"/>
                <w:lang w:val="en-US"/>
              </w:rPr>
              <w:t xml:space="preserve"> their CiB records. </w:t>
            </w:r>
            <w:r>
              <w:rPr>
                <w:sz w:val="20"/>
                <w:szCs w:val="20"/>
              </w:rPr>
              <w:br/>
            </w:r>
            <w:r>
              <w:rPr>
                <w:sz w:val="20"/>
                <w:szCs w:val="20"/>
                <w:lang w:val="en-US"/>
              </w:rPr>
              <w:t xml:space="preserve">CTO </w:t>
            </w:r>
            <w:r>
              <w:rPr>
                <w:sz w:val="20"/>
                <w:szCs w:val="20"/>
              </w:rPr>
              <w:t>records</w:t>
            </w:r>
            <w:r>
              <w:rPr>
                <w:sz w:val="20"/>
                <w:szCs w:val="20"/>
                <w:lang w:val="en-US"/>
              </w:rPr>
              <w:t xml:space="preserve"> showed </w:t>
            </w:r>
            <w:r>
              <w:rPr>
                <w:sz w:val="20"/>
                <w:szCs w:val="20"/>
                <w:lang w:val="en-US"/>
              </w:rPr>
              <w:lastRenderedPageBreak/>
              <w:t>reconciling items a</w:t>
            </w:r>
            <w:r>
              <w:rPr>
                <w:sz w:val="20"/>
                <w:szCs w:val="20"/>
              </w:rPr>
              <w:t>s of 31</w:t>
            </w:r>
            <w:r>
              <w:rPr>
                <w:sz w:val="20"/>
                <w:szCs w:val="20"/>
                <w:lang w:val="en-US"/>
              </w:rPr>
              <w:t xml:space="preserve">/12/20 totaling </w:t>
            </w:r>
            <w:r>
              <w:rPr>
                <w:sz w:val="20"/>
                <w:szCs w:val="20"/>
              </w:rPr>
              <w:t>P201.109 million</w:t>
            </w:r>
            <w:r>
              <w:rPr>
                <w:sz w:val="20"/>
                <w:szCs w:val="20"/>
                <w:lang w:val="en-US"/>
              </w:rPr>
              <w:t xml:space="preserve"> which are now </w:t>
            </w:r>
            <w:r>
              <w:rPr>
                <w:sz w:val="20"/>
                <w:szCs w:val="20"/>
              </w:rPr>
              <w:t xml:space="preserve">reflected </w:t>
            </w:r>
            <w:r>
              <w:rPr>
                <w:sz w:val="20"/>
                <w:szCs w:val="20"/>
                <w:lang w:val="en-US"/>
              </w:rPr>
              <w:t>i</w:t>
            </w:r>
            <w:r>
              <w:rPr>
                <w:sz w:val="20"/>
                <w:szCs w:val="20"/>
              </w:rPr>
              <w:t xml:space="preserve">n the </w:t>
            </w:r>
            <w:r>
              <w:rPr>
                <w:sz w:val="20"/>
                <w:szCs w:val="20"/>
                <w:lang w:val="en-US"/>
              </w:rPr>
              <w:t xml:space="preserve">CTO </w:t>
            </w:r>
            <w:r>
              <w:rPr>
                <w:sz w:val="20"/>
                <w:szCs w:val="20"/>
              </w:rPr>
              <w:t xml:space="preserve">cashbook </w:t>
            </w:r>
            <w:r>
              <w:rPr>
                <w:sz w:val="20"/>
                <w:szCs w:val="20"/>
                <w:lang w:val="en-US"/>
              </w:rPr>
              <w:t>The CTO has</w:t>
            </w:r>
            <w:r>
              <w:rPr>
                <w:sz w:val="20"/>
                <w:szCs w:val="20"/>
              </w:rPr>
              <w:t xml:space="preserve"> assigned </w:t>
            </w:r>
            <w:r>
              <w:rPr>
                <w:sz w:val="20"/>
                <w:szCs w:val="20"/>
                <w:lang w:val="en-US"/>
              </w:rPr>
              <w:t xml:space="preserve">dedicated staff </w:t>
            </w:r>
            <w:r>
              <w:rPr>
                <w:sz w:val="20"/>
                <w:szCs w:val="20"/>
              </w:rPr>
              <w:t xml:space="preserve">to </w:t>
            </w:r>
            <w:r>
              <w:rPr>
                <w:sz w:val="20"/>
                <w:szCs w:val="20"/>
                <w:lang w:val="en-US"/>
              </w:rPr>
              <w:t xml:space="preserve">perform the </w:t>
            </w:r>
            <w:r>
              <w:rPr>
                <w:sz w:val="20"/>
                <w:szCs w:val="20"/>
              </w:rPr>
              <w:t>Cash Reconciliation</w:t>
            </w:r>
            <w:r>
              <w:rPr>
                <w:sz w:val="20"/>
                <w:szCs w:val="20"/>
                <w:lang w:val="en-US"/>
              </w:rPr>
              <w:t>.</w:t>
            </w:r>
          </w:p>
          <w:p>
            <w:pPr>
              <w:pStyle w:val="NoSpacing"/>
              <w:jc w:val="both"/>
              <w:rPr>
                <w:sz w:val="20"/>
                <w:szCs w:val="20"/>
              </w:rPr>
            </w:pPr>
          </w:p>
        </w:tc>
        <w:tc>
          <w:tcPr>
            <w:tcW w:w="1872" w:type="dxa"/>
            <w:vMerge w:val="restart"/>
            <w:tcBorders>
              <w:bottom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pStyle w:val="NoSpacing"/>
              <w:jc w:val="both"/>
              <w:rPr>
                <w:sz w:val="20"/>
                <w:szCs w:val="20"/>
              </w:rPr>
            </w:pPr>
            <w:r>
              <w:rPr>
                <w:sz w:val="20"/>
                <w:szCs w:val="20"/>
              </w:rPr>
              <w:t>Various checks issued totaling P5.913 million are not recorded in the CkDJ.</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The CiB balances of the OCAT, CTO and depository banks are still unreconciled to date.</w:t>
            </w:r>
          </w:p>
        </w:tc>
      </w:tr>
      <w:tr>
        <w:trPr>
          <w:trHeight w:val="3240"/>
        </w:trPr>
        <w:tc>
          <w:tcPr>
            <w:tcW w:w="1260" w:type="dxa"/>
            <w:vMerge/>
            <w:tcBorders>
              <w:top w:val="single" w:sz="4" w:space="0" w:color="auto"/>
              <w:bottom w:val="nil"/>
            </w:tcBorders>
          </w:tcPr>
          <w:p>
            <w:pPr>
              <w:pStyle w:val="NoSpacing"/>
              <w:jc w:val="center"/>
              <w:rPr>
                <w:sz w:val="20"/>
                <w:szCs w:val="20"/>
              </w:rPr>
            </w:pPr>
          </w:p>
        </w:tc>
        <w:tc>
          <w:tcPr>
            <w:tcW w:w="3330" w:type="dxa"/>
            <w:tcBorders>
              <w:top w:val="single" w:sz="4" w:space="0" w:color="auto"/>
              <w:bottom w:val="nil"/>
              <w:right w:val="single" w:sz="6" w:space="0" w:color="auto"/>
            </w:tcBorders>
          </w:tcPr>
          <w:p>
            <w:pPr>
              <w:spacing w:after="0" w:line="240" w:lineRule="auto"/>
              <w:ind w:left="609"/>
              <w:jc w:val="both"/>
              <w:rPr>
                <w:bCs/>
                <w:iCs/>
                <w:sz w:val="20"/>
                <w:szCs w:val="20"/>
              </w:rPr>
            </w:pPr>
          </w:p>
        </w:tc>
        <w:tc>
          <w:tcPr>
            <w:tcW w:w="1643" w:type="dxa"/>
            <w:tcBorders>
              <w:top w:val="single" w:sz="4" w:space="0" w:color="auto"/>
              <w:left w:val="single" w:sz="6" w:space="0" w:color="auto"/>
              <w:bottom w:val="nil"/>
            </w:tcBorders>
          </w:tcPr>
          <w:p>
            <w:pPr>
              <w:spacing w:after="0" w:line="240" w:lineRule="auto"/>
              <w:rPr>
                <w:sz w:val="20"/>
                <w:szCs w:val="20"/>
                <w:lang w:val="en-US"/>
              </w:rPr>
            </w:pPr>
          </w:p>
        </w:tc>
        <w:tc>
          <w:tcPr>
            <w:tcW w:w="1620" w:type="dxa"/>
            <w:vMerge/>
            <w:tcBorders>
              <w:top w:val="single" w:sz="4" w:space="0" w:color="auto"/>
              <w:bottom w:val="nil"/>
            </w:tcBorders>
          </w:tcPr>
          <w:p>
            <w:pPr>
              <w:pStyle w:val="NoSpacing"/>
              <w:jc w:val="both"/>
              <w:rPr>
                <w:sz w:val="20"/>
                <w:szCs w:val="20"/>
              </w:rPr>
            </w:pPr>
          </w:p>
        </w:tc>
        <w:tc>
          <w:tcPr>
            <w:tcW w:w="1872" w:type="dxa"/>
            <w:vMerge/>
            <w:tcBorders>
              <w:top w:val="single" w:sz="4" w:space="0" w:color="auto"/>
              <w:bottom w:val="nil"/>
            </w:tcBorders>
          </w:tcPr>
          <w:p>
            <w:pPr>
              <w:pStyle w:val="NoSpacing"/>
              <w:jc w:val="both"/>
              <w:rPr>
                <w:sz w:val="20"/>
                <w:szCs w:val="20"/>
              </w:rPr>
            </w:pPr>
          </w:p>
        </w:tc>
      </w:tr>
      <w:tr>
        <w:trPr>
          <w:trHeight w:val="70"/>
        </w:trPr>
        <w:tc>
          <w:tcPr>
            <w:tcW w:w="1260" w:type="dxa"/>
            <w:tcBorders>
              <w:top w:val="nil"/>
            </w:tcBorders>
          </w:tcPr>
          <w:p>
            <w:pPr>
              <w:pStyle w:val="NoSpacing"/>
              <w:jc w:val="center"/>
              <w:rPr>
                <w:sz w:val="20"/>
                <w:szCs w:val="20"/>
              </w:rPr>
            </w:pPr>
          </w:p>
        </w:tc>
        <w:tc>
          <w:tcPr>
            <w:tcW w:w="3330" w:type="dxa"/>
            <w:tcBorders>
              <w:top w:val="nil"/>
            </w:tcBorders>
          </w:tcPr>
          <w:p>
            <w:pPr>
              <w:pStyle w:val="ListParagraph"/>
              <w:widowControl w:val="0"/>
              <w:numPr>
                <w:ilvl w:val="0"/>
                <w:numId w:val="5"/>
              </w:numPr>
              <w:overflowPunct w:val="0"/>
              <w:autoSpaceDE w:val="0"/>
              <w:autoSpaceDN w:val="0"/>
              <w:adjustRightInd w:val="0"/>
              <w:ind w:left="609" w:hanging="271"/>
              <w:jc w:val="both"/>
              <w:rPr>
                <w:bCs/>
                <w:iCs/>
                <w:sz w:val="20"/>
                <w:szCs w:val="20"/>
              </w:rPr>
            </w:pPr>
            <w:r>
              <w:rPr>
                <w:bCs/>
                <w:iCs/>
                <w:sz w:val="20"/>
                <w:szCs w:val="20"/>
              </w:rPr>
              <w:t>Interface the financial application systems of the CTO and OCAT with sound controls that will ensure the efficient, valid, accurate and complete processing of financial transactions.</w:t>
            </w:r>
          </w:p>
        </w:tc>
        <w:tc>
          <w:tcPr>
            <w:tcW w:w="1643" w:type="dxa"/>
            <w:tcBorders>
              <w:top w:val="nil"/>
            </w:tcBorders>
          </w:tcPr>
          <w:p>
            <w:pPr>
              <w:spacing w:after="0" w:line="240" w:lineRule="auto"/>
              <w:jc w:val="center"/>
              <w:rPr>
                <w:sz w:val="20"/>
                <w:szCs w:val="20"/>
                <w:lang w:val="en-US"/>
              </w:rPr>
            </w:pPr>
            <w:r>
              <w:rPr>
                <w:sz w:val="20"/>
                <w:szCs w:val="20"/>
              </w:rPr>
              <w:t>Partially Implemented</w:t>
            </w:r>
          </w:p>
          <w:p>
            <w:pPr>
              <w:pStyle w:val="NoSpacing"/>
              <w:jc w:val="center"/>
              <w:rPr>
                <w:sz w:val="20"/>
                <w:szCs w:val="20"/>
              </w:rPr>
            </w:pPr>
          </w:p>
          <w:p>
            <w:pPr>
              <w:pStyle w:val="NoSpacing"/>
              <w:jc w:val="center"/>
              <w:rPr>
                <w:sz w:val="20"/>
                <w:szCs w:val="20"/>
              </w:rPr>
            </w:pPr>
            <w:r>
              <w:rPr>
                <w:sz w:val="20"/>
                <w:szCs w:val="20"/>
              </w:rPr>
              <w:t>Recommendation is revised (Finding No. 1, pp. 66-69)</w:t>
            </w:r>
          </w:p>
        </w:tc>
        <w:tc>
          <w:tcPr>
            <w:tcW w:w="1620" w:type="dxa"/>
            <w:tcBorders>
              <w:top w:val="nil"/>
            </w:tcBorders>
          </w:tcPr>
          <w:p>
            <w:pPr>
              <w:pStyle w:val="NoSpacing"/>
              <w:jc w:val="both"/>
              <w:rPr>
                <w:sz w:val="20"/>
                <w:szCs w:val="20"/>
              </w:rPr>
            </w:pPr>
            <w:r>
              <w:rPr>
                <w:sz w:val="20"/>
                <w:szCs w:val="20"/>
              </w:rPr>
              <w:t>The OCAT is now developing a</w:t>
            </w:r>
            <w:r>
              <w:rPr>
                <w:sz w:val="20"/>
                <w:szCs w:val="20"/>
                <w:lang w:val="en-US"/>
              </w:rPr>
              <w:t xml:space="preserve">n </w:t>
            </w:r>
            <w:r>
              <w:rPr>
                <w:sz w:val="20"/>
                <w:szCs w:val="20"/>
              </w:rPr>
              <w:t xml:space="preserve">application system that will ensure </w:t>
            </w:r>
            <w:r>
              <w:rPr>
                <w:sz w:val="20"/>
                <w:szCs w:val="20"/>
                <w:lang w:val="en-US"/>
              </w:rPr>
              <w:t xml:space="preserve">proper </w:t>
            </w:r>
            <w:r>
              <w:rPr>
                <w:sz w:val="20"/>
                <w:szCs w:val="20"/>
              </w:rPr>
              <w:t xml:space="preserve">processing of financial transactions. </w:t>
            </w:r>
          </w:p>
          <w:p>
            <w:pPr>
              <w:pStyle w:val="NoSpacing"/>
              <w:jc w:val="both"/>
              <w:rPr>
                <w:sz w:val="20"/>
                <w:szCs w:val="20"/>
              </w:rPr>
            </w:pPr>
          </w:p>
          <w:p>
            <w:pPr>
              <w:pStyle w:val="NoSpacing"/>
              <w:jc w:val="both"/>
              <w:rPr>
                <w:sz w:val="20"/>
                <w:szCs w:val="20"/>
              </w:rPr>
            </w:pPr>
          </w:p>
        </w:tc>
        <w:tc>
          <w:tcPr>
            <w:tcW w:w="1872" w:type="dxa"/>
            <w:tcBorders>
              <w:top w:val="nil"/>
            </w:tcBorders>
          </w:tcPr>
          <w:p>
            <w:pPr>
              <w:pStyle w:val="NoSpacing"/>
              <w:jc w:val="both"/>
              <w:rPr>
                <w:sz w:val="20"/>
                <w:szCs w:val="20"/>
              </w:rPr>
            </w:pPr>
            <w:r>
              <w:rPr>
                <w:sz w:val="20"/>
                <w:szCs w:val="20"/>
              </w:rPr>
              <w:t>Project proposal for th</w:t>
            </w:r>
            <w:r>
              <w:rPr>
                <w:sz w:val="20"/>
                <w:szCs w:val="20"/>
                <w:lang w:val="en-US"/>
              </w:rPr>
              <w:t>is</w:t>
            </w:r>
            <w:r>
              <w:rPr>
                <w:sz w:val="20"/>
                <w:szCs w:val="20"/>
              </w:rPr>
              <w:t xml:space="preserve"> </w:t>
            </w:r>
            <w:r>
              <w:rPr>
                <w:sz w:val="20"/>
                <w:szCs w:val="20"/>
                <w:lang w:val="en-US"/>
              </w:rPr>
              <w:t xml:space="preserve">application </w:t>
            </w:r>
            <w:r>
              <w:rPr>
                <w:sz w:val="20"/>
                <w:szCs w:val="20"/>
              </w:rPr>
              <w:t xml:space="preserve">system was already submitted to the Office of the Mayor for approval, per letter dated 03/06/2021. </w:t>
            </w:r>
          </w:p>
        </w:tc>
      </w:tr>
      <w:tr>
        <w:trPr>
          <w:trHeight w:val="70"/>
        </w:trPr>
        <w:tc>
          <w:tcPr>
            <w:tcW w:w="1260" w:type="dxa"/>
            <w:tcBorders>
              <w:bottom w:val="nil"/>
            </w:tcBorders>
          </w:tcPr>
          <w:p>
            <w:pPr>
              <w:spacing w:after="0" w:line="240" w:lineRule="auto"/>
              <w:jc w:val="center"/>
              <w:rPr>
                <w:sz w:val="20"/>
                <w:szCs w:val="20"/>
              </w:rPr>
            </w:pPr>
            <w:r>
              <w:rPr>
                <w:sz w:val="20"/>
                <w:szCs w:val="20"/>
              </w:rPr>
              <w:t>Observation No. 5,</w:t>
            </w:r>
          </w:p>
          <w:p>
            <w:pPr>
              <w:spacing w:after="0" w:line="240" w:lineRule="auto"/>
              <w:jc w:val="center"/>
              <w:rPr>
                <w:sz w:val="20"/>
                <w:szCs w:val="20"/>
                <w:lang w:val="en-US"/>
              </w:rPr>
            </w:pPr>
            <w:r>
              <w:rPr>
                <w:sz w:val="20"/>
                <w:szCs w:val="20"/>
              </w:rPr>
              <w:t>Pages 77-78</w:t>
            </w:r>
          </w:p>
          <w:p>
            <w:pPr>
              <w:pStyle w:val="NoSpacing"/>
              <w:jc w:val="center"/>
              <w:rPr>
                <w:sz w:val="20"/>
                <w:szCs w:val="20"/>
              </w:rPr>
            </w:pPr>
          </w:p>
        </w:tc>
        <w:tc>
          <w:tcPr>
            <w:tcW w:w="3330" w:type="dxa"/>
            <w:tcBorders>
              <w:bottom w:val="nil"/>
            </w:tcBorders>
          </w:tcPr>
          <w:p>
            <w:pPr>
              <w:numPr>
                <w:ilvl w:val="0"/>
                <w:numId w:val="1"/>
              </w:numPr>
              <w:spacing w:after="0" w:line="240" w:lineRule="auto"/>
              <w:ind w:left="338"/>
              <w:jc w:val="both"/>
              <w:rPr>
                <w:sz w:val="20"/>
                <w:szCs w:val="20"/>
                <w:lang w:val="en-US"/>
              </w:rPr>
            </w:pPr>
            <w:r>
              <w:rPr>
                <w:sz w:val="20"/>
                <w:szCs w:val="20"/>
              </w:rPr>
              <w:t>The unreconciled differences in the payable records undermine the quality of payable account information presented in the City’s financial statements.</w:t>
            </w:r>
          </w:p>
          <w:p>
            <w:pPr>
              <w:spacing w:after="0" w:line="240" w:lineRule="auto"/>
              <w:ind w:left="338"/>
              <w:jc w:val="both"/>
              <w:rPr>
                <w:sz w:val="20"/>
                <w:szCs w:val="20"/>
                <w:lang w:val="en-US"/>
              </w:rPr>
            </w:pPr>
          </w:p>
          <w:p>
            <w:pPr>
              <w:spacing w:after="0" w:line="240" w:lineRule="auto"/>
              <w:ind w:left="338"/>
              <w:jc w:val="both"/>
              <w:rPr>
                <w:sz w:val="20"/>
                <w:szCs w:val="20"/>
                <w:lang w:val="en-US"/>
              </w:rPr>
            </w:pPr>
          </w:p>
        </w:tc>
        <w:tc>
          <w:tcPr>
            <w:tcW w:w="1643" w:type="dxa"/>
            <w:tcBorders>
              <w:bottom w:val="nil"/>
            </w:tcBorders>
          </w:tcPr>
          <w:p>
            <w:pPr>
              <w:pStyle w:val="NoSpacing"/>
              <w:jc w:val="center"/>
              <w:rPr>
                <w:sz w:val="20"/>
                <w:szCs w:val="20"/>
              </w:rPr>
            </w:pPr>
          </w:p>
        </w:tc>
        <w:tc>
          <w:tcPr>
            <w:tcW w:w="1620" w:type="dxa"/>
            <w:tcBorders>
              <w:bottom w:val="nil"/>
            </w:tcBorders>
          </w:tcPr>
          <w:p>
            <w:pPr>
              <w:pStyle w:val="NoSpacing"/>
              <w:jc w:val="both"/>
              <w:rPr>
                <w:sz w:val="20"/>
                <w:szCs w:val="20"/>
              </w:rPr>
            </w:pPr>
          </w:p>
        </w:tc>
        <w:tc>
          <w:tcPr>
            <w:tcW w:w="1872" w:type="dxa"/>
            <w:tcBorders>
              <w:bottom w:val="nil"/>
            </w:tcBorders>
          </w:tcPr>
          <w:p>
            <w:pPr>
              <w:pStyle w:val="NoSpacing"/>
              <w:jc w:val="both"/>
              <w:rPr>
                <w:sz w:val="20"/>
                <w:szCs w:val="20"/>
              </w:rPr>
            </w:pPr>
          </w:p>
        </w:tc>
      </w:tr>
      <w:tr>
        <w:trPr>
          <w:trHeight w:val="70"/>
        </w:trPr>
        <w:tc>
          <w:tcPr>
            <w:tcW w:w="1260" w:type="dxa"/>
            <w:tcBorders>
              <w:top w:val="nil"/>
              <w:bottom w:val="single" w:sz="4" w:space="0" w:color="auto"/>
            </w:tcBorders>
          </w:tcPr>
          <w:p>
            <w:pPr>
              <w:pStyle w:val="NoSpacing"/>
              <w:jc w:val="center"/>
              <w:rPr>
                <w:sz w:val="20"/>
                <w:szCs w:val="20"/>
              </w:rPr>
            </w:pPr>
          </w:p>
        </w:tc>
        <w:tc>
          <w:tcPr>
            <w:tcW w:w="3330" w:type="dxa"/>
            <w:tcBorders>
              <w:top w:val="nil"/>
              <w:bottom w:val="single" w:sz="4" w:space="0" w:color="auto"/>
            </w:tcBorders>
          </w:tcPr>
          <w:p>
            <w:pPr>
              <w:spacing w:after="0" w:line="240" w:lineRule="auto"/>
              <w:ind w:left="338"/>
              <w:jc w:val="both"/>
              <w:rPr>
                <w:sz w:val="20"/>
                <w:szCs w:val="20"/>
              </w:rPr>
            </w:pPr>
            <w:r>
              <w:rPr>
                <w:sz w:val="20"/>
                <w:szCs w:val="20"/>
              </w:rPr>
              <w:t>We recommended that Management direct the OCAT to reconcile the General Ledger, Subsidiary Ledgers (SLs) and Subsidiary Schedules balances of the payables; and strengthen accounting controls to ensure that payables are supported with the prescribed documentation, and accurately and fully recognized in the books of accounts.</w:t>
            </w:r>
          </w:p>
          <w:p>
            <w:pPr>
              <w:spacing w:after="0" w:line="240" w:lineRule="auto"/>
              <w:ind w:left="338"/>
              <w:jc w:val="both"/>
              <w:rPr>
                <w:sz w:val="20"/>
                <w:szCs w:val="20"/>
                <w:lang w:val="en-US"/>
              </w:rPr>
            </w:pPr>
          </w:p>
        </w:tc>
        <w:tc>
          <w:tcPr>
            <w:tcW w:w="1643" w:type="dxa"/>
            <w:tcBorders>
              <w:top w:val="nil"/>
              <w:bottom w:val="single" w:sz="4" w:space="0" w:color="auto"/>
            </w:tcBorders>
          </w:tcPr>
          <w:p>
            <w:pPr>
              <w:pStyle w:val="NoSpacing"/>
              <w:jc w:val="center"/>
              <w:rPr>
                <w:sz w:val="20"/>
                <w:szCs w:val="20"/>
              </w:rPr>
            </w:pPr>
            <w:r>
              <w:rPr>
                <w:sz w:val="20"/>
                <w:szCs w:val="20"/>
              </w:rPr>
              <w:t>Fully Implemented</w:t>
            </w:r>
          </w:p>
        </w:tc>
        <w:tc>
          <w:tcPr>
            <w:tcW w:w="1620" w:type="dxa"/>
            <w:tcBorders>
              <w:top w:val="nil"/>
              <w:bottom w:val="single" w:sz="4" w:space="0" w:color="auto"/>
            </w:tcBorders>
          </w:tcPr>
          <w:p>
            <w:pPr>
              <w:pStyle w:val="NoSpacing"/>
              <w:jc w:val="both"/>
              <w:rPr>
                <w:sz w:val="20"/>
                <w:szCs w:val="20"/>
              </w:rPr>
            </w:pPr>
            <w:r>
              <w:rPr>
                <w:sz w:val="20"/>
                <w:szCs w:val="20"/>
              </w:rPr>
              <w:t>The OCAT adjusted all accounting errors identified during the audit period CY 2020 totaling P2.967 billion under JEV Nos.:</w:t>
            </w:r>
          </w:p>
          <w:p>
            <w:pPr>
              <w:pStyle w:val="NoSpacing"/>
              <w:rPr>
                <w:sz w:val="20"/>
                <w:szCs w:val="20"/>
              </w:rPr>
            </w:pPr>
            <w:r>
              <w:rPr>
                <w:sz w:val="20"/>
                <w:szCs w:val="20"/>
              </w:rPr>
              <w:t xml:space="preserve">GF – 11188, 11192, 11195, 11196, 11197, 11198 </w:t>
            </w:r>
          </w:p>
          <w:p>
            <w:pPr>
              <w:pStyle w:val="NoSpacing"/>
              <w:rPr>
                <w:sz w:val="20"/>
                <w:szCs w:val="20"/>
              </w:rPr>
            </w:pPr>
            <w:r>
              <w:rPr>
                <w:sz w:val="20"/>
                <w:szCs w:val="20"/>
              </w:rPr>
              <w:t>SEF – 00618</w:t>
            </w:r>
          </w:p>
          <w:p>
            <w:pPr>
              <w:pStyle w:val="NoSpacing"/>
              <w:rPr>
                <w:sz w:val="20"/>
                <w:szCs w:val="20"/>
              </w:rPr>
            </w:pPr>
            <w:r>
              <w:rPr>
                <w:sz w:val="20"/>
                <w:szCs w:val="20"/>
              </w:rPr>
              <w:t>TF – 01104</w:t>
            </w:r>
          </w:p>
          <w:p>
            <w:pPr>
              <w:pStyle w:val="NoSpacing"/>
              <w:jc w:val="both"/>
              <w:rPr>
                <w:sz w:val="20"/>
                <w:szCs w:val="20"/>
              </w:rPr>
            </w:pPr>
          </w:p>
        </w:tc>
        <w:tc>
          <w:tcPr>
            <w:tcW w:w="1872" w:type="dxa"/>
            <w:tcBorders>
              <w:top w:val="nil"/>
              <w:bottom w:val="single" w:sz="4" w:space="0" w:color="auto"/>
            </w:tcBorders>
          </w:tcPr>
          <w:p>
            <w:pPr>
              <w:spacing w:after="0" w:line="240" w:lineRule="auto"/>
              <w:jc w:val="both"/>
              <w:rPr>
                <w:sz w:val="20"/>
                <w:szCs w:val="20"/>
              </w:rPr>
            </w:pPr>
          </w:p>
        </w:tc>
      </w:tr>
      <w:tr>
        <w:trPr>
          <w:trHeight w:val="1547"/>
        </w:trPr>
        <w:tc>
          <w:tcPr>
            <w:tcW w:w="1260" w:type="dxa"/>
          </w:tcPr>
          <w:p>
            <w:pPr>
              <w:spacing w:after="0" w:line="240" w:lineRule="auto"/>
              <w:jc w:val="center"/>
              <w:rPr>
                <w:sz w:val="20"/>
                <w:szCs w:val="20"/>
              </w:rPr>
            </w:pPr>
            <w:r>
              <w:rPr>
                <w:sz w:val="20"/>
                <w:szCs w:val="20"/>
              </w:rPr>
              <w:t xml:space="preserve">Observation </w:t>
            </w:r>
          </w:p>
          <w:p>
            <w:pPr>
              <w:spacing w:after="0" w:line="240" w:lineRule="auto"/>
              <w:jc w:val="center"/>
              <w:rPr>
                <w:sz w:val="20"/>
                <w:szCs w:val="20"/>
              </w:rPr>
            </w:pPr>
            <w:r>
              <w:rPr>
                <w:sz w:val="20"/>
                <w:szCs w:val="20"/>
              </w:rPr>
              <w:t>No. 6,</w:t>
            </w:r>
          </w:p>
          <w:p>
            <w:pPr>
              <w:spacing w:after="0" w:line="240" w:lineRule="auto"/>
              <w:jc w:val="center"/>
              <w:rPr>
                <w:sz w:val="20"/>
                <w:szCs w:val="20"/>
                <w:lang w:val="en-US"/>
              </w:rPr>
            </w:pPr>
            <w:r>
              <w:rPr>
                <w:sz w:val="20"/>
                <w:szCs w:val="20"/>
              </w:rPr>
              <w:t>Pages 78-80</w:t>
            </w:r>
          </w:p>
          <w:p>
            <w:pPr>
              <w:pStyle w:val="NoSpacing"/>
              <w:jc w:val="center"/>
              <w:rPr>
                <w:sz w:val="20"/>
                <w:szCs w:val="20"/>
              </w:rPr>
            </w:pPr>
          </w:p>
        </w:tc>
        <w:tc>
          <w:tcPr>
            <w:tcW w:w="3330" w:type="dxa"/>
          </w:tcPr>
          <w:p>
            <w:pPr>
              <w:numPr>
                <w:ilvl w:val="0"/>
                <w:numId w:val="1"/>
              </w:numPr>
              <w:spacing w:after="0" w:line="240" w:lineRule="auto"/>
              <w:ind w:left="338"/>
              <w:jc w:val="both"/>
              <w:rPr>
                <w:sz w:val="20"/>
                <w:szCs w:val="20"/>
                <w:lang w:val="en-US"/>
              </w:rPr>
            </w:pPr>
            <w:r>
              <w:rPr>
                <w:sz w:val="20"/>
                <w:szCs w:val="20"/>
              </w:rPr>
              <w:t xml:space="preserve">The City had not settled cash advances (CAs) totaling P203.440 million, P198.791 million or 97.7 percent of which were drawn by and are the accountabilities of the past City Administrations. These advances were intended to defray </w:t>
            </w:r>
            <w:r>
              <w:rPr>
                <w:sz w:val="20"/>
                <w:szCs w:val="20"/>
              </w:rPr>
              <w:lastRenderedPageBreak/>
              <w:t xml:space="preserve">the expenses for the year in which they were granted, thus, the expenses paid out of them had not been recognized in the year incurred, thereby affecting the fair presentation in the financial statements of the cash advance, expense and equity accounts.  </w:t>
            </w:r>
          </w:p>
          <w:p>
            <w:pPr>
              <w:spacing w:after="0" w:line="240" w:lineRule="auto"/>
              <w:ind w:left="338"/>
              <w:jc w:val="both"/>
              <w:rPr>
                <w:sz w:val="20"/>
                <w:szCs w:val="20"/>
              </w:rPr>
            </w:pPr>
          </w:p>
          <w:p>
            <w:pPr>
              <w:spacing w:after="0" w:line="240" w:lineRule="auto"/>
              <w:ind w:left="338"/>
              <w:jc w:val="both"/>
              <w:rPr>
                <w:bCs/>
                <w:iCs/>
                <w:sz w:val="20"/>
                <w:szCs w:val="20"/>
              </w:rPr>
            </w:pPr>
            <w:r>
              <w:rPr>
                <w:sz w:val="20"/>
                <w:szCs w:val="20"/>
              </w:rPr>
              <w:t>We recommended that Management:</w:t>
            </w:r>
          </w:p>
          <w:p>
            <w:pPr>
              <w:spacing w:after="0" w:line="240" w:lineRule="auto"/>
              <w:ind w:left="436"/>
              <w:jc w:val="both"/>
              <w:rPr>
                <w:sz w:val="20"/>
                <w:szCs w:val="20"/>
              </w:rPr>
            </w:pPr>
            <w:r>
              <w:rPr>
                <w:sz w:val="20"/>
                <w:szCs w:val="20"/>
              </w:rPr>
              <w:t xml:space="preserve"> </w:t>
            </w:r>
          </w:p>
          <w:p>
            <w:pPr>
              <w:numPr>
                <w:ilvl w:val="0"/>
                <w:numId w:val="6"/>
              </w:numPr>
              <w:spacing w:after="0" w:line="240" w:lineRule="auto"/>
              <w:ind w:left="609" w:hanging="271"/>
              <w:jc w:val="both"/>
              <w:rPr>
                <w:sz w:val="20"/>
                <w:szCs w:val="20"/>
                <w:lang w:val="en-US"/>
              </w:rPr>
            </w:pPr>
            <w:r>
              <w:rPr>
                <w:sz w:val="20"/>
                <w:szCs w:val="20"/>
              </w:rPr>
              <w:t xml:space="preserve">Enforce strictly the CA liquidation within the prescribed period; </w:t>
            </w: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numPr>
                <w:ilvl w:val="0"/>
                <w:numId w:val="6"/>
              </w:numPr>
              <w:spacing w:after="0" w:line="240" w:lineRule="auto"/>
              <w:ind w:left="609" w:hanging="271"/>
              <w:jc w:val="both"/>
              <w:rPr>
                <w:bCs/>
                <w:iCs/>
                <w:sz w:val="20"/>
                <w:szCs w:val="20"/>
              </w:rPr>
            </w:pPr>
            <w:r>
              <w:rPr>
                <w:sz w:val="20"/>
                <w:szCs w:val="20"/>
              </w:rPr>
              <w:t>In the case of the officers and employees drawing cash advances, require them to authorize the City to deduct such CAs from their pay upon their failure to liquidate such advances within the prescribed period; and</w:t>
            </w:r>
          </w:p>
          <w:p>
            <w:pPr>
              <w:spacing w:after="0" w:line="240" w:lineRule="auto"/>
              <w:ind w:left="609"/>
              <w:jc w:val="both"/>
              <w:rPr>
                <w:sz w:val="20"/>
                <w:szCs w:val="20"/>
              </w:rPr>
            </w:pPr>
          </w:p>
          <w:p>
            <w:pPr>
              <w:numPr>
                <w:ilvl w:val="0"/>
                <w:numId w:val="6"/>
              </w:numPr>
              <w:spacing w:after="0" w:line="240" w:lineRule="auto"/>
              <w:ind w:left="609" w:hanging="271"/>
              <w:jc w:val="both"/>
              <w:rPr>
                <w:sz w:val="20"/>
                <w:szCs w:val="20"/>
                <w:lang w:val="en-US"/>
              </w:rPr>
            </w:pPr>
            <w:r>
              <w:rPr>
                <w:sz w:val="20"/>
                <w:szCs w:val="20"/>
              </w:rPr>
              <w:t>Refrain from granting additional CA to an AO with unsettled CA.</w:t>
            </w:r>
          </w:p>
          <w:p>
            <w:pPr>
              <w:spacing w:after="0" w:line="240" w:lineRule="auto"/>
              <w:ind w:left="609"/>
              <w:jc w:val="both"/>
              <w:rPr>
                <w:sz w:val="20"/>
                <w:szCs w:val="20"/>
              </w:rPr>
            </w:pPr>
          </w:p>
          <w:p>
            <w:pPr>
              <w:spacing w:after="0" w:line="240" w:lineRule="auto"/>
              <w:ind w:left="609"/>
              <w:jc w:val="both"/>
              <w:rPr>
                <w:bCs/>
                <w:iCs/>
                <w:sz w:val="20"/>
                <w:szCs w:val="20"/>
              </w:rPr>
            </w:pPr>
          </w:p>
        </w:tc>
        <w:tc>
          <w:tcPr>
            <w:tcW w:w="1643" w:type="dxa"/>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r>
              <w:rPr>
                <w:sz w:val="20"/>
                <w:szCs w:val="20"/>
              </w:rPr>
              <w:t>Partially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r>
              <w:rPr>
                <w:sz w:val="20"/>
                <w:szCs w:val="20"/>
              </w:rPr>
              <w:t>Not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Partially Implemented</w:t>
            </w:r>
          </w:p>
          <w:p>
            <w:pPr>
              <w:spacing w:after="0" w:line="240" w:lineRule="auto"/>
              <w:rPr>
                <w:sz w:val="20"/>
                <w:szCs w:val="20"/>
                <w:lang w:val="en-US"/>
              </w:rPr>
            </w:pPr>
          </w:p>
          <w:p>
            <w:pPr>
              <w:pStyle w:val="NoSpacing"/>
              <w:jc w:val="center"/>
              <w:rPr>
                <w:sz w:val="20"/>
                <w:szCs w:val="20"/>
              </w:rPr>
            </w:pPr>
          </w:p>
        </w:tc>
        <w:tc>
          <w:tcPr>
            <w:tcW w:w="1620" w:type="dxa"/>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The OCAT now strictly requires</w:t>
            </w:r>
          </w:p>
          <w:p>
            <w:pPr>
              <w:pStyle w:val="NoSpacing"/>
              <w:jc w:val="both"/>
              <w:rPr>
                <w:sz w:val="20"/>
                <w:szCs w:val="20"/>
              </w:rPr>
            </w:pPr>
            <w:proofErr w:type="gramStart"/>
            <w:r>
              <w:rPr>
                <w:sz w:val="20"/>
                <w:szCs w:val="20"/>
              </w:rPr>
              <w:t>the</w:t>
            </w:r>
            <w:proofErr w:type="gramEnd"/>
            <w:r>
              <w:rPr>
                <w:sz w:val="20"/>
                <w:szCs w:val="20"/>
              </w:rPr>
              <w:t xml:space="preserve"> accountable officers </w:t>
            </w:r>
            <w:r>
              <w:rPr>
                <w:sz w:val="20"/>
                <w:szCs w:val="20"/>
                <w:lang w:val="en-US"/>
              </w:rPr>
              <w:t xml:space="preserve">(AOs) </w:t>
            </w:r>
            <w:r>
              <w:rPr>
                <w:sz w:val="20"/>
                <w:szCs w:val="20"/>
              </w:rPr>
              <w:t xml:space="preserve">to fully liquidate their outstanding CAs within the </w:t>
            </w:r>
            <w:r>
              <w:rPr>
                <w:sz w:val="20"/>
                <w:szCs w:val="20"/>
                <w:lang w:val="en-US"/>
              </w:rPr>
              <w:t>deadline</w:t>
            </w:r>
            <w:r>
              <w:rPr>
                <w:sz w:val="20"/>
                <w:szCs w:val="20"/>
              </w:rPr>
              <w:t xml:space="preserve">. It is now regularly sending the statement of account </w:t>
            </w:r>
            <w:r>
              <w:rPr>
                <w:sz w:val="20"/>
                <w:szCs w:val="20"/>
                <w:lang w:val="en-US"/>
              </w:rPr>
              <w:t xml:space="preserve">to the AOs demanding </w:t>
            </w:r>
            <w:r>
              <w:rPr>
                <w:sz w:val="20"/>
                <w:szCs w:val="20"/>
              </w:rPr>
              <w:t>liquidat</w:t>
            </w:r>
            <w:r>
              <w:rPr>
                <w:sz w:val="20"/>
                <w:szCs w:val="20"/>
                <w:lang w:val="en-US"/>
              </w:rPr>
              <w:t>ion of advances</w:t>
            </w:r>
            <w:r>
              <w:rPr>
                <w:sz w:val="20"/>
                <w:szCs w:val="20"/>
              </w:rPr>
              <w:t xml:space="preserve">. </w:t>
            </w: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lang w:val="en-US"/>
              </w:rPr>
              <w:t>I</w:t>
            </w:r>
            <w:r>
              <w:rPr>
                <w:sz w:val="20"/>
                <w:szCs w:val="20"/>
              </w:rPr>
              <w:t xml:space="preserve">t is a </w:t>
            </w:r>
            <w:r>
              <w:rPr>
                <w:sz w:val="20"/>
                <w:szCs w:val="20"/>
                <w:lang w:val="en-US"/>
              </w:rPr>
              <w:t xml:space="preserve">City’s </w:t>
            </w:r>
            <w:r>
              <w:rPr>
                <w:sz w:val="20"/>
                <w:szCs w:val="20"/>
              </w:rPr>
              <w:t xml:space="preserve">policy that requires the </w:t>
            </w:r>
            <w:r>
              <w:rPr>
                <w:sz w:val="20"/>
                <w:szCs w:val="20"/>
                <w:lang w:val="en-US"/>
              </w:rPr>
              <w:t xml:space="preserve">AOs </w:t>
            </w:r>
            <w:r>
              <w:rPr>
                <w:sz w:val="20"/>
                <w:szCs w:val="20"/>
              </w:rPr>
              <w:t xml:space="preserve">to </w:t>
            </w:r>
            <w:r>
              <w:rPr>
                <w:sz w:val="20"/>
                <w:szCs w:val="20"/>
                <w:lang w:val="en-US"/>
              </w:rPr>
              <w:t xml:space="preserve">authorize </w:t>
            </w:r>
            <w:r>
              <w:rPr>
                <w:sz w:val="20"/>
                <w:szCs w:val="20"/>
              </w:rPr>
              <w:t xml:space="preserve">the City to deduct their outstanding CAs from their salary. </w:t>
            </w:r>
          </w:p>
          <w:p>
            <w:pPr>
              <w:pStyle w:val="NoSpacing"/>
              <w:jc w:val="both"/>
              <w:rPr>
                <w:sz w:val="20"/>
                <w:szCs w:val="20"/>
              </w:rPr>
            </w:pPr>
          </w:p>
          <w:p>
            <w:pPr>
              <w:pStyle w:val="NoSpacing"/>
              <w:jc w:val="both"/>
              <w:rPr>
                <w:sz w:val="20"/>
                <w:szCs w:val="20"/>
              </w:rPr>
            </w:pPr>
            <w:r>
              <w:rPr>
                <w:sz w:val="20"/>
                <w:szCs w:val="20"/>
              </w:rPr>
              <w:t xml:space="preserve">In order to avoid the overlapping of CAs, Management directed the OCAT to issue a certification that the AO has no outstanding CA as basis for the approval of </w:t>
            </w:r>
            <w:r>
              <w:rPr>
                <w:sz w:val="20"/>
                <w:szCs w:val="20"/>
                <w:lang w:val="en-US"/>
              </w:rPr>
              <w:t xml:space="preserve">the </w:t>
            </w:r>
            <w:r>
              <w:rPr>
                <w:sz w:val="20"/>
                <w:szCs w:val="20"/>
              </w:rPr>
              <w:t xml:space="preserve">DV/advances. </w:t>
            </w:r>
          </w:p>
          <w:p>
            <w:pPr>
              <w:pStyle w:val="NoSpacing"/>
              <w:jc w:val="both"/>
              <w:rPr>
                <w:sz w:val="20"/>
                <w:szCs w:val="20"/>
              </w:rPr>
            </w:pPr>
          </w:p>
          <w:p>
            <w:pPr>
              <w:pStyle w:val="NoSpacing"/>
              <w:jc w:val="both"/>
              <w:rPr>
                <w:sz w:val="20"/>
                <w:szCs w:val="20"/>
              </w:rPr>
            </w:pPr>
          </w:p>
        </w:tc>
        <w:tc>
          <w:tcPr>
            <w:tcW w:w="1872" w:type="dxa"/>
          </w:tcPr>
          <w:p>
            <w:pPr>
              <w:pStyle w:val="NoSpacing"/>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 xml:space="preserve">CAs amounting to P295.828 million remained unliquidated to date. The current City Administration is accountable for P92.903 million of these </w:t>
            </w:r>
            <w:r>
              <w:rPr>
                <w:sz w:val="20"/>
                <w:szCs w:val="20"/>
                <w:lang w:val="en-US"/>
              </w:rPr>
              <w:t>CAs</w:t>
            </w:r>
            <w:r>
              <w:rPr>
                <w:sz w:val="20"/>
                <w:szCs w:val="20"/>
              </w:rPr>
              <w:t>.</w:t>
            </w:r>
            <w:r>
              <w:rPr>
                <w:sz w:val="20"/>
                <w:szCs w:val="20"/>
                <w:lang w:val="en-US"/>
              </w:rPr>
              <w:t xml:space="preserve"> </w:t>
            </w:r>
            <w:r>
              <w:rPr>
                <w:sz w:val="20"/>
                <w:szCs w:val="20"/>
              </w:rPr>
              <w:t xml:space="preserve">The OCAT sent demand letters (DLs) to </w:t>
            </w:r>
            <w:r>
              <w:rPr>
                <w:sz w:val="20"/>
                <w:szCs w:val="20"/>
                <w:lang w:val="en-US"/>
              </w:rPr>
              <w:t xml:space="preserve">two AOs with </w:t>
            </w:r>
            <w:r>
              <w:rPr>
                <w:sz w:val="20"/>
                <w:szCs w:val="20"/>
              </w:rPr>
              <w:t>unliquidated CAs as of 30</w:t>
            </w:r>
            <w:r>
              <w:rPr>
                <w:sz w:val="20"/>
                <w:szCs w:val="20"/>
                <w:lang w:val="en-US"/>
              </w:rPr>
              <w:t>/04/21 of</w:t>
            </w:r>
            <w:r>
              <w:rPr>
                <w:sz w:val="20"/>
                <w:szCs w:val="20"/>
              </w:rPr>
              <w:t xml:space="preserve"> P43 million and P36 million.</w:t>
            </w:r>
          </w:p>
          <w:p>
            <w:pPr>
              <w:spacing w:after="0" w:line="240" w:lineRule="auto"/>
              <w:jc w:val="both"/>
              <w:rPr>
                <w:sz w:val="20"/>
                <w:szCs w:val="20"/>
              </w:rPr>
            </w:pPr>
          </w:p>
          <w:p>
            <w:pPr>
              <w:pStyle w:val="NoSpacing"/>
              <w:jc w:val="both"/>
              <w:rPr>
                <w:sz w:val="20"/>
                <w:szCs w:val="20"/>
              </w:rPr>
            </w:pPr>
            <w:r>
              <w:rPr>
                <w:sz w:val="20"/>
                <w:szCs w:val="20"/>
              </w:rPr>
              <w:t>Copy of the policy/authority to deduct (from their salary) was not yet submitted to the CAO.</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 xml:space="preserve">Additional CAs were granted to nine AOs </w:t>
            </w:r>
            <w:r>
              <w:rPr>
                <w:sz w:val="20"/>
                <w:szCs w:val="20"/>
                <w:lang w:val="en-US"/>
              </w:rPr>
              <w:t xml:space="preserve">in </w:t>
            </w:r>
            <w:r>
              <w:rPr>
                <w:sz w:val="20"/>
                <w:szCs w:val="20"/>
              </w:rPr>
              <w:t xml:space="preserve">2020 notwithstanding the fact that their previous </w:t>
            </w:r>
            <w:r>
              <w:rPr>
                <w:sz w:val="20"/>
                <w:szCs w:val="20"/>
                <w:lang w:val="en-US"/>
              </w:rPr>
              <w:t>CAs</w:t>
            </w:r>
            <w:r>
              <w:rPr>
                <w:sz w:val="20"/>
                <w:szCs w:val="20"/>
              </w:rPr>
              <w:t xml:space="preserve"> were not yet liquidated. Most of these, however, had to be done because of the demands of the pandemic.</w:t>
            </w:r>
          </w:p>
        </w:tc>
      </w:tr>
      <w:tr>
        <w:trPr>
          <w:trHeight w:val="70"/>
        </w:trPr>
        <w:tc>
          <w:tcPr>
            <w:tcW w:w="1260" w:type="dxa"/>
            <w:tcBorders>
              <w:bottom w:val="nil"/>
            </w:tcBorders>
          </w:tcPr>
          <w:p>
            <w:pPr>
              <w:spacing w:after="0" w:line="240" w:lineRule="auto"/>
              <w:jc w:val="center"/>
              <w:rPr>
                <w:sz w:val="20"/>
                <w:szCs w:val="20"/>
              </w:rPr>
            </w:pPr>
            <w:r>
              <w:rPr>
                <w:sz w:val="20"/>
                <w:szCs w:val="20"/>
              </w:rPr>
              <w:lastRenderedPageBreak/>
              <w:t>Observation No. 7,</w:t>
            </w:r>
          </w:p>
          <w:p>
            <w:pPr>
              <w:spacing w:after="0" w:line="240" w:lineRule="auto"/>
              <w:jc w:val="center"/>
              <w:rPr>
                <w:sz w:val="20"/>
                <w:szCs w:val="20"/>
              </w:rPr>
            </w:pPr>
            <w:r>
              <w:rPr>
                <w:sz w:val="20"/>
                <w:szCs w:val="20"/>
              </w:rPr>
              <w:t>Pages 80-83</w:t>
            </w:r>
          </w:p>
          <w:p>
            <w:pPr>
              <w:pStyle w:val="NoSpacing"/>
              <w:jc w:val="center"/>
              <w:rPr>
                <w:sz w:val="20"/>
                <w:szCs w:val="20"/>
              </w:rPr>
            </w:pPr>
          </w:p>
        </w:tc>
        <w:tc>
          <w:tcPr>
            <w:tcW w:w="3330" w:type="dxa"/>
            <w:tcBorders>
              <w:bottom w:val="nil"/>
            </w:tcBorders>
          </w:tcPr>
          <w:p>
            <w:pPr>
              <w:numPr>
                <w:ilvl w:val="0"/>
                <w:numId w:val="1"/>
              </w:numPr>
              <w:spacing w:after="0" w:line="240" w:lineRule="auto"/>
              <w:ind w:left="338"/>
              <w:jc w:val="both"/>
              <w:rPr>
                <w:sz w:val="20"/>
                <w:szCs w:val="20"/>
                <w:lang w:val="en-US"/>
              </w:rPr>
            </w:pPr>
            <w:r>
              <w:rPr>
                <w:sz w:val="20"/>
                <w:szCs w:val="20"/>
              </w:rPr>
              <w:t xml:space="preserve">Deficiencies in accounting for PPE undermine the quality of PPE information presented in the City’s Financial Statements. </w:t>
            </w:r>
          </w:p>
          <w:p>
            <w:pPr>
              <w:spacing w:after="0" w:line="240" w:lineRule="auto"/>
              <w:ind w:left="338"/>
              <w:jc w:val="both"/>
              <w:rPr>
                <w:sz w:val="20"/>
                <w:szCs w:val="20"/>
                <w:lang w:val="en-US"/>
              </w:rPr>
            </w:pPr>
          </w:p>
        </w:tc>
        <w:tc>
          <w:tcPr>
            <w:tcW w:w="1643" w:type="dxa"/>
            <w:tcBorders>
              <w:bottom w:val="nil"/>
            </w:tcBorders>
          </w:tcPr>
          <w:p>
            <w:pPr>
              <w:pStyle w:val="NoSpacing"/>
              <w:jc w:val="center"/>
              <w:rPr>
                <w:sz w:val="20"/>
                <w:szCs w:val="20"/>
              </w:rPr>
            </w:pPr>
          </w:p>
        </w:tc>
        <w:tc>
          <w:tcPr>
            <w:tcW w:w="1620" w:type="dxa"/>
            <w:tcBorders>
              <w:bottom w:val="nil"/>
            </w:tcBorders>
          </w:tcPr>
          <w:p>
            <w:pPr>
              <w:pStyle w:val="NoSpacing"/>
              <w:jc w:val="both"/>
              <w:rPr>
                <w:sz w:val="20"/>
                <w:szCs w:val="20"/>
              </w:rPr>
            </w:pPr>
          </w:p>
        </w:tc>
        <w:tc>
          <w:tcPr>
            <w:tcW w:w="1872" w:type="dxa"/>
            <w:tcBorders>
              <w:bottom w:val="nil"/>
            </w:tcBorders>
          </w:tcPr>
          <w:p>
            <w:pPr>
              <w:pStyle w:val="NoSpacing"/>
              <w:jc w:val="both"/>
              <w:rPr>
                <w:sz w:val="20"/>
                <w:szCs w:val="20"/>
              </w:rPr>
            </w:pPr>
          </w:p>
        </w:tc>
      </w:tr>
      <w:tr>
        <w:trPr>
          <w:trHeight w:val="5060"/>
        </w:trPr>
        <w:tc>
          <w:tcPr>
            <w:tcW w:w="1260" w:type="dxa"/>
            <w:tcBorders>
              <w:top w:val="nil"/>
              <w:bottom w:val="nil"/>
            </w:tcBorders>
          </w:tcPr>
          <w:p>
            <w:pPr>
              <w:pStyle w:val="NoSpacing"/>
              <w:jc w:val="center"/>
              <w:rPr>
                <w:sz w:val="20"/>
                <w:szCs w:val="20"/>
              </w:rPr>
            </w:pPr>
          </w:p>
        </w:tc>
        <w:tc>
          <w:tcPr>
            <w:tcW w:w="3330" w:type="dxa"/>
            <w:tcBorders>
              <w:top w:val="nil"/>
              <w:bottom w:val="nil"/>
            </w:tcBorders>
          </w:tcPr>
          <w:p>
            <w:pPr>
              <w:spacing w:after="0" w:line="240" w:lineRule="auto"/>
              <w:ind w:left="338"/>
              <w:jc w:val="both"/>
              <w:rPr>
                <w:sz w:val="20"/>
                <w:szCs w:val="20"/>
              </w:rPr>
            </w:pPr>
            <w:r>
              <w:rPr>
                <w:sz w:val="20"/>
                <w:szCs w:val="20"/>
              </w:rPr>
              <w:t xml:space="preserve">We recommended that Management: </w:t>
            </w:r>
          </w:p>
          <w:p>
            <w:pPr>
              <w:spacing w:after="0" w:line="240" w:lineRule="auto"/>
              <w:jc w:val="both"/>
              <w:rPr>
                <w:sz w:val="20"/>
                <w:szCs w:val="20"/>
              </w:rPr>
            </w:pPr>
          </w:p>
          <w:p>
            <w:pPr>
              <w:numPr>
                <w:ilvl w:val="0"/>
                <w:numId w:val="7"/>
              </w:numPr>
              <w:spacing w:after="0" w:line="240" w:lineRule="auto"/>
              <w:ind w:left="609" w:hanging="271"/>
              <w:jc w:val="both"/>
              <w:rPr>
                <w:sz w:val="20"/>
                <w:szCs w:val="20"/>
              </w:rPr>
            </w:pPr>
            <w:r>
              <w:rPr>
                <w:sz w:val="20"/>
                <w:szCs w:val="20"/>
              </w:rPr>
              <w:t>Direct the OCAT to:</w:t>
            </w:r>
          </w:p>
          <w:p>
            <w:pPr>
              <w:spacing w:after="0" w:line="240" w:lineRule="auto"/>
              <w:ind w:left="1146"/>
              <w:jc w:val="both"/>
              <w:rPr>
                <w:sz w:val="20"/>
                <w:szCs w:val="20"/>
              </w:rPr>
            </w:pPr>
            <w:r>
              <w:rPr>
                <w:sz w:val="20"/>
                <w:szCs w:val="20"/>
              </w:rPr>
              <w:t xml:space="preserve"> </w:t>
            </w:r>
          </w:p>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Indicate in the accounting records the PPE property number (PN) for every PPE transaction;</w:t>
            </w:r>
          </w:p>
          <w:p>
            <w:pPr>
              <w:pStyle w:val="ListParagraph"/>
              <w:widowControl w:val="0"/>
              <w:overflowPunct w:val="0"/>
              <w:autoSpaceDE w:val="0"/>
              <w:autoSpaceDN w:val="0"/>
              <w:adjustRightInd w:val="0"/>
              <w:ind w:left="879"/>
              <w:jc w:val="both"/>
              <w:rPr>
                <w:sz w:val="20"/>
                <w:szCs w:val="20"/>
              </w:rPr>
            </w:pPr>
          </w:p>
          <w:p>
            <w:pPr>
              <w:pStyle w:val="ListParagraph"/>
              <w:widowControl w:val="0"/>
              <w:overflowPunct w:val="0"/>
              <w:autoSpaceDE w:val="0"/>
              <w:autoSpaceDN w:val="0"/>
              <w:adjustRightInd w:val="0"/>
              <w:ind w:left="879"/>
              <w:jc w:val="both"/>
              <w:rPr>
                <w:sz w:val="20"/>
                <w:szCs w:val="20"/>
              </w:rPr>
            </w:pPr>
          </w:p>
          <w:p>
            <w:pPr>
              <w:pStyle w:val="ListParagraph"/>
              <w:widowControl w:val="0"/>
              <w:overflowPunct w:val="0"/>
              <w:autoSpaceDE w:val="0"/>
              <w:autoSpaceDN w:val="0"/>
              <w:adjustRightInd w:val="0"/>
              <w:ind w:left="879"/>
              <w:jc w:val="both"/>
              <w:rPr>
                <w:sz w:val="20"/>
                <w:szCs w:val="20"/>
              </w:rPr>
            </w:pPr>
          </w:p>
          <w:p>
            <w:pPr>
              <w:pStyle w:val="ListParagraph"/>
              <w:widowControl w:val="0"/>
              <w:overflowPunct w:val="0"/>
              <w:autoSpaceDE w:val="0"/>
              <w:autoSpaceDN w:val="0"/>
              <w:adjustRightInd w:val="0"/>
              <w:ind w:left="879"/>
              <w:jc w:val="both"/>
              <w:rPr>
                <w:sz w:val="20"/>
                <w:szCs w:val="20"/>
              </w:rPr>
            </w:pPr>
          </w:p>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 xml:space="preserve">In the absence of documents establishing the acquisition cost, measure these PPE at fair value and disclose this valuation in the Notes to FS; </w:t>
            </w:r>
          </w:p>
          <w:p>
            <w:pPr>
              <w:pStyle w:val="ListParagraph"/>
              <w:widowControl w:val="0"/>
              <w:overflowPunct w:val="0"/>
              <w:autoSpaceDE w:val="0"/>
              <w:autoSpaceDN w:val="0"/>
              <w:adjustRightInd w:val="0"/>
              <w:ind w:left="360"/>
              <w:jc w:val="both"/>
              <w:rPr>
                <w:bCs/>
                <w:iCs/>
                <w:sz w:val="20"/>
                <w:szCs w:val="20"/>
              </w:rPr>
            </w:pPr>
          </w:p>
        </w:tc>
        <w:tc>
          <w:tcPr>
            <w:tcW w:w="1643" w:type="dxa"/>
            <w:tcBorders>
              <w:top w:val="nil"/>
              <w:bottom w:val="nil"/>
            </w:tcBorders>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r>
              <w:rPr>
                <w:sz w:val="20"/>
                <w:szCs w:val="20"/>
              </w:rPr>
              <w:t>Partially Implemented</w:t>
            </w:r>
          </w:p>
          <w:p>
            <w:pPr>
              <w:spacing w:after="0" w:line="240" w:lineRule="auto"/>
              <w:jc w:val="center"/>
              <w:rPr>
                <w:sz w:val="20"/>
                <w:szCs w:val="20"/>
              </w:rPr>
            </w:pPr>
          </w:p>
          <w:p>
            <w:pPr>
              <w:pStyle w:val="NoSpacing"/>
              <w:jc w:val="center"/>
              <w:rPr>
                <w:sz w:val="20"/>
                <w:szCs w:val="20"/>
              </w:rPr>
            </w:pPr>
            <w:r>
              <w:rPr>
                <w:sz w:val="20"/>
                <w:szCs w:val="20"/>
              </w:rPr>
              <w:t>Recommendation is revised (Finding No. 2, pp. 69-71)</w:t>
            </w:r>
          </w:p>
          <w:p>
            <w:pPr>
              <w:spacing w:after="0" w:line="240" w:lineRule="auto"/>
              <w:rPr>
                <w:sz w:val="20"/>
                <w:szCs w:val="20"/>
              </w:rPr>
            </w:pPr>
          </w:p>
          <w:p>
            <w:pPr>
              <w:spacing w:after="0" w:line="240" w:lineRule="auto"/>
              <w:jc w:val="center"/>
              <w:rPr>
                <w:sz w:val="20"/>
                <w:szCs w:val="20"/>
              </w:rPr>
            </w:pPr>
            <w:r>
              <w:rPr>
                <w:sz w:val="20"/>
                <w:szCs w:val="20"/>
              </w:rPr>
              <w:t>Not Implemented</w:t>
            </w:r>
          </w:p>
          <w:p>
            <w:pPr>
              <w:spacing w:after="0" w:line="240" w:lineRule="auto"/>
              <w:jc w:val="center"/>
              <w:rPr>
                <w:sz w:val="20"/>
                <w:szCs w:val="20"/>
              </w:rPr>
            </w:pPr>
          </w:p>
          <w:p>
            <w:pPr>
              <w:spacing w:after="0" w:line="240" w:lineRule="auto"/>
              <w:jc w:val="center"/>
              <w:rPr>
                <w:sz w:val="20"/>
                <w:szCs w:val="20"/>
              </w:rPr>
            </w:pPr>
            <w:r>
              <w:rPr>
                <w:sz w:val="20"/>
                <w:szCs w:val="20"/>
              </w:rPr>
              <w:t xml:space="preserve">Recommendation is reiterated </w:t>
            </w:r>
            <w:r>
              <w:rPr>
                <w:sz w:val="20"/>
                <w:szCs w:val="20"/>
                <w:lang w:val="en-US"/>
              </w:rPr>
              <w:t>(</w:t>
            </w:r>
            <w:r>
              <w:rPr>
                <w:sz w:val="20"/>
                <w:szCs w:val="20"/>
              </w:rPr>
              <w:t>Finding No. 2, pp. 69-71</w:t>
            </w:r>
            <w:r>
              <w:rPr>
                <w:sz w:val="20"/>
                <w:szCs w:val="20"/>
                <w:lang w:val="en-US"/>
              </w:rPr>
              <w:t>)</w:t>
            </w:r>
          </w:p>
          <w:p>
            <w:pPr>
              <w:spacing w:after="0" w:line="240" w:lineRule="auto"/>
              <w:jc w:val="both"/>
              <w:rPr>
                <w:sz w:val="20"/>
                <w:szCs w:val="20"/>
              </w:rPr>
            </w:pPr>
          </w:p>
        </w:tc>
        <w:tc>
          <w:tcPr>
            <w:tcW w:w="1620" w:type="dxa"/>
            <w:tcBorders>
              <w:top w:val="nil"/>
              <w:bottom w:val="nil"/>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pStyle w:val="NoSpacing"/>
              <w:jc w:val="both"/>
              <w:rPr>
                <w:sz w:val="20"/>
                <w:szCs w:val="20"/>
              </w:rPr>
            </w:pPr>
            <w:r>
              <w:rPr>
                <w:sz w:val="20"/>
                <w:szCs w:val="20"/>
              </w:rPr>
              <w:t xml:space="preserve">The OCAT fully adheres to such recommendation. </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The OCAT fully adheres to such recommendation</w:t>
            </w:r>
          </w:p>
        </w:tc>
        <w:tc>
          <w:tcPr>
            <w:tcW w:w="1872" w:type="dxa"/>
            <w:tcBorders>
              <w:top w:val="nil"/>
              <w:bottom w:val="nil"/>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pStyle w:val="NoSpacing"/>
              <w:jc w:val="both"/>
              <w:rPr>
                <w:sz w:val="20"/>
                <w:szCs w:val="20"/>
              </w:rPr>
            </w:pPr>
            <w:r>
              <w:rPr>
                <w:sz w:val="20"/>
                <w:szCs w:val="20"/>
              </w:rPr>
              <w:t xml:space="preserve">Not all PPE transactions have PN in the accounting records. </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PPE recognized at nominal costs were not yet adjusted to its fair value.</w:t>
            </w:r>
            <w:r>
              <w:rPr>
                <w:sz w:val="20"/>
                <w:szCs w:val="20"/>
                <w:lang w:val="en-US"/>
              </w:rPr>
              <w:t xml:space="preserve"> </w:t>
            </w:r>
          </w:p>
          <w:p>
            <w:pPr>
              <w:spacing w:after="0" w:line="240" w:lineRule="auto"/>
              <w:jc w:val="both"/>
              <w:rPr>
                <w:sz w:val="20"/>
                <w:szCs w:val="20"/>
              </w:rPr>
            </w:pPr>
          </w:p>
          <w:p>
            <w:pPr>
              <w:spacing w:after="0" w:line="240" w:lineRule="auto"/>
              <w:jc w:val="both"/>
              <w:rPr>
                <w:sz w:val="20"/>
                <w:szCs w:val="20"/>
                <w:lang w:val="en-US"/>
              </w:rPr>
            </w:pPr>
            <w:r>
              <w:rPr>
                <w:sz w:val="20"/>
                <w:szCs w:val="20"/>
              </w:rPr>
              <w:t>Valuation disclosure is not yet presented in the Notes to FS.</w:t>
            </w:r>
            <w:r>
              <w:rPr>
                <w:sz w:val="20"/>
                <w:szCs w:val="20"/>
                <w:lang w:val="en-US"/>
              </w:rPr>
              <w:t xml:space="preserve"> </w:t>
            </w:r>
          </w:p>
          <w:p>
            <w:pPr>
              <w:spacing w:after="0" w:line="240" w:lineRule="auto"/>
              <w:jc w:val="both"/>
              <w:rPr>
                <w:sz w:val="20"/>
                <w:szCs w:val="20"/>
              </w:rPr>
            </w:pPr>
          </w:p>
        </w:tc>
      </w:tr>
      <w:tr>
        <w:trPr>
          <w:trHeight w:val="70"/>
        </w:trPr>
        <w:tc>
          <w:tcPr>
            <w:tcW w:w="1260" w:type="dxa"/>
            <w:tcBorders>
              <w:top w:val="nil"/>
              <w:bottom w:val="nil"/>
            </w:tcBorders>
          </w:tcPr>
          <w:p>
            <w:pPr>
              <w:pStyle w:val="NoSpacing"/>
              <w:jc w:val="center"/>
              <w:rPr>
                <w:sz w:val="20"/>
                <w:szCs w:val="20"/>
              </w:rPr>
            </w:pPr>
          </w:p>
        </w:tc>
        <w:tc>
          <w:tcPr>
            <w:tcW w:w="3330" w:type="dxa"/>
            <w:tcBorders>
              <w:top w:val="nil"/>
              <w:bottom w:val="nil"/>
            </w:tcBorders>
          </w:tcPr>
          <w:p>
            <w:pPr>
              <w:numPr>
                <w:ilvl w:val="0"/>
                <w:numId w:val="7"/>
              </w:numPr>
              <w:spacing w:after="0" w:line="240" w:lineRule="auto"/>
              <w:ind w:left="609" w:hanging="271"/>
              <w:jc w:val="both"/>
              <w:rPr>
                <w:sz w:val="20"/>
                <w:szCs w:val="20"/>
                <w:lang w:val="en-US"/>
              </w:rPr>
            </w:pPr>
            <w:r>
              <w:rPr>
                <w:sz w:val="20"/>
                <w:szCs w:val="20"/>
              </w:rPr>
              <w:t xml:space="preserve"> Instruct the CGSO to:</w:t>
            </w:r>
          </w:p>
          <w:p>
            <w:pPr>
              <w:spacing w:after="0" w:line="240" w:lineRule="auto"/>
              <w:ind w:left="1146"/>
              <w:jc w:val="both"/>
              <w:rPr>
                <w:sz w:val="20"/>
                <w:szCs w:val="20"/>
                <w:lang w:val="en-US"/>
              </w:rPr>
            </w:pPr>
          </w:p>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Assign a unique PN for each item of PPE and make this PN a required reference for all PPE transactions to be recognized in the property records;</w:t>
            </w:r>
          </w:p>
          <w:p>
            <w:pPr>
              <w:pStyle w:val="ListParagraph"/>
              <w:widowControl w:val="0"/>
              <w:overflowPunct w:val="0"/>
              <w:autoSpaceDE w:val="0"/>
              <w:autoSpaceDN w:val="0"/>
              <w:adjustRightInd w:val="0"/>
              <w:ind w:left="360"/>
              <w:jc w:val="both"/>
              <w:rPr>
                <w:bCs/>
                <w:iCs/>
                <w:sz w:val="20"/>
                <w:szCs w:val="20"/>
              </w:rPr>
            </w:pPr>
          </w:p>
        </w:tc>
        <w:tc>
          <w:tcPr>
            <w:tcW w:w="1643" w:type="dxa"/>
            <w:tcBorders>
              <w:top w:val="nil"/>
              <w:bottom w:val="nil"/>
            </w:tcBorders>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r>
              <w:rPr>
                <w:sz w:val="20"/>
                <w:szCs w:val="20"/>
              </w:rPr>
              <w:t>Partially Implemented</w:t>
            </w:r>
          </w:p>
          <w:p>
            <w:pPr>
              <w:spacing w:after="0" w:line="240" w:lineRule="auto"/>
              <w:jc w:val="center"/>
              <w:rPr>
                <w:sz w:val="20"/>
                <w:szCs w:val="20"/>
              </w:rPr>
            </w:pPr>
          </w:p>
          <w:p>
            <w:pPr>
              <w:spacing w:after="0" w:line="240" w:lineRule="auto"/>
              <w:jc w:val="center"/>
              <w:rPr>
                <w:sz w:val="20"/>
                <w:szCs w:val="20"/>
                <w:lang w:val="en-US"/>
              </w:rPr>
            </w:pPr>
            <w:r>
              <w:rPr>
                <w:sz w:val="20"/>
                <w:szCs w:val="20"/>
              </w:rPr>
              <w:t>Recommendation is revised (Finding No. 2, pp. 69-71)</w:t>
            </w:r>
          </w:p>
          <w:p>
            <w:pPr>
              <w:pStyle w:val="NoSpacing"/>
              <w:jc w:val="center"/>
              <w:rPr>
                <w:sz w:val="20"/>
                <w:szCs w:val="20"/>
              </w:rPr>
            </w:pPr>
          </w:p>
        </w:tc>
        <w:tc>
          <w:tcPr>
            <w:tcW w:w="1620" w:type="dxa"/>
            <w:tcBorders>
              <w:top w:val="nil"/>
              <w:bottom w:val="nil"/>
            </w:tcBorders>
          </w:tcPr>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 xml:space="preserve">CGSO have already </w:t>
            </w:r>
            <w:r>
              <w:rPr>
                <w:sz w:val="20"/>
                <w:szCs w:val="20"/>
                <w:lang w:val="en-US"/>
              </w:rPr>
              <w:t xml:space="preserve">submitted </w:t>
            </w:r>
            <w:r>
              <w:rPr>
                <w:sz w:val="20"/>
                <w:szCs w:val="20"/>
              </w:rPr>
              <w:t xml:space="preserve">the reconciled 2019 PPE accounts with unique </w:t>
            </w:r>
            <w:r>
              <w:rPr>
                <w:sz w:val="20"/>
                <w:szCs w:val="20"/>
                <w:lang w:val="en-US"/>
              </w:rPr>
              <w:t xml:space="preserve">PN </w:t>
            </w:r>
            <w:r>
              <w:rPr>
                <w:sz w:val="20"/>
                <w:szCs w:val="20"/>
              </w:rPr>
              <w:t xml:space="preserve">for equipment </w:t>
            </w:r>
            <w:r>
              <w:rPr>
                <w:sz w:val="20"/>
                <w:szCs w:val="20"/>
                <w:lang w:val="en-US"/>
              </w:rPr>
              <w:t>&amp;</w:t>
            </w:r>
            <w:r>
              <w:rPr>
                <w:sz w:val="20"/>
                <w:szCs w:val="20"/>
              </w:rPr>
              <w:t xml:space="preserve"> real properties </w:t>
            </w:r>
            <w:r>
              <w:rPr>
                <w:sz w:val="20"/>
                <w:szCs w:val="20"/>
                <w:lang w:val="en-US"/>
              </w:rPr>
              <w:t xml:space="preserve">in </w:t>
            </w:r>
            <w:r>
              <w:rPr>
                <w:sz w:val="20"/>
                <w:szCs w:val="20"/>
              </w:rPr>
              <w:t xml:space="preserve">October 2020. </w:t>
            </w:r>
          </w:p>
          <w:p>
            <w:pPr>
              <w:pStyle w:val="NoSpacing"/>
              <w:jc w:val="both"/>
              <w:rPr>
                <w:sz w:val="20"/>
                <w:szCs w:val="20"/>
              </w:rPr>
            </w:pPr>
          </w:p>
        </w:tc>
        <w:tc>
          <w:tcPr>
            <w:tcW w:w="1872" w:type="dxa"/>
            <w:tcBorders>
              <w:top w:val="nil"/>
              <w:bottom w:val="nil"/>
            </w:tcBorders>
          </w:tcPr>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 xml:space="preserve">Some items in the PPE Schedules of OCAT and Report on the Physical Count of PPE have no PN. </w:t>
            </w:r>
          </w:p>
        </w:tc>
      </w:tr>
      <w:tr>
        <w:trPr>
          <w:trHeight w:val="3214"/>
        </w:trPr>
        <w:tc>
          <w:tcPr>
            <w:tcW w:w="1260" w:type="dxa"/>
            <w:tcBorders>
              <w:top w:val="nil"/>
              <w:bottom w:val="single" w:sz="4" w:space="0" w:color="auto"/>
            </w:tcBorders>
          </w:tcPr>
          <w:p>
            <w:pPr>
              <w:pStyle w:val="NoSpacing"/>
              <w:jc w:val="center"/>
              <w:rPr>
                <w:sz w:val="20"/>
                <w:szCs w:val="20"/>
              </w:rPr>
            </w:pPr>
          </w:p>
        </w:tc>
        <w:tc>
          <w:tcPr>
            <w:tcW w:w="3330" w:type="dxa"/>
            <w:tcBorders>
              <w:top w:val="nil"/>
              <w:bottom w:val="single" w:sz="4" w:space="0" w:color="auto"/>
            </w:tcBorders>
          </w:tcPr>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Indicate in the PPE records the condition of the PPE using common condition codes;</w:t>
            </w: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numPr>
                <w:ilvl w:val="0"/>
                <w:numId w:val="7"/>
              </w:numPr>
              <w:overflowPunct w:val="0"/>
              <w:autoSpaceDE w:val="0"/>
              <w:autoSpaceDN w:val="0"/>
              <w:adjustRightInd w:val="0"/>
              <w:ind w:left="696"/>
              <w:rPr>
                <w:bCs/>
                <w:iCs/>
                <w:sz w:val="20"/>
                <w:szCs w:val="20"/>
                <w:lang w:val="en-PH"/>
              </w:rPr>
            </w:pPr>
            <w:r>
              <w:rPr>
                <w:bCs/>
                <w:iCs/>
                <w:sz w:val="20"/>
                <w:szCs w:val="20"/>
                <w:lang w:val="en-PH"/>
              </w:rPr>
              <w:t xml:space="preserve">Require the City Engineering to report timely and regularly to the OCAT and CGSO: </w:t>
            </w:r>
          </w:p>
          <w:p>
            <w:pPr>
              <w:pStyle w:val="ListParagraph"/>
              <w:widowControl w:val="0"/>
              <w:overflowPunct w:val="0"/>
              <w:autoSpaceDE w:val="0"/>
              <w:autoSpaceDN w:val="0"/>
              <w:adjustRightInd w:val="0"/>
              <w:ind w:left="360"/>
              <w:rPr>
                <w:bCs/>
                <w:iCs/>
                <w:sz w:val="20"/>
                <w:szCs w:val="20"/>
                <w:lang w:val="en-PH"/>
              </w:rPr>
            </w:pPr>
          </w:p>
          <w:p>
            <w:pPr>
              <w:pStyle w:val="ListParagraph"/>
              <w:widowControl w:val="0"/>
              <w:numPr>
                <w:ilvl w:val="0"/>
                <w:numId w:val="3"/>
              </w:numPr>
              <w:overflowPunct w:val="0"/>
              <w:autoSpaceDE w:val="0"/>
              <w:autoSpaceDN w:val="0"/>
              <w:adjustRightInd w:val="0"/>
              <w:ind w:left="879" w:hanging="270"/>
              <w:jc w:val="both"/>
              <w:rPr>
                <w:bCs/>
                <w:iCs/>
                <w:sz w:val="20"/>
                <w:szCs w:val="20"/>
              </w:rPr>
            </w:pPr>
            <w:r>
              <w:rPr>
                <w:bCs/>
                <w:iCs/>
                <w:sz w:val="20"/>
                <w:szCs w:val="20"/>
              </w:rPr>
              <w:t>Completed infra-structure projects; and</w:t>
            </w:r>
          </w:p>
        </w:tc>
        <w:tc>
          <w:tcPr>
            <w:tcW w:w="1643" w:type="dxa"/>
            <w:tcBorders>
              <w:top w:val="nil"/>
              <w:bottom w:val="single" w:sz="4" w:space="0" w:color="auto"/>
            </w:tcBorders>
          </w:tcPr>
          <w:p>
            <w:pPr>
              <w:spacing w:after="0" w:line="240" w:lineRule="auto"/>
              <w:jc w:val="center"/>
              <w:rPr>
                <w:sz w:val="20"/>
                <w:szCs w:val="20"/>
              </w:rPr>
            </w:pPr>
            <w:r>
              <w:rPr>
                <w:sz w:val="20"/>
                <w:szCs w:val="20"/>
              </w:rPr>
              <w:t>Partially Implemented</w:t>
            </w:r>
          </w:p>
          <w:p>
            <w:pPr>
              <w:spacing w:after="0" w:line="240" w:lineRule="auto"/>
              <w:jc w:val="center"/>
              <w:rPr>
                <w:sz w:val="20"/>
                <w:szCs w:val="20"/>
                <w:lang w:val="en-US"/>
              </w:rPr>
            </w:pPr>
          </w:p>
          <w:p>
            <w:pPr>
              <w:spacing w:after="0" w:line="240" w:lineRule="auto"/>
              <w:jc w:val="center"/>
              <w:rPr>
                <w:sz w:val="20"/>
                <w:szCs w:val="20"/>
                <w:lang w:val="en-US"/>
              </w:rPr>
            </w:pPr>
            <w:r>
              <w:rPr>
                <w:sz w:val="20"/>
                <w:szCs w:val="20"/>
                <w:lang w:val="en-US"/>
              </w:rPr>
              <w:t xml:space="preserve">Recommendation is reiterated (Finding No. </w:t>
            </w:r>
            <w:r>
              <w:rPr>
                <w:sz w:val="20"/>
                <w:szCs w:val="20"/>
              </w:rPr>
              <w:t>2, pp. 69-71</w:t>
            </w:r>
            <w:r>
              <w:rPr>
                <w:sz w:val="20"/>
                <w:szCs w:val="20"/>
                <w:lang w:val="en-US"/>
              </w:rPr>
              <w:t>)</w:t>
            </w:r>
          </w:p>
          <w:p>
            <w:pPr>
              <w:spacing w:after="0" w:line="240" w:lineRule="auto"/>
              <w:jc w:val="center"/>
              <w:rPr>
                <w:sz w:val="20"/>
                <w:szCs w:val="20"/>
                <w:lang w:val="en-US"/>
              </w:rPr>
            </w:pPr>
          </w:p>
          <w:p>
            <w:pPr>
              <w:spacing w:after="0" w:line="240" w:lineRule="auto"/>
              <w:jc w:val="center"/>
              <w:rPr>
                <w:sz w:val="20"/>
                <w:szCs w:val="20"/>
                <w:lang w:val="en-US"/>
              </w:rPr>
            </w:pPr>
          </w:p>
          <w:p>
            <w:pPr>
              <w:spacing w:after="0" w:line="240" w:lineRule="auto"/>
              <w:jc w:val="center"/>
              <w:rPr>
                <w:sz w:val="20"/>
                <w:szCs w:val="20"/>
                <w:lang w:val="en-US"/>
              </w:rPr>
            </w:pPr>
          </w:p>
          <w:p>
            <w:pPr>
              <w:spacing w:after="0" w:line="240" w:lineRule="auto"/>
              <w:jc w:val="center"/>
              <w:rPr>
                <w:sz w:val="20"/>
                <w:szCs w:val="20"/>
                <w:lang w:val="en-US"/>
              </w:rPr>
            </w:pPr>
          </w:p>
          <w:p>
            <w:pPr>
              <w:spacing w:after="0" w:line="240" w:lineRule="auto"/>
              <w:jc w:val="center"/>
              <w:rPr>
                <w:sz w:val="20"/>
                <w:szCs w:val="20"/>
                <w:lang w:val="en-US"/>
              </w:rPr>
            </w:pPr>
          </w:p>
          <w:p>
            <w:pPr>
              <w:spacing w:after="0" w:line="240" w:lineRule="auto"/>
              <w:jc w:val="center"/>
              <w:rPr>
                <w:sz w:val="20"/>
                <w:szCs w:val="20"/>
              </w:rPr>
            </w:pPr>
            <w:r>
              <w:rPr>
                <w:sz w:val="20"/>
                <w:szCs w:val="20"/>
              </w:rPr>
              <w:t>Fully Implemented</w:t>
            </w:r>
          </w:p>
        </w:tc>
        <w:tc>
          <w:tcPr>
            <w:tcW w:w="1620" w:type="dxa"/>
            <w:tcBorders>
              <w:top w:val="nil"/>
              <w:bottom w:val="single" w:sz="4" w:space="0" w:color="auto"/>
            </w:tcBorders>
          </w:tcPr>
          <w:p>
            <w:pPr>
              <w:pStyle w:val="NoSpacing"/>
              <w:jc w:val="both"/>
              <w:rPr>
                <w:sz w:val="20"/>
                <w:szCs w:val="20"/>
                <w:lang w:val="en-US"/>
              </w:rPr>
            </w:pPr>
            <w:r>
              <w:rPr>
                <w:sz w:val="20"/>
                <w:szCs w:val="20"/>
                <w:lang w:val="en-US"/>
              </w:rPr>
              <w:t>Same as in the preceding recommendation</w:t>
            </w: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r>
              <w:rPr>
                <w:sz w:val="20"/>
                <w:szCs w:val="20"/>
                <w:lang w:val="en-US"/>
              </w:rPr>
              <w:t>U</w:t>
            </w:r>
            <w:r>
              <w:rPr>
                <w:sz w:val="20"/>
                <w:szCs w:val="20"/>
              </w:rPr>
              <w:t>pdated Status Report of</w:t>
            </w:r>
          </w:p>
        </w:tc>
        <w:tc>
          <w:tcPr>
            <w:tcW w:w="1872" w:type="dxa"/>
            <w:tcBorders>
              <w:top w:val="nil"/>
              <w:bottom w:val="single" w:sz="4" w:space="0" w:color="auto"/>
            </w:tcBorders>
          </w:tcPr>
          <w:p>
            <w:pPr>
              <w:spacing w:after="0" w:line="240" w:lineRule="auto"/>
              <w:jc w:val="both"/>
              <w:rPr>
                <w:sz w:val="20"/>
                <w:szCs w:val="20"/>
              </w:rPr>
            </w:pPr>
            <w:r>
              <w:rPr>
                <w:sz w:val="20"/>
                <w:szCs w:val="20"/>
              </w:rPr>
              <w:t xml:space="preserve">Determination of property conditions is ongoing. The condition of certain PPE items are not yet indicated in the property records. </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tc>
      </w:tr>
      <w:tr>
        <w:trPr>
          <w:trHeight w:val="9507"/>
        </w:trPr>
        <w:tc>
          <w:tcPr>
            <w:tcW w:w="1260" w:type="dxa"/>
            <w:tcBorders>
              <w:top w:val="single" w:sz="4" w:space="0" w:color="auto"/>
              <w:bottom w:val="single" w:sz="4" w:space="0" w:color="auto"/>
            </w:tcBorders>
          </w:tcPr>
          <w:p>
            <w:pPr>
              <w:pStyle w:val="NoSpacing"/>
              <w:jc w:val="center"/>
              <w:rPr>
                <w:sz w:val="20"/>
                <w:szCs w:val="20"/>
              </w:rPr>
            </w:pPr>
          </w:p>
        </w:tc>
        <w:tc>
          <w:tcPr>
            <w:tcW w:w="3330" w:type="dxa"/>
            <w:tcBorders>
              <w:top w:val="single" w:sz="4" w:space="0" w:color="auto"/>
              <w:bottom w:val="single" w:sz="4" w:space="0" w:color="auto"/>
            </w:tcBorders>
          </w:tcPr>
          <w:p>
            <w:pPr>
              <w:pStyle w:val="ListParagraph"/>
              <w:ind w:left="1148"/>
              <w:rPr>
                <w:bCs/>
                <w:iCs/>
                <w:sz w:val="20"/>
                <w:szCs w:val="20"/>
              </w:rPr>
            </w:pPr>
          </w:p>
          <w:p>
            <w:pPr>
              <w:pStyle w:val="ListParagraph"/>
              <w:ind w:left="1148"/>
              <w:rPr>
                <w:bCs/>
                <w:iCs/>
                <w:sz w:val="20"/>
                <w:szCs w:val="20"/>
              </w:rPr>
            </w:pPr>
          </w:p>
          <w:p>
            <w:pPr>
              <w:pStyle w:val="ListParagraph"/>
              <w:ind w:left="1148"/>
              <w:rPr>
                <w:bCs/>
                <w:iCs/>
                <w:sz w:val="20"/>
                <w:szCs w:val="20"/>
              </w:rPr>
            </w:pPr>
          </w:p>
          <w:p>
            <w:pPr>
              <w:pStyle w:val="ListParagraph"/>
              <w:ind w:left="1148"/>
              <w:rPr>
                <w:bCs/>
                <w:iCs/>
                <w:sz w:val="20"/>
                <w:szCs w:val="20"/>
              </w:rPr>
            </w:pPr>
          </w:p>
          <w:p>
            <w:pPr>
              <w:pStyle w:val="ListParagraph"/>
              <w:ind w:left="1148"/>
              <w:rPr>
                <w:bCs/>
                <w:iCs/>
                <w:sz w:val="20"/>
                <w:szCs w:val="20"/>
              </w:rPr>
            </w:pPr>
          </w:p>
          <w:p>
            <w:pPr>
              <w:pStyle w:val="ListParagraph"/>
              <w:ind w:left="1148"/>
              <w:rPr>
                <w:bCs/>
                <w:iCs/>
                <w:sz w:val="20"/>
                <w:szCs w:val="20"/>
              </w:rPr>
            </w:pPr>
          </w:p>
          <w:p>
            <w:pPr>
              <w:pStyle w:val="ListParagraph"/>
              <w:ind w:left="1148"/>
              <w:rPr>
                <w:bCs/>
                <w:iCs/>
                <w:sz w:val="20"/>
                <w:szCs w:val="20"/>
              </w:rPr>
            </w:pPr>
          </w:p>
          <w:p>
            <w:pPr>
              <w:numPr>
                <w:ilvl w:val="0"/>
                <w:numId w:val="3"/>
              </w:numPr>
              <w:spacing w:after="0" w:line="240" w:lineRule="auto"/>
              <w:ind w:left="879" w:hanging="270"/>
              <w:jc w:val="both"/>
              <w:rPr>
                <w:sz w:val="20"/>
                <w:szCs w:val="20"/>
                <w:lang w:val="en-US"/>
              </w:rPr>
            </w:pPr>
            <w:r>
              <w:rPr>
                <w:sz w:val="20"/>
                <w:szCs w:val="20"/>
              </w:rPr>
              <w:t>The cost allocation of PPE items that form part of the contract for building infra-structure projects;</w:t>
            </w:r>
          </w:p>
          <w:p>
            <w:pPr>
              <w:pStyle w:val="ListParagraph"/>
              <w:ind w:left="1148"/>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numPr>
                <w:ilvl w:val="0"/>
                <w:numId w:val="7"/>
              </w:numPr>
              <w:overflowPunct w:val="0"/>
              <w:autoSpaceDE w:val="0"/>
              <w:autoSpaceDN w:val="0"/>
              <w:adjustRightInd w:val="0"/>
              <w:ind w:left="696"/>
              <w:rPr>
                <w:bCs/>
                <w:iCs/>
                <w:sz w:val="20"/>
                <w:szCs w:val="20"/>
              </w:rPr>
            </w:pPr>
            <w:r>
              <w:rPr>
                <w:bCs/>
                <w:iCs/>
                <w:sz w:val="20"/>
                <w:szCs w:val="20"/>
                <w:lang w:val="en-PH"/>
              </w:rPr>
              <w:t xml:space="preserve">Instruct the Inventory Committee to complete the physical count of all the City’s PPE; and </w:t>
            </w:r>
          </w:p>
          <w:p>
            <w:pPr>
              <w:widowControl w:val="0"/>
              <w:overflowPunct w:val="0"/>
              <w:autoSpaceDE w:val="0"/>
              <w:autoSpaceDN w:val="0"/>
              <w:adjustRightInd w:val="0"/>
              <w:rPr>
                <w:bCs/>
                <w:iCs/>
                <w:sz w:val="20"/>
                <w:szCs w:val="20"/>
              </w:rPr>
            </w:pPr>
          </w:p>
          <w:p>
            <w:pPr>
              <w:widowControl w:val="0"/>
              <w:overflowPunct w:val="0"/>
              <w:autoSpaceDE w:val="0"/>
              <w:autoSpaceDN w:val="0"/>
              <w:adjustRightInd w:val="0"/>
              <w:rPr>
                <w:bCs/>
                <w:iCs/>
                <w:sz w:val="20"/>
                <w:szCs w:val="20"/>
              </w:rPr>
            </w:pPr>
          </w:p>
          <w:p>
            <w:pPr>
              <w:widowControl w:val="0"/>
              <w:overflowPunct w:val="0"/>
              <w:autoSpaceDE w:val="0"/>
              <w:autoSpaceDN w:val="0"/>
              <w:adjustRightInd w:val="0"/>
              <w:rPr>
                <w:bCs/>
                <w:iCs/>
                <w:sz w:val="20"/>
                <w:szCs w:val="20"/>
              </w:rPr>
            </w:pPr>
          </w:p>
          <w:p>
            <w:pPr>
              <w:widowControl w:val="0"/>
              <w:overflowPunct w:val="0"/>
              <w:autoSpaceDE w:val="0"/>
              <w:autoSpaceDN w:val="0"/>
              <w:adjustRightInd w:val="0"/>
              <w:rPr>
                <w:bCs/>
                <w:iCs/>
                <w:sz w:val="20"/>
                <w:szCs w:val="20"/>
              </w:rPr>
            </w:pPr>
          </w:p>
          <w:p>
            <w:pPr>
              <w:pStyle w:val="ListParagraph"/>
              <w:widowControl w:val="0"/>
              <w:numPr>
                <w:ilvl w:val="0"/>
                <w:numId w:val="7"/>
              </w:numPr>
              <w:overflowPunct w:val="0"/>
              <w:autoSpaceDE w:val="0"/>
              <w:autoSpaceDN w:val="0"/>
              <w:adjustRightInd w:val="0"/>
              <w:ind w:left="696"/>
              <w:rPr>
                <w:sz w:val="20"/>
                <w:szCs w:val="20"/>
              </w:rPr>
            </w:pPr>
            <w:r>
              <w:rPr>
                <w:sz w:val="20"/>
                <w:szCs w:val="20"/>
              </w:rPr>
              <w:t>To enable the City to effectively and efficiently track and manage its PPE, develop a property management application system which should be appropriately interfaced with the accounting system and ensure the recording and maintenance of the information necessary for such tracking and management.</w:t>
            </w:r>
          </w:p>
          <w:p>
            <w:pPr>
              <w:pStyle w:val="ListParagraph"/>
              <w:widowControl w:val="0"/>
              <w:overflowPunct w:val="0"/>
              <w:autoSpaceDE w:val="0"/>
              <w:autoSpaceDN w:val="0"/>
              <w:adjustRightInd w:val="0"/>
              <w:ind w:left="360"/>
              <w:jc w:val="both"/>
              <w:rPr>
                <w:sz w:val="20"/>
                <w:szCs w:val="20"/>
              </w:rPr>
            </w:pPr>
          </w:p>
        </w:tc>
        <w:tc>
          <w:tcPr>
            <w:tcW w:w="1643" w:type="dxa"/>
            <w:tcBorders>
              <w:top w:val="single" w:sz="4" w:space="0" w:color="auto"/>
              <w:bottom w:val="single" w:sz="4" w:space="0" w:color="auto"/>
            </w:tcBorders>
          </w:tcPr>
          <w:p>
            <w:pPr>
              <w:spacing w:after="0" w:line="240" w:lineRule="auto"/>
              <w:rPr>
                <w:sz w:val="20"/>
                <w:szCs w:val="20"/>
                <w:lang w:val="en-US"/>
              </w:rPr>
            </w:pPr>
          </w:p>
          <w:p>
            <w:pPr>
              <w:spacing w:after="0" w:line="240" w:lineRule="auto"/>
              <w:rPr>
                <w:sz w:val="20"/>
                <w:szCs w:val="20"/>
                <w:lang w:val="en-US"/>
              </w:rPr>
            </w:pPr>
          </w:p>
          <w:p>
            <w:pPr>
              <w:spacing w:after="0" w:line="240" w:lineRule="auto"/>
              <w:rPr>
                <w:sz w:val="20"/>
                <w:szCs w:val="20"/>
                <w:lang w:val="en-US"/>
              </w:rPr>
            </w:pPr>
          </w:p>
          <w:p>
            <w:pPr>
              <w:spacing w:after="0" w:line="240" w:lineRule="auto"/>
              <w:rPr>
                <w:sz w:val="20"/>
                <w:szCs w:val="20"/>
                <w:lang w:val="en-US"/>
              </w:rPr>
            </w:pPr>
          </w:p>
          <w:p>
            <w:pPr>
              <w:spacing w:after="0" w:line="240" w:lineRule="auto"/>
              <w:rPr>
                <w:sz w:val="20"/>
                <w:szCs w:val="20"/>
                <w:lang w:val="en-US"/>
              </w:rPr>
            </w:pPr>
          </w:p>
          <w:p>
            <w:pPr>
              <w:spacing w:after="0" w:line="240" w:lineRule="auto"/>
              <w:rPr>
                <w:sz w:val="20"/>
                <w:szCs w:val="20"/>
                <w:lang w:val="en-US"/>
              </w:rPr>
            </w:pPr>
          </w:p>
          <w:p>
            <w:pPr>
              <w:spacing w:after="0" w:line="240" w:lineRule="auto"/>
              <w:rPr>
                <w:sz w:val="20"/>
                <w:szCs w:val="20"/>
                <w:lang w:val="en-US"/>
              </w:rPr>
            </w:pPr>
          </w:p>
          <w:p>
            <w:pPr>
              <w:spacing w:after="0" w:line="240" w:lineRule="auto"/>
              <w:jc w:val="center"/>
              <w:rPr>
                <w:sz w:val="20"/>
                <w:szCs w:val="20"/>
              </w:rPr>
            </w:pPr>
            <w:r>
              <w:rPr>
                <w:sz w:val="20"/>
                <w:szCs w:val="20"/>
              </w:rPr>
              <w:t>Not Implemented</w:t>
            </w:r>
          </w:p>
          <w:p>
            <w:pPr>
              <w:spacing w:after="0" w:line="240" w:lineRule="auto"/>
              <w:jc w:val="center"/>
              <w:rPr>
                <w:sz w:val="20"/>
                <w:szCs w:val="20"/>
              </w:rPr>
            </w:pPr>
          </w:p>
          <w:p>
            <w:pPr>
              <w:spacing w:after="0" w:line="240" w:lineRule="auto"/>
              <w:jc w:val="center"/>
              <w:rPr>
                <w:sz w:val="20"/>
                <w:szCs w:val="20"/>
                <w:lang w:val="en-US"/>
              </w:rPr>
            </w:pPr>
            <w:r>
              <w:rPr>
                <w:sz w:val="20"/>
                <w:szCs w:val="20"/>
                <w:lang w:val="en-US"/>
              </w:rPr>
              <w:t xml:space="preserve">Recommendation is reiterated/revised (Finding No. </w:t>
            </w:r>
            <w:r>
              <w:rPr>
                <w:sz w:val="20"/>
                <w:szCs w:val="20"/>
              </w:rPr>
              <w:t>2, pp. 69-71</w:t>
            </w:r>
            <w:r>
              <w:rPr>
                <w:sz w:val="20"/>
                <w:szCs w:val="20"/>
                <w:lang w:val="en-US"/>
              </w:rPr>
              <w:t>)</w:t>
            </w:r>
          </w:p>
          <w:p>
            <w:pPr>
              <w:spacing w:after="0" w:line="240" w:lineRule="auto"/>
              <w:jc w:val="center"/>
              <w:rPr>
                <w:sz w:val="20"/>
                <w:szCs w:val="20"/>
              </w:rPr>
            </w:pPr>
          </w:p>
          <w:p>
            <w:pPr>
              <w:spacing w:after="0" w:line="240" w:lineRule="auto"/>
              <w:jc w:val="center"/>
              <w:rPr>
                <w:sz w:val="20"/>
                <w:szCs w:val="20"/>
              </w:rPr>
            </w:pPr>
            <w:r>
              <w:rPr>
                <w:sz w:val="20"/>
                <w:szCs w:val="20"/>
              </w:rPr>
              <w:t>Fully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r>
              <w:rPr>
                <w:sz w:val="20"/>
                <w:szCs w:val="20"/>
              </w:rPr>
              <w:t>Partially Implemented</w:t>
            </w:r>
          </w:p>
          <w:p>
            <w:pPr>
              <w:spacing w:after="0" w:line="240" w:lineRule="auto"/>
              <w:jc w:val="center"/>
              <w:rPr>
                <w:sz w:val="20"/>
                <w:szCs w:val="20"/>
              </w:rPr>
            </w:pPr>
          </w:p>
          <w:p>
            <w:pPr>
              <w:spacing w:after="0" w:line="240" w:lineRule="auto"/>
              <w:jc w:val="center"/>
              <w:rPr>
                <w:sz w:val="20"/>
                <w:szCs w:val="20"/>
                <w:lang w:val="en-US"/>
              </w:rPr>
            </w:pPr>
            <w:r>
              <w:rPr>
                <w:sz w:val="20"/>
                <w:szCs w:val="20"/>
                <w:lang w:val="en-US"/>
              </w:rPr>
              <w:t xml:space="preserve">Recommendation is reiterated/revised (Finding No. </w:t>
            </w:r>
            <w:r>
              <w:rPr>
                <w:sz w:val="20"/>
                <w:szCs w:val="20"/>
              </w:rPr>
              <w:t>2, pp. 69-71</w:t>
            </w:r>
            <w:r>
              <w:rPr>
                <w:sz w:val="20"/>
                <w:szCs w:val="20"/>
                <w:lang w:val="en-US"/>
              </w:rPr>
              <w:t>)</w:t>
            </w:r>
          </w:p>
          <w:p>
            <w:pPr>
              <w:spacing w:after="0" w:line="240" w:lineRule="auto"/>
              <w:jc w:val="center"/>
              <w:rPr>
                <w:sz w:val="20"/>
                <w:szCs w:val="20"/>
              </w:rPr>
            </w:pPr>
          </w:p>
          <w:p>
            <w:pPr>
              <w:spacing w:after="0" w:line="240" w:lineRule="auto"/>
              <w:jc w:val="center"/>
              <w:rPr>
                <w:sz w:val="20"/>
                <w:szCs w:val="20"/>
                <w:lang w:val="en-US"/>
              </w:rPr>
            </w:pPr>
          </w:p>
          <w:p>
            <w:pPr>
              <w:spacing w:after="0" w:line="240" w:lineRule="auto"/>
              <w:jc w:val="center"/>
              <w:rPr>
                <w:sz w:val="20"/>
                <w:szCs w:val="20"/>
                <w:lang w:val="en-US"/>
              </w:rPr>
            </w:pPr>
          </w:p>
          <w:p>
            <w:pPr>
              <w:pStyle w:val="NoSpacing"/>
              <w:jc w:val="center"/>
              <w:rPr>
                <w:sz w:val="20"/>
                <w:szCs w:val="20"/>
              </w:rPr>
            </w:pPr>
          </w:p>
        </w:tc>
        <w:tc>
          <w:tcPr>
            <w:tcW w:w="1620" w:type="dxa"/>
            <w:tcBorders>
              <w:top w:val="single" w:sz="4" w:space="0" w:color="auto"/>
              <w:bottom w:val="single" w:sz="4" w:space="0" w:color="auto"/>
            </w:tcBorders>
          </w:tcPr>
          <w:p>
            <w:pPr>
              <w:pStyle w:val="NoSpacing"/>
              <w:jc w:val="both"/>
              <w:rPr>
                <w:sz w:val="20"/>
                <w:szCs w:val="20"/>
              </w:rPr>
            </w:pPr>
            <w:r>
              <w:rPr>
                <w:sz w:val="20"/>
                <w:szCs w:val="20"/>
              </w:rPr>
              <w:t xml:space="preserve"> Infrastructure Projects for CYs 2019-2020 as</w:t>
            </w:r>
            <w:r>
              <w:rPr>
                <w:sz w:val="20"/>
                <w:szCs w:val="20"/>
                <w:lang w:val="en-US"/>
              </w:rPr>
              <w:t xml:space="preserve"> of</w:t>
            </w:r>
            <w:r>
              <w:rPr>
                <w:sz w:val="20"/>
                <w:szCs w:val="20"/>
              </w:rPr>
              <w:t xml:space="preserve"> </w:t>
            </w:r>
            <w:r>
              <w:rPr>
                <w:sz w:val="20"/>
                <w:szCs w:val="20"/>
                <w:lang w:val="en-US"/>
              </w:rPr>
              <w:t>31/12/20</w:t>
            </w:r>
            <w:r>
              <w:rPr>
                <w:sz w:val="20"/>
                <w:szCs w:val="20"/>
              </w:rPr>
              <w:t xml:space="preserve"> was submitted on 03/02/2021. </w:t>
            </w:r>
          </w:p>
          <w:p>
            <w:pPr>
              <w:pStyle w:val="NoSpacing"/>
              <w:jc w:val="both"/>
              <w:rPr>
                <w:sz w:val="20"/>
                <w:szCs w:val="20"/>
              </w:rPr>
            </w:pPr>
          </w:p>
          <w:p>
            <w:pPr>
              <w:pStyle w:val="NoSpacing"/>
              <w:jc w:val="both"/>
              <w:rPr>
                <w:sz w:val="20"/>
                <w:szCs w:val="20"/>
              </w:rPr>
            </w:pPr>
            <w:r>
              <w:rPr>
                <w:sz w:val="20"/>
                <w:szCs w:val="20"/>
              </w:rPr>
              <w:t>Lack of effective action by the concerned officials.</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lang w:val="en-US"/>
              </w:rPr>
              <w:t>The</w:t>
            </w:r>
            <w:r>
              <w:rPr>
                <w:sz w:val="20"/>
                <w:szCs w:val="20"/>
              </w:rPr>
              <w:t xml:space="preserve"> CGSO reconciled </w:t>
            </w:r>
            <w:r>
              <w:rPr>
                <w:sz w:val="20"/>
                <w:szCs w:val="20"/>
                <w:lang w:val="en-US"/>
              </w:rPr>
              <w:t xml:space="preserve">its </w:t>
            </w:r>
            <w:r>
              <w:rPr>
                <w:sz w:val="20"/>
                <w:szCs w:val="20"/>
              </w:rPr>
              <w:t>records with OCAT</w:t>
            </w:r>
            <w:r>
              <w:rPr>
                <w:sz w:val="20"/>
                <w:szCs w:val="20"/>
                <w:lang w:val="en-US"/>
              </w:rPr>
              <w:t xml:space="preserve"> and issued a</w:t>
            </w:r>
            <w:r>
              <w:rPr>
                <w:sz w:val="20"/>
                <w:szCs w:val="20"/>
              </w:rPr>
              <w:t xml:space="preserve"> memo on 09/07/2021 for physical inventory</w:t>
            </w:r>
            <w:r>
              <w:rPr>
                <w:sz w:val="20"/>
                <w:szCs w:val="20"/>
                <w:lang w:val="en-US"/>
              </w:rPr>
              <w:t xml:space="preserve"> </w:t>
            </w:r>
            <w:r>
              <w:rPr>
                <w:sz w:val="20"/>
                <w:szCs w:val="20"/>
              </w:rPr>
              <w:t xml:space="preserve">from 02/08/2021 to 29/11/2021. </w:t>
            </w: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The OCAT and CGSO are now developing accounting and property management application system for effective tracking and management of the City's properties.</w:t>
            </w:r>
          </w:p>
          <w:p>
            <w:pPr>
              <w:pStyle w:val="NoSpacing"/>
              <w:jc w:val="both"/>
              <w:rPr>
                <w:sz w:val="20"/>
                <w:szCs w:val="20"/>
                <w:lang w:val="en-US"/>
              </w:rPr>
            </w:pPr>
          </w:p>
        </w:tc>
        <w:tc>
          <w:tcPr>
            <w:tcW w:w="1872" w:type="dxa"/>
            <w:tcBorders>
              <w:top w:val="single" w:sz="4" w:space="0" w:color="auto"/>
              <w:bottom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The City Engineer has not effectively addressed this cost allocation.</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Conferences for the project plan were conducted and the bidding has been scheduled for the project.</w:t>
            </w:r>
          </w:p>
        </w:tc>
      </w:tr>
      <w:tr>
        <w:trPr>
          <w:trHeight w:val="11119"/>
        </w:trPr>
        <w:tc>
          <w:tcPr>
            <w:tcW w:w="1260" w:type="dxa"/>
          </w:tcPr>
          <w:p>
            <w:pPr>
              <w:spacing w:after="0" w:line="240" w:lineRule="auto"/>
              <w:jc w:val="center"/>
              <w:rPr>
                <w:sz w:val="20"/>
                <w:szCs w:val="20"/>
              </w:rPr>
            </w:pPr>
            <w:r>
              <w:rPr>
                <w:sz w:val="20"/>
                <w:szCs w:val="20"/>
              </w:rPr>
              <w:lastRenderedPageBreak/>
              <w:t>Observation No. 8,</w:t>
            </w:r>
          </w:p>
          <w:p>
            <w:pPr>
              <w:spacing w:after="0" w:line="240" w:lineRule="auto"/>
              <w:jc w:val="center"/>
              <w:rPr>
                <w:sz w:val="20"/>
                <w:szCs w:val="20"/>
                <w:lang w:val="en-US"/>
              </w:rPr>
            </w:pPr>
            <w:r>
              <w:rPr>
                <w:sz w:val="20"/>
                <w:szCs w:val="20"/>
              </w:rPr>
              <w:t>Pages 83-91</w:t>
            </w:r>
          </w:p>
          <w:p>
            <w:pPr>
              <w:pStyle w:val="NoSpacing"/>
              <w:jc w:val="center"/>
              <w:rPr>
                <w:sz w:val="20"/>
                <w:szCs w:val="20"/>
              </w:rPr>
            </w:pPr>
          </w:p>
        </w:tc>
        <w:tc>
          <w:tcPr>
            <w:tcW w:w="3330" w:type="dxa"/>
            <w:vMerge w:val="restart"/>
          </w:tcPr>
          <w:p>
            <w:pPr>
              <w:numPr>
                <w:ilvl w:val="0"/>
                <w:numId w:val="1"/>
              </w:numPr>
              <w:spacing w:after="0" w:line="240" w:lineRule="auto"/>
              <w:ind w:left="338" w:hanging="338"/>
              <w:jc w:val="both"/>
              <w:rPr>
                <w:bCs/>
                <w:iCs/>
                <w:sz w:val="20"/>
                <w:szCs w:val="20"/>
              </w:rPr>
            </w:pPr>
            <w:r>
              <w:rPr>
                <w:sz w:val="20"/>
                <w:szCs w:val="20"/>
              </w:rPr>
              <w:t>Lease contracts poorly managed by the past City administrations resulted in inadequately protected interest of the City on leases, deficient and unreliable lease data, uncollected rent and faulty</w:t>
            </w:r>
            <w:r>
              <w:rPr>
                <w:bCs/>
                <w:iCs/>
                <w:sz w:val="20"/>
                <w:szCs w:val="20"/>
              </w:rPr>
              <w:t xml:space="preserve"> </w:t>
            </w:r>
            <w:r>
              <w:rPr>
                <w:sz w:val="20"/>
                <w:szCs w:val="20"/>
              </w:rPr>
              <w:t xml:space="preserve">accounting of lease assets and income. This is not in keeping with sound contract management controls and the accounting standards.  </w:t>
            </w:r>
          </w:p>
          <w:p>
            <w:pPr>
              <w:spacing w:after="0" w:line="240" w:lineRule="auto"/>
              <w:ind w:left="338"/>
              <w:jc w:val="both"/>
              <w:rPr>
                <w:bCs/>
                <w:iCs/>
                <w:sz w:val="20"/>
                <w:szCs w:val="20"/>
              </w:rPr>
            </w:pPr>
          </w:p>
          <w:p>
            <w:pPr>
              <w:spacing w:after="0" w:line="240" w:lineRule="auto"/>
              <w:ind w:left="338"/>
              <w:jc w:val="both"/>
              <w:rPr>
                <w:sz w:val="20"/>
                <w:szCs w:val="20"/>
              </w:rPr>
            </w:pPr>
            <w:r>
              <w:rPr>
                <w:sz w:val="20"/>
                <w:szCs w:val="20"/>
              </w:rPr>
              <w:t>We recommended that Management improve the City’s lease management by:</w:t>
            </w:r>
          </w:p>
          <w:p>
            <w:pPr>
              <w:spacing w:after="0" w:line="240" w:lineRule="auto"/>
              <w:ind w:left="338"/>
              <w:jc w:val="both"/>
              <w:rPr>
                <w:sz w:val="20"/>
                <w:szCs w:val="20"/>
              </w:rPr>
            </w:pPr>
          </w:p>
          <w:p>
            <w:pPr>
              <w:numPr>
                <w:ilvl w:val="0"/>
                <w:numId w:val="8"/>
              </w:numPr>
              <w:spacing w:after="0" w:line="240" w:lineRule="auto"/>
              <w:ind w:left="609" w:hanging="271"/>
              <w:jc w:val="both"/>
              <w:rPr>
                <w:sz w:val="20"/>
                <w:szCs w:val="20"/>
              </w:rPr>
            </w:pPr>
            <w:r>
              <w:rPr>
                <w:sz w:val="20"/>
                <w:szCs w:val="20"/>
              </w:rPr>
              <w:t>Directing the Committee on Patrimonial Properties to: (a) conduct review of lease contracts; and (b) craft the policies and procedure on lease management embodying the elements enumerated in para. 8.5 and submit the same to the City Council for review and the passing of an ordinance;</w:t>
            </w:r>
          </w:p>
          <w:p>
            <w:pPr>
              <w:spacing w:after="0" w:line="240" w:lineRule="auto"/>
              <w:ind w:left="609"/>
              <w:jc w:val="both"/>
              <w:rPr>
                <w:sz w:val="20"/>
                <w:szCs w:val="20"/>
              </w:rPr>
            </w:pPr>
          </w:p>
          <w:p>
            <w:pPr>
              <w:spacing w:after="0" w:line="240" w:lineRule="auto"/>
              <w:ind w:left="609"/>
              <w:jc w:val="both"/>
              <w:rPr>
                <w:sz w:val="20"/>
                <w:szCs w:val="20"/>
              </w:rPr>
            </w:pPr>
          </w:p>
          <w:p>
            <w:pPr>
              <w:numPr>
                <w:ilvl w:val="0"/>
                <w:numId w:val="8"/>
              </w:numPr>
              <w:spacing w:after="0" w:line="240" w:lineRule="auto"/>
              <w:ind w:left="609" w:hanging="249"/>
              <w:jc w:val="both"/>
              <w:rPr>
                <w:sz w:val="20"/>
                <w:szCs w:val="20"/>
                <w:lang w:val="en-US"/>
              </w:rPr>
            </w:pPr>
            <w:r>
              <w:rPr>
                <w:sz w:val="20"/>
                <w:szCs w:val="20"/>
              </w:rPr>
              <w:t>Pending the passing of the foregoing ordinance, issuing guidelines on lease administration factoring in those elements in para. 8.5 of Observation No. 8;</w:t>
            </w: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ind w:left="609"/>
              <w:jc w:val="both"/>
              <w:rPr>
                <w:sz w:val="20"/>
                <w:szCs w:val="20"/>
              </w:rPr>
            </w:pPr>
          </w:p>
          <w:p>
            <w:pPr>
              <w:numPr>
                <w:ilvl w:val="0"/>
                <w:numId w:val="8"/>
              </w:numPr>
              <w:tabs>
                <w:tab w:val="left" w:pos="609"/>
              </w:tabs>
              <w:spacing w:after="0" w:line="240" w:lineRule="auto"/>
              <w:ind w:left="609" w:hanging="249"/>
              <w:jc w:val="both"/>
              <w:rPr>
                <w:sz w:val="20"/>
                <w:szCs w:val="20"/>
                <w:lang w:val="en-US"/>
              </w:rPr>
            </w:pPr>
            <w:r>
              <w:rPr>
                <w:sz w:val="20"/>
                <w:szCs w:val="20"/>
              </w:rPr>
              <w:t xml:space="preserve">Consistent with pertinent laws, rules and regulations on lease, executing contracts or agreements with the 416 lessees mentioned in para. 8.6, with clear provisions that safeguard the City’s interests, ensure the attainment of its financial objectives (like the provision of penalty clause) and meet the service </w:t>
            </w:r>
            <w:r>
              <w:rPr>
                <w:sz w:val="20"/>
                <w:szCs w:val="20"/>
              </w:rPr>
              <w:lastRenderedPageBreak/>
              <w:t>requirements of its constituents;</w:t>
            </w:r>
          </w:p>
          <w:p>
            <w:pPr>
              <w:tabs>
                <w:tab w:val="left" w:pos="609"/>
              </w:tabs>
              <w:spacing w:after="0" w:line="240" w:lineRule="auto"/>
              <w:ind w:left="609"/>
              <w:jc w:val="both"/>
              <w:rPr>
                <w:sz w:val="20"/>
                <w:szCs w:val="20"/>
                <w:lang w:val="en-US"/>
              </w:rPr>
            </w:pPr>
          </w:p>
          <w:p>
            <w:pPr>
              <w:numPr>
                <w:ilvl w:val="0"/>
                <w:numId w:val="8"/>
              </w:numPr>
              <w:spacing w:after="0" w:line="240" w:lineRule="auto"/>
              <w:ind w:left="609" w:hanging="249"/>
              <w:jc w:val="both"/>
              <w:rPr>
                <w:sz w:val="20"/>
                <w:szCs w:val="20"/>
                <w:lang w:val="en-US"/>
              </w:rPr>
            </w:pPr>
            <w:r>
              <w:rPr>
                <w:sz w:val="20"/>
                <w:szCs w:val="20"/>
              </w:rPr>
              <w:t>Providing copies of the executed contracts to the City Auditor’s Office;</w:t>
            </w:r>
          </w:p>
          <w:p>
            <w:pPr>
              <w:spacing w:after="0" w:line="240" w:lineRule="auto"/>
              <w:ind w:left="609"/>
              <w:jc w:val="both"/>
              <w:rPr>
                <w:sz w:val="20"/>
                <w:szCs w:val="20"/>
              </w:rPr>
            </w:pPr>
          </w:p>
          <w:p>
            <w:pPr>
              <w:spacing w:after="0" w:line="240" w:lineRule="auto"/>
              <w:ind w:left="609"/>
              <w:jc w:val="both"/>
              <w:rPr>
                <w:sz w:val="20"/>
                <w:szCs w:val="20"/>
                <w:lang w:val="en-US"/>
              </w:rPr>
            </w:pPr>
          </w:p>
          <w:p>
            <w:pPr>
              <w:numPr>
                <w:ilvl w:val="0"/>
                <w:numId w:val="8"/>
              </w:numPr>
              <w:spacing w:after="0" w:line="240" w:lineRule="auto"/>
              <w:ind w:left="609" w:hanging="249"/>
              <w:jc w:val="both"/>
              <w:rPr>
                <w:sz w:val="20"/>
                <w:szCs w:val="20"/>
                <w:lang w:val="en-US"/>
              </w:rPr>
            </w:pPr>
            <w:r>
              <w:rPr>
                <w:sz w:val="20"/>
                <w:szCs w:val="20"/>
              </w:rPr>
              <w:t xml:space="preserve"> Instructing the CGSO-PPD, OCAT and CTO to: (a) maintain all the data on leases vital to effectively manage them and enable compliance with accounting and reporting standards; and (b) regularly reconcile their lease data;</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lang w:val="en-US"/>
              </w:rPr>
            </w:pPr>
          </w:p>
          <w:p>
            <w:pPr>
              <w:numPr>
                <w:ilvl w:val="0"/>
                <w:numId w:val="8"/>
              </w:numPr>
              <w:spacing w:after="0" w:line="240" w:lineRule="auto"/>
              <w:ind w:left="609" w:hanging="249"/>
              <w:jc w:val="both"/>
              <w:rPr>
                <w:sz w:val="20"/>
                <w:szCs w:val="20"/>
              </w:rPr>
            </w:pPr>
            <w:r>
              <w:rPr>
                <w:sz w:val="20"/>
                <w:szCs w:val="20"/>
              </w:rPr>
              <w:t>Requiring the CGSO-PPD to: (a) intensify collection of delinquent accounts; and (b) as part of obligation management, conduct periodic lease obligation audit and report the result to Management, Committee on Patrimonial Properties and OCAT for it to act on the accounting implication; and</w:t>
            </w:r>
          </w:p>
          <w:p>
            <w:pPr>
              <w:spacing w:after="0" w:line="240" w:lineRule="auto"/>
              <w:ind w:left="609"/>
              <w:jc w:val="both"/>
              <w:rPr>
                <w:sz w:val="20"/>
                <w:szCs w:val="20"/>
              </w:rPr>
            </w:pPr>
          </w:p>
          <w:p>
            <w:pPr>
              <w:numPr>
                <w:ilvl w:val="0"/>
                <w:numId w:val="8"/>
              </w:numPr>
              <w:spacing w:after="0" w:line="240" w:lineRule="auto"/>
              <w:ind w:left="609" w:hanging="249"/>
              <w:jc w:val="both"/>
              <w:rPr>
                <w:sz w:val="20"/>
                <w:szCs w:val="20"/>
                <w:lang w:val="en-US"/>
              </w:rPr>
            </w:pPr>
            <w:r>
              <w:rPr>
                <w:sz w:val="20"/>
                <w:szCs w:val="20"/>
              </w:rPr>
              <w:t>Directing the OCAT to maintain SLs for each of the lessees indicating therein all the vital information that will enable efficient and effective lease tracking and accounting.</w:t>
            </w:r>
          </w:p>
          <w:p>
            <w:pPr>
              <w:pStyle w:val="ListParagraph"/>
              <w:widowControl w:val="0"/>
              <w:overflowPunct w:val="0"/>
              <w:autoSpaceDE w:val="0"/>
              <w:autoSpaceDN w:val="0"/>
              <w:adjustRightInd w:val="0"/>
              <w:ind w:left="360"/>
              <w:jc w:val="both"/>
              <w:rPr>
                <w:bCs/>
                <w:iCs/>
                <w:sz w:val="20"/>
                <w:szCs w:val="20"/>
              </w:rPr>
            </w:pPr>
          </w:p>
        </w:tc>
        <w:tc>
          <w:tcPr>
            <w:tcW w:w="1643" w:type="dxa"/>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rPr>
                <w:sz w:val="20"/>
                <w:szCs w:val="20"/>
              </w:rPr>
            </w:pPr>
          </w:p>
          <w:p>
            <w:pPr>
              <w:spacing w:after="0" w:line="240" w:lineRule="auto"/>
              <w:jc w:val="center"/>
              <w:rPr>
                <w:sz w:val="20"/>
                <w:szCs w:val="20"/>
              </w:rPr>
            </w:pPr>
          </w:p>
          <w:p>
            <w:pPr>
              <w:spacing w:after="0" w:line="240" w:lineRule="auto"/>
              <w:rPr>
                <w:sz w:val="20"/>
                <w:szCs w:val="20"/>
              </w:rPr>
            </w:pPr>
          </w:p>
          <w:p>
            <w:pPr>
              <w:pStyle w:val="NoSpacing"/>
              <w:jc w:val="center"/>
              <w:rPr>
                <w:sz w:val="20"/>
                <w:szCs w:val="20"/>
              </w:rPr>
            </w:pPr>
            <w:r>
              <w:rPr>
                <w:sz w:val="20"/>
                <w:szCs w:val="20"/>
              </w:rPr>
              <w:t>Partially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r>
              <w:rPr>
                <w:sz w:val="20"/>
                <w:szCs w:val="20"/>
              </w:rPr>
              <w:t>Not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Partially Implemented</w:t>
            </w:r>
          </w:p>
          <w:p>
            <w:pPr>
              <w:pStyle w:val="NoSpacing"/>
              <w:jc w:val="center"/>
              <w:rPr>
                <w:sz w:val="20"/>
                <w:szCs w:val="20"/>
              </w:rPr>
            </w:pPr>
          </w:p>
        </w:tc>
        <w:tc>
          <w:tcPr>
            <w:tcW w:w="1620" w:type="dxa"/>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pStyle w:val="NoSpacing"/>
              <w:jc w:val="both"/>
              <w:rPr>
                <w:sz w:val="20"/>
                <w:szCs w:val="20"/>
              </w:rPr>
            </w:pPr>
            <w:r>
              <w:rPr>
                <w:sz w:val="20"/>
                <w:szCs w:val="20"/>
              </w:rPr>
              <w:t xml:space="preserve">The City Administrator has already instructed the City Legal Office (CLO) to draft the policies and procedures. </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Management has no reply on the recommendation</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CGSO has made representation with the City Administrator on the renewal of Contract and has requested to the CLO for guidance on the mode of awarding the contract.</w:t>
            </w:r>
          </w:p>
        </w:tc>
        <w:tc>
          <w:tcPr>
            <w:tcW w:w="1872" w:type="dxa"/>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pStyle w:val="NoSpacing"/>
              <w:jc w:val="both"/>
              <w:rPr>
                <w:sz w:val="20"/>
                <w:szCs w:val="20"/>
              </w:rPr>
            </w:pPr>
            <w:r>
              <w:rPr>
                <w:sz w:val="20"/>
                <w:szCs w:val="20"/>
              </w:rPr>
              <w:t xml:space="preserve">Consolidation of documents for those who failed to comply with the DLs for indorsement to the CLO is ongoing. </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Guidelines on lease administration are not yet issued.</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Inspection of properties to verify actual occupants and search for copies of expired contracts are ongoing.</w:t>
            </w:r>
          </w:p>
        </w:tc>
      </w:tr>
      <w:tr>
        <w:trPr>
          <w:trHeight w:val="10339"/>
        </w:trPr>
        <w:tc>
          <w:tcPr>
            <w:tcW w:w="1260" w:type="dxa"/>
            <w:tcBorders>
              <w:top w:val="single" w:sz="4" w:space="0" w:color="auto"/>
            </w:tcBorders>
          </w:tcPr>
          <w:p>
            <w:pPr>
              <w:pStyle w:val="NoSpacing"/>
              <w:jc w:val="center"/>
              <w:rPr>
                <w:sz w:val="20"/>
                <w:szCs w:val="20"/>
              </w:rPr>
            </w:pPr>
          </w:p>
        </w:tc>
        <w:tc>
          <w:tcPr>
            <w:tcW w:w="3330" w:type="dxa"/>
            <w:vMerge/>
          </w:tcPr>
          <w:p>
            <w:pPr>
              <w:pStyle w:val="ListParagraph"/>
              <w:widowControl w:val="0"/>
              <w:overflowPunct w:val="0"/>
              <w:autoSpaceDE w:val="0"/>
              <w:autoSpaceDN w:val="0"/>
              <w:adjustRightInd w:val="0"/>
              <w:ind w:left="360"/>
              <w:jc w:val="both"/>
              <w:rPr>
                <w:bCs/>
                <w:iCs/>
                <w:sz w:val="20"/>
                <w:szCs w:val="20"/>
              </w:rPr>
            </w:pPr>
          </w:p>
        </w:tc>
        <w:tc>
          <w:tcPr>
            <w:tcW w:w="1643" w:type="dxa"/>
            <w:tcBorders>
              <w:top w:val="single" w:sz="4" w:space="0" w:color="auto"/>
            </w:tcBorders>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Not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rPr>
                <w:sz w:val="20"/>
                <w:szCs w:val="20"/>
              </w:rPr>
            </w:pPr>
          </w:p>
          <w:p>
            <w:pPr>
              <w:spacing w:after="0" w:line="240" w:lineRule="auto"/>
              <w:jc w:val="center"/>
              <w:rPr>
                <w:sz w:val="20"/>
                <w:szCs w:val="20"/>
                <w:lang w:val="en-US"/>
              </w:rPr>
            </w:pPr>
            <w:r>
              <w:rPr>
                <w:sz w:val="20"/>
                <w:szCs w:val="20"/>
              </w:rPr>
              <w:t>Partially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rPr>
                <w:sz w:val="20"/>
                <w:szCs w:val="20"/>
              </w:rPr>
            </w:pPr>
          </w:p>
          <w:p>
            <w:pPr>
              <w:spacing w:after="0" w:line="240" w:lineRule="auto"/>
              <w:jc w:val="center"/>
              <w:rPr>
                <w:sz w:val="20"/>
                <w:szCs w:val="20"/>
              </w:rPr>
            </w:pPr>
            <w:r>
              <w:rPr>
                <w:sz w:val="20"/>
                <w:szCs w:val="20"/>
              </w:rPr>
              <w:t>Fully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p>
          <w:p>
            <w:pPr>
              <w:spacing w:after="0" w:line="240" w:lineRule="auto"/>
              <w:jc w:val="center"/>
              <w:rPr>
                <w:sz w:val="20"/>
                <w:szCs w:val="20"/>
                <w:lang w:val="en-US"/>
              </w:rPr>
            </w:pPr>
            <w:r>
              <w:rPr>
                <w:sz w:val="20"/>
                <w:szCs w:val="20"/>
              </w:rPr>
              <w:t>Not Implemented</w:t>
            </w:r>
          </w:p>
          <w:p>
            <w:pPr>
              <w:pStyle w:val="NoSpacing"/>
              <w:jc w:val="center"/>
              <w:rPr>
                <w:sz w:val="20"/>
                <w:szCs w:val="20"/>
              </w:rPr>
            </w:pPr>
          </w:p>
        </w:tc>
        <w:tc>
          <w:tcPr>
            <w:tcW w:w="1620" w:type="dxa"/>
            <w:tcBorders>
              <w:top w:val="single" w:sz="4" w:space="0" w:color="auto"/>
            </w:tcBorders>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Management has no reply on the recommendation</w:t>
            </w:r>
          </w:p>
          <w:p>
            <w:pPr>
              <w:pStyle w:val="NoSpacing"/>
              <w:jc w:val="both"/>
              <w:rPr>
                <w:sz w:val="20"/>
                <w:szCs w:val="20"/>
              </w:rPr>
            </w:pPr>
          </w:p>
          <w:p>
            <w:pPr>
              <w:pStyle w:val="NoSpacing"/>
              <w:jc w:val="both"/>
              <w:rPr>
                <w:sz w:val="20"/>
                <w:szCs w:val="20"/>
              </w:rPr>
            </w:pPr>
          </w:p>
          <w:p>
            <w:pPr>
              <w:spacing w:after="0" w:line="240" w:lineRule="auto"/>
              <w:jc w:val="both"/>
              <w:rPr>
                <w:sz w:val="20"/>
                <w:szCs w:val="20"/>
              </w:rPr>
            </w:pPr>
            <w:r>
              <w:rPr>
                <w:sz w:val="20"/>
                <w:szCs w:val="20"/>
              </w:rPr>
              <w:t xml:space="preserve">The Patrimonial Property Registry Cards were modified to ensure that all vital information are recorded. The OCAT </w:t>
            </w:r>
            <w:r>
              <w:rPr>
                <w:sz w:val="20"/>
                <w:szCs w:val="20"/>
                <w:lang w:val="en-US"/>
              </w:rPr>
              <w:t xml:space="preserve">is </w:t>
            </w:r>
            <w:r>
              <w:rPr>
                <w:sz w:val="20"/>
                <w:szCs w:val="20"/>
              </w:rPr>
              <w:t>now provided with a monthly report of collection and delinquent accounts.</w:t>
            </w:r>
            <w:r>
              <w:rPr>
                <w:sz w:val="20"/>
                <w:szCs w:val="20"/>
                <w:lang w:val="en-US"/>
              </w:rPr>
              <w:t xml:space="preserve"> T</w:t>
            </w:r>
            <w:r>
              <w:rPr>
                <w:sz w:val="20"/>
                <w:szCs w:val="20"/>
              </w:rPr>
              <w:t>o assist concerned offices in tracking lease contract</w:t>
            </w:r>
            <w:r>
              <w:rPr>
                <w:sz w:val="20"/>
                <w:szCs w:val="20"/>
                <w:lang w:val="en-US"/>
              </w:rPr>
              <w:t>s</w:t>
            </w:r>
            <w:r>
              <w:rPr>
                <w:sz w:val="20"/>
                <w:szCs w:val="20"/>
              </w:rPr>
              <w:t xml:space="preserve">, the CTO shall maintain a SL based on daily collections.  </w:t>
            </w:r>
          </w:p>
          <w:p>
            <w:pPr>
              <w:pStyle w:val="NoSpacing"/>
              <w:jc w:val="both"/>
              <w:rPr>
                <w:sz w:val="20"/>
                <w:szCs w:val="20"/>
              </w:rPr>
            </w:pPr>
          </w:p>
          <w:p>
            <w:pPr>
              <w:spacing w:after="0" w:line="240" w:lineRule="auto"/>
              <w:jc w:val="both"/>
              <w:rPr>
                <w:sz w:val="20"/>
                <w:szCs w:val="20"/>
              </w:rPr>
            </w:pPr>
            <w:r>
              <w:rPr>
                <w:sz w:val="20"/>
                <w:szCs w:val="20"/>
              </w:rPr>
              <w:t>Lessees with six months delinquency are issued with DLs and included in the Delinquent Reports.</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lang w:val="en-US"/>
              </w:rPr>
            </w:pPr>
          </w:p>
          <w:p>
            <w:pPr>
              <w:pStyle w:val="NoSpacing"/>
              <w:jc w:val="both"/>
              <w:rPr>
                <w:sz w:val="20"/>
                <w:szCs w:val="20"/>
              </w:rPr>
            </w:pPr>
            <w:r>
              <w:rPr>
                <w:sz w:val="20"/>
                <w:szCs w:val="20"/>
              </w:rPr>
              <w:t>Management has no reply on the recommendation.</w:t>
            </w:r>
          </w:p>
        </w:tc>
        <w:tc>
          <w:tcPr>
            <w:tcW w:w="1872" w:type="dxa"/>
            <w:tcBorders>
              <w:top w:val="single" w:sz="4" w:space="0" w:color="auto"/>
            </w:tcBorders>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 xml:space="preserve">CAO was not furnished with copies of renewed contracts. </w:t>
            </w:r>
          </w:p>
          <w:p>
            <w:pPr>
              <w:pStyle w:val="NoSpacing"/>
              <w:jc w:val="both"/>
              <w:rPr>
                <w:sz w:val="20"/>
                <w:szCs w:val="20"/>
              </w:rPr>
            </w:pPr>
          </w:p>
          <w:p>
            <w:pPr>
              <w:pStyle w:val="NoSpacing"/>
              <w:jc w:val="both"/>
              <w:rPr>
                <w:sz w:val="20"/>
                <w:szCs w:val="20"/>
              </w:rPr>
            </w:pPr>
            <w:r>
              <w:rPr>
                <w:sz w:val="20"/>
                <w:szCs w:val="20"/>
              </w:rPr>
              <w:t xml:space="preserve">Update of Lessee information is ongoing. </w:t>
            </w: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rPr>
            </w:pPr>
            <w:r>
              <w:rPr>
                <w:sz w:val="20"/>
                <w:szCs w:val="20"/>
                <w:lang w:val="en-US"/>
              </w:rPr>
              <w:t>SL for each lessee was are not yet maintained.</w:t>
            </w:r>
          </w:p>
        </w:tc>
      </w:tr>
      <w:tr>
        <w:trPr>
          <w:trHeight w:val="1367"/>
        </w:trPr>
        <w:tc>
          <w:tcPr>
            <w:tcW w:w="1260" w:type="dxa"/>
          </w:tcPr>
          <w:p>
            <w:pPr>
              <w:spacing w:after="0" w:line="240" w:lineRule="auto"/>
              <w:jc w:val="center"/>
              <w:rPr>
                <w:sz w:val="20"/>
                <w:szCs w:val="20"/>
              </w:rPr>
            </w:pPr>
            <w:r>
              <w:rPr>
                <w:sz w:val="20"/>
                <w:szCs w:val="20"/>
              </w:rPr>
              <w:lastRenderedPageBreak/>
              <w:t>Observation No. 9,</w:t>
            </w:r>
          </w:p>
          <w:p>
            <w:pPr>
              <w:spacing w:after="0" w:line="240" w:lineRule="auto"/>
              <w:jc w:val="center"/>
              <w:rPr>
                <w:sz w:val="20"/>
                <w:szCs w:val="20"/>
                <w:lang w:val="en-US"/>
              </w:rPr>
            </w:pPr>
            <w:r>
              <w:rPr>
                <w:sz w:val="20"/>
                <w:szCs w:val="20"/>
              </w:rPr>
              <w:t>Pages 91-97</w:t>
            </w:r>
          </w:p>
          <w:p>
            <w:pPr>
              <w:pStyle w:val="NoSpacing"/>
              <w:jc w:val="center"/>
              <w:rPr>
                <w:sz w:val="20"/>
                <w:szCs w:val="20"/>
              </w:rPr>
            </w:pPr>
          </w:p>
        </w:tc>
        <w:tc>
          <w:tcPr>
            <w:tcW w:w="3330" w:type="dxa"/>
          </w:tcPr>
          <w:p>
            <w:pPr>
              <w:numPr>
                <w:ilvl w:val="0"/>
                <w:numId w:val="1"/>
              </w:numPr>
              <w:spacing w:after="0" w:line="240" w:lineRule="auto"/>
              <w:ind w:left="338"/>
              <w:jc w:val="both"/>
              <w:rPr>
                <w:sz w:val="20"/>
                <w:szCs w:val="20"/>
              </w:rPr>
            </w:pPr>
            <w:r>
              <w:rPr>
                <w:sz w:val="20"/>
                <w:szCs w:val="20"/>
              </w:rPr>
              <w:t>Underassessment of 670 sample real property units (RPUs) drawn from the Assessment Roll resulted in foregone realty tax of about P9.686 million, in 2019 alone.</w:t>
            </w:r>
          </w:p>
          <w:p>
            <w:pPr>
              <w:spacing w:after="0" w:line="240" w:lineRule="auto"/>
              <w:ind w:left="338"/>
              <w:jc w:val="both"/>
              <w:rPr>
                <w:sz w:val="20"/>
                <w:szCs w:val="20"/>
              </w:rPr>
            </w:pPr>
          </w:p>
          <w:p>
            <w:pPr>
              <w:spacing w:after="0" w:line="240" w:lineRule="auto"/>
              <w:ind w:left="338"/>
              <w:jc w:val="both"/>
              <w:rPr>
                <w:sz w:val="20"/>
                <w:szCs w:val="20"/>
              </w:rPr>
            </w:pPr>
            <w:r>
              <w:rPr>
                <w:sz w:val="20"/>
                <w:szCs w:val="20"/>
              </w:rPr>
              <w:t>We recommended that Management:</w:t>
            </w:r>
          </w:p>
          <w:p>
            <w:pPr>
              <w:spacing w:after="0" w:line="240" w:lineRule="auto"/>
              <w:ind w:left="338"/>
              <w:jc w:val="both"/>
              <w:rPr>
                <w:sz w:val="20"/>
                <w:szCs w:val="20"/>
              </w:rPr>
            </w:pPr>
          </w:p>
          <w:p>
            <w:pPr>
              <w:numPr>
                <w:ilvl w:val="0"/>
                <w:numId w:val="9"/>
              </w:numPr>
              <w:spacing w:after="0" w:line="240" w:lineRule="auto"/>
              <w:ind w:left="609" w:hanging="271"/>
              <w:jc w:val="both"/>
              <w:rPr>
                <w:sz w:val="20"/>
                <w:szCs w:val="20"/>
              </w:rPr>
            </w:pPr>
            <w:r>
              <w:rPr>
                <w:sz w:val="20"/>
                <w:szCs w:val="20"/>
              </w:rPr>
              <w:t xml:space="preserve">Direct the Department of Assessment (DA) to: </w:t>
            </w:r>
          </w:p>
          <w:p>
            <w:pPr>
              <w:spacing w:after="0" w:line="240" w:lineRule="auto"/>
              <w:ind w:left="338"/>
              <w:jc w:val="both"/>
              <w:rPr>
                <w:sz w:val="20"/>
                <w:szCs w:val="20"/>
              </w:rPr>
            </w:pPr>
          </w:p>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Rid the Real Property Tax Administration System (RPTAS) of input errors;</w:t>
            </w:r>
          </w:p>
          <w:p>
            <w:pPr>
              <w:pStyle w:val="ListParagraph"/>
              <w:widowControl w:val="0"/>
              <w:overflowPunct w:val="0"/>
              <w:autoSpaceDE w:val="0"/>
              <w:autoSpaceDN w:val="0"/>
              <w:adjustRightInd w:val="0"/>
              <w:ind w:left="879"/>
              <w:jc w:val="both"/>
              <w:rPr>
                <w:sz w:val="20"/>
                <w:szCs w:val="20"/>
              </w:rPr>
            </w:pPr>
          </w:p>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Correct the 670 under-assessed real properties herein specified in accordance with the realty tax provisions of Ordinance Nos. 8330, as amended, and 8331; and</w:t>
            </w:r>
          </w:p>
          <w:p>
            <w:pPr>
              <w:pStyle w:val="ListParagraph"/>
              <w:widowControl w:val="0"/>
              <w:overflowPunct w:val="0"/>
              <w:autoSpaceDE w:val="0"/>
              <w:autoSpaceDN w:val="0"/>
              <w:adjustRightInd w:val="0"/>
              <w:ind w:left="879"/>
              <w:jc w:val="both"/>
              <w:rPr>
                <w:sz w:val="20"/>
                <w:szCs w:val="20"/>
              </w:rPr>
            </w:pPr>
          </w:p>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Provide the CTO a copy of the corrected Assessment Roll;</w:t>
            </w: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numPr>
                <w:ilvl w:val="0"/>
                <w:numId w:val="9"/>
              </w:numPr>
              <w:spacing w:after="0" w:line="240" w:lineRule="auto"/>
              <w:ind w:left="609" w:hanging="271"/>
              <w:jc w:val="both"/>
              <w:rPr>
                <w:sz w:val="20"/>
                <w:szCs w:val="20"/>
                <w:lang w:val="en-US"/>
              </w:rPr>
            </w:pPr>
            <w:r>
              <w:rPr>
                <w:sz w:val="20"/>
                <w:szCs w:val="20"/>
              </w:rPr>
              <w:t>In order to ensure accuracy and completeness of data and that the RPTAS strictly adopt the realty tax provisions of Ordinance Nos. 8331 and 8330, as amended:</w:t>
            </w:r>
          </w:p>
          <w:p>
            <w:pPr>
              <w:spacing w:after="0" w:line="240" w:lineRule="auto"/>
              <w:ind w:left="698"/>
              <w:jc w:val="both"/>
              <w:rPr>
                <w:sz w:val="20"/>
                <w:szCs w:val="20"/>
                <w:lang w:val="en-US"/>
              </w:rPr>
            </w:pPr>
          </w:p>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 xml:space="preserve">Strengthen the RPTAS input controls; and </w:t>
            </w:r>
          </w:p>
          <w:p>
            <w:pPr>
              <w:pStyle w:val="ListParagraph"/>
              <w:widowControl w:val="0"/>
              <w:overflowPunct w:val="0"/>
              <w:autoSpaceDE w:val="0"/>
              <w:autoSpaceDN w:val="0"/>
              <w:adjustRightInd w:val="0"/>
              <w:ind w:left="879"/>
              <w:jc w:val="both"/>
              <w:rPr>
                <w:sz w:val="20"/>
                <w:szCs w:val="20"/>
              </w:rPr>
            </w:pPr>
          </w:p>
          <w:p>
            <w:pPr>
              <w:pStyle w:val="ListParagraph"/>
              <w:widowControl w:val="0"/>
              <w:overflowPunct w:val="0"/>
              <w:autoSpaceDE w:val="0"/>
              <w:autoSpaceDN w:val="0"/>
              <w:adjustRightInd w:val="0"/>
              <w:ind w:left="879"/>
              <w:jc w:val="both"/>
              <w:rPr>
                <w:sz w:val="20"/>
                <w:szCs w:val="20"/>
              </w:rPr>
            </w:pPr>
          </w:p>
          <w:p>
            <w:pPr>
              <w:pStyle w:val="ListParagraph"/>
              <w:widowControl w:val="0"/>
              <w:overflowPunct w:val="0"/>
              <w:autoSpaceDE w:val="0"/>
              <w:autoSpaceDN w:val="0"/>
              <w:adjustRightInd w:val="0"/>
              <w:ind w:left="879"/>
              <w:jc w:val="both"/>
              <w:rPr>
                <w:sz w:val="20"/>
                <w:szCs w:val="20"/>
              </w:rPr>
            </w:pPr>
          </w:p>
          <w:p>
            <w:pPr>
              <w:pStyle w:val="ListParagraph"/>
              <w:widowControl w:val="0"/>
              <w:overflowPunct w:val="0"/>
              <w:autoSpaceDE w:val="0"/>
              <w:autoSpaceDN w:val="0"/>
              <w:adjustRightInd w:val="0"/>
              <w:ind w:left="879"/>
              <w:jc w:val="both"/>
              <w:rPr>
                <w:sz w:val="20"/>
                <w:szCs w:val="20"/>
              </w:rPr>
            </w:pPr>
          </w:p>
          <w:p>
            <w:pPr>
              <w:pStyle w:val="ListParagraph"/>
              <w:widowControl w:val="0"/>
              <w:overflowPunct w:val="0"/>
              <w:autoSpaceDE w:val="0"/>
              <w:autoSpaceDN w:val="0"/>
              <w:adjustRightInd w:val="0"/>
              <w:ind w:left="879"/>
              <w:jc w:val="both"/>
              <w:rPr>
                <w:sz w:val="20"/>
                <w:szCs w:val="20"/>
              </w:rPr>
            </w:pPr>
          </w:p>
          <w:p>
            <w:pPr>
              <w:widowControl w:val="0"/>
              <w:overflowPunct w:val="0"/>
              <w:autoSpaceDE w:val="0"/>
              <w:autoSpaceDN w:val="0"/>
              <w:adjustRightInd w:val="0"/>
              <w:jc w:val="both"/>
              <w:rPr>
                <w:sz w:val="20"/>
                <w:szCs w:val="20"/>
              </w:rPr>
            </w:pPr>
          </w:p>
          <w:p>
            <w:pPr>
              <w:pStyle w:val="ListParagraph"/>
              <w:widowControl w:val="0"/>
              <w:numPr>
                <w:ilvl w:val="0"/>
                <w:numId w:val="3"/>
              </w:numPr>
              <w:overflowPunct w:val="0"/>
              <w:autoSpaceDE w:val="0"/>
              <w:autoSpaceDN w:val="0"/>
              <w:adjustRightInd w:val="0"/>
              <w:ind w:left="879" w:hanging="270"/>
              <w:jc w:val="both"/>
              <w:rPr>
                <w:sz w:val="20"/>
                <w:szCs w:val="20"/>
              </w:rPr>
            </w:pPr>
            <w:r>
              <w:rPr>
                <w:sz w:val="20"/>
                <w:szCs w:val="20"/>
              </w:rPr>
              <w:t xml:space="preserve">Consider digitizing the RPT assessment documents, as this will facilitate, among others, efficient data validation and other RPT </w:t>
            </w:r>
            <w:r>
              <w:rPr>
                <w:sz w:val="20"/>
                <w:szCs w:val="20"/>
              </w:rPr>
              <w:lastRenderedPageBreak/>
              <w:t>assessment processing;</w:t>
            </w:r>
          </w:p>
          <w:p>
            <w:pPr>
              <w:pStyle w:val="ListParagraph"/>
              <w:widowControl w:val="0"/>
              <w:overflowPunct w:val="0"/>
              <w:autoSpaceDE w:val="0"/>
              <w:autoSpaceDN w:val="0"/>
              <w:adjustRightInd w:val="0"/>
              <w:ind w:left="879"/>
              <w:jc w:val="both"/>
              <w:rPr>
                <w:sz w:val="20"/>
                <w:szCs w:val="20"/>
              </w:rPr>
            </w:pPr>
          </w:p>
          <w:p>
            <w:pPr>
              <w:widowControl w:val="0"/>
              <w:overflowPunct w:val="0"/>
              <w:autoSpaceDE w:val="0"/>
              <w:autoSpaceDN w:val="0"/>
              <w:adjustRightInd w:val="0"/>
              <w:jc w:val="both"/>
              <w:rPr>
                <w:sz w:val="20"/>
                <w:szCs w:val="20"/>
              </w:rPr>
            </w:pPr>
          </w:p>
          <w:p>
            <w:pPr>
              <w:pStyle w:val="ListParagraph"/>
              <w:widowControl w:val="0"/>
              <w:overflowPunct w:val="0"/>
              <w:autoSpaceDE w:val="0"/>
              <w:autoSpaceDN w:val="0"/>
              <w:adjustRightInd w:val="0"/>
              <w:ind w:left="879"/>
              <w:jc w:val="both"/>
              <w:rPr>
                <w:sz w:val="20"/>
                <w:szCs w:val="20"/>
              </w:rPr>
            </w:pPr>
          </w:p>
          <w:p>
            <w:pPr>
              <w:numPr>
                <w:ilvl w:val="0"/>
                <w:numId w:val="9"/>
              </w:numPr>
              <w:spacing w:after="0" w:line="240" w:lineRule="auto"/>
              <w:ind w:left="609" w:hanging="271"/>
              <w:jc w:val="both"/>
              <w:rPr>
                <w:sz w:val="20"/>
                <w:szCs w:val="20"/>
                <w:lang w:val="en-US"/>
              </w:rPr>
            </w:pPr>
            <w:r>
              <w:rPr>
                <w:sz w:val="20"/>
                <w:szCs w:val="20"/>
              </w:rPr>
              <w:t>Require the CTO to prepare the Certified List of Taxpayers (CLT) based on the corrected Assessment Roll and promptly provide this CLT to the OCAT;</w:t>
            </w: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numPr>
                <w:ilvl w:val="0"/>
                <w:numId w:val="9"/>
              </w:numPr>
              <w:spacing w:after="0" w:line="240" w:lineRule="auto"/>
              <w:ind w:left="609" w:hanging="271"/>
              <w:jc w:val="both"/>
              <w:rPr>
                <w:sz w:val="20"/>
                <w:szCs w:val="20"/>
                <w:lang w:val="en-US"/>
              </w:rPr>
            </w:pPr>
            <w:r>
              <w:rPr>
                <w:sz w:val="20"/>
                <w:szCs w:val="20"/>
              </w:rPr>
              <w:t>Correct the assessment of the aforementioned 670 RPUs within the parameters set in RA No. 7160;</w:t>
            </w:r>
          </w:p>
          <w:p>
            <w:pPr>
              <w:pStyle w:val="ListParagraph"/>
              <w:widowControl w:val="0"/>
              <w:overflowPunct w:val="0"/>
              <w:autoSpaceDE w:val="0"/>
              <w:autoSpaceDN w:val="0"/>
              <w:adjustRightInd w:val="0"/>
              <w:ind w:left="360"/>
              <w:jc w:val="both"/>
              <w:rPr>
                <w:bCs/>
                <w:iCs/>
                <w:sz w:val="20"/>
                <w:szCs w:val="20"/>
              </w:rPr>
            </w:pPr>
          </w:p>
          <w:p>
            <w:pPr>
              <w:numPr>
                <w:ilvl w:val="0"/>
                <w:numId w:val="9"/>
              </w:numPr>
              <w:spacing w:after="0" w:line="240" w:lineRule="auto"/>
              <w:ind w:left="609" w:hanging="271"/>
              <w:jc w:val="both"/>
              <w:rPr>
                <w:sz w:val="20"/>
                <w:szCs w:val="20"/>
                <w:lang w:val="en-US"/>
              </w:rPr>
            </w:pPr>
            <w:r>
              <w:rPr>
                <w:sz w:val="20"/>
                <w:szCs w:val="20"/>
              </w:rPr>
              <w:t>In order to uphold the principle of uniformity in taxation and increase RPT collection, work on repealing the restriction discussed in para. 9.8 of Observation No. 9; and</w:t>
            </w: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numPr>
                <w:ilvl w:val="0"/>
                <w:numId w:val="9"/>
              </w:numPr>
              <w:spacing w:after="0" w:line="240" w:lineRule="auto"/>
              <w:ind w:left="609" w:hanging="271"/>
              <w:jc w:val="both"/>
              <w:rPr>
                <w:sz w:val="20"/>
                <w:szCs w:val="20"/>
                <w:lang w:val="en-US"/>
              </w:rPr>
            </w:pPr>
            <w:r>
              <w:rPr>
                <w:sz w:val="20"/>
                <w:szCs w:val="20"/>
              </w:rPr>
              <w:t>Improve the collection of RPT, both current and delinquent, at a level materially surpassing the highest collection posted since the implementation of the general revision of real property values.</w:t>
            </w: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p>
            <w:pPr>
              <w:pStyle w:val="ListParagraph"/>
              <w:widowControl w:val="0"/>
              <w:overflowPunct w:val="0"/>
              <w:autoSpaceDE w:val="0"/>
              <w:autoSpaceDN w:val="0"/>
              <w:adjustRightInd w:val="0"/>
              <w:ind w:left="360"/>
              <w:jc w:val="both"/>
              <w:rPr>
                <w:bCs/>
                <w:iCs/>
                <w:sz w:val="20"/>
                <w:szCs w:val="20"/>
              </w:rPr>
            </w:pPr>
          </w:p>
        </w:tc>
        <w:tc>
          <w:tcPr>
            <w:tcW w:w="1643" w:type="dxa"/>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Fully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Fully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Fully Implemented</w:t>
            </w: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spacing w:after="0" w:line="240" w:lineRule="auto"/>
              <w:jc w:val="center"/>
              <w:rPr>
                <w:sz w:val="20"/>
                <w:szCs w:val="20"/>
                <w:lang w:val="en-US"/>
              </w:rPr>
            </w:pPr>
            <w:r>
              <w:rPr>
                <w:sz w:val="20"/>
                <w:szCs w:val="20"/>
              </w:rPr>
              <w:t>Fully Implemented</w:t>
            </w: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rPr>
                <w:sz w:val="20"/>
                <w:szCs w:val="20"/>
              </w:rPr>
            </w:pPr>
          </w:p>
          <w:p>
            <w:pPr>
              <w:spacing w:after="0" w:line="240" w:lineRule="auto"/>
              <w:jc w:val="center"/>
              <w:rPr>
                <w:sz w:val="20"/>
                <w:szCs w:val="20"/>
                <w:lang w:val="en-US"/>
              </w:rPr>
            </w:pPr>
            <w:r>
              <w:rPr>
                <w:sz w:val="20"/>
                <w:szCs w:val="20"/>
              </w:rPr>
              <w:t>Fully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rPr>
                <w:sz w:val="20"/>
                <w:szCs w:val="20"/>
              </w:rPr>
            </w:pPr>
          </w:p>
          <w:p>
            <w:pPr>
              <w:spacing w:after="0" w:line="240" w:lineRule="auto"/>
              <w:jc w:val="center"/>
              <w:rPr>
                <w:sz w:val="20"/>
                <w:szCs w:val="20"/>
                <w:lang w:val="en-US"/>
              </w:rPr>
            </w:pPr>
            <w:r>
              <w:rPr>
                <w:sz w:val="20"/>
                <w:szCs w:val="20"/>
              </w:rPr>
              <w:t>Fully Implemented</w:t>
            </w: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r>
              <w:rPr>
                <w:sz w:val="20"/>
                <w:szCs w:val="20"/>
              </w:rPr>
              <w:t>Fully Implemented</w:t>
            </w: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r>
              <w:rPr>
                <w:sz w:val="20"/>
                <w:szCs w:val="20"/>
              </w:rPr>
              <w:t>Fully Implemented</w:t>
            </w: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r>
              <w:rPr>
                <w:sz w:val="20"/>
                <w:szCs w:val="20"/>
              </w:rPr>
              <w:t>Partially Implemented</w:t>
            </w:r>
          </w:p>
        </w:tc>
        <w:tc>
          <w:tcPr>
            <w:tcW w:w="1620" w:type="dxa"/>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pStyle w:val="NoSpacing"/>
              <w:jc w:val="both"/>
              <w:rPr>
                <w:sz w:val="20"/>
                <w:szCs w:val="20"/>
              </w:rPr>
            </w:pPr>
            <w:r>
              <w:rPr>
                <w:sz w:val="20"/>
                <w:szCs w:val="20"/>
              </w:rPr>
              <w:t>The DA rid the input errors in the RPTAS.</w:t>
            </w:r>
          </w:p>
          <w:p>
            <w:pPr>
              <w:pStyle w:val="NoSpacing"/>
              <w:jc w:val="both"/>
              <w:rPr>
                <w:sz w:val="20"/>
                <w:szCs w:val="20"/>
              </w:rPr>
            </w:pPr>
          </w:p>
          <w:p>
            <w:pPr>
              <w:pStyle w:val="NoSpacing"/>
              <w:jc w:val="both"/>
              <w:rPr>
                <w:sz w:val="20"/>
                <w:szCs w:val="20"/>
              </w:rPr>
            </w:pPr>
            <w:r>
              <w:rPr>
                <w:sz w:val="20"/>
                <w:szCs w:val="20"/>
              </w:rPr>
              <w:t xml:space="preserve">All the remaining 89 under assessed real properties were already corrected. </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 xml:space="preserve">CTO is linked to the RPTAS, thus, they are updated with the corrections made. </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Conduct full inventory of records to be digitized.</w:t>
            </w:r>
          </w:p>
          <w:p>
            <w:pPr>
              <w:pStyle w:val="NoSpacing"/>
              <w:jc w:val="both"/>
              <w:rPr>
                <w:sz w:val="20"/>
                <w:szCs w:val="20"/>
              </w:rPr>
            </w:pPr>
            <w:r>
              <w:rPr>
                <w:sz w:val="20"/>
                <w:szCs w:val="20"/>
              </w:rPr>
              <w:t xml:space="preserve">Digitized map already in place subject to updates. </w:t>
            </w:r>
          </w:p>
          <w:p>
            <w:pPr>
              <w:pStyle w:val="NoSpacing"/>
              <w:jc w:val="both"/>
              <w:rPr>
                <w:sz w:val="20"/>
                <w:szCs w:val="20"/>
              </w:rPr>
            </w:pPr>
          </w:p>
          <w:p>
            <w:pPr>
              <w:pStyle w:val="NoSpacing"/>
              <w:jc w:val="both"/>
              <w:rPr>
                <w:sz w:val="20"/>
                <w:szCs w:val="20"/>
              </w:rPr>
            </w:pPr>
            <w:r>
              <w:rPr>
                <w:sz w:val="20"/>
                <w:szCs w:val="20"/>
              </w:rPr>
              <w:t xml:space="preserve">P51.3 million was provided in the CY 2021 Executive Budget for IT </w:t>
            </w:r>
            <w:r>
              <w:rPr>
                <w:sz w:val="20"/>
                <w:szCs w:val="20"/>
              </w:rPr>
              <w:lastRenderedPageBreak/>
              <w:t>equipment, manpower</w:t>
            </w:r>
            <w:r>
              <w:rPr>
                <w:sz w:val="20"/>
                <w:szCs w:val="20"/>
                <w:lang w:val="en-US"/>
              </w:rPr>
              <w:t xml:space="preserve"> and</w:t>
            </w:r>
            <w:r>
              <w:rPr>
                <w:sz w:val="20"/>
                <w:szCs w:val="20"/>
              </w:rPr>
              <w:t xml:space="preserve"> GIS Network </w:t>
            </w:r>
            <w:r>
              <w:rPr>
                <w:sz w:val="20"/>
                <w:szCs w:val="20"/>
                <w:lang w:val="en-US"/>
              </w:rPr>
              <w:t>and</w:t>
            </w:r>
            <w:r>
              <w:rPr>
                <w:sz w:val="20"/>
                <w:szCs w:val="20"/>
              </w:rPr>
              <w:t xml:space="preserve"> Database Management</w:t>
            </w:r>
            <w:r>
              <w:rPr>
                <w:sz w:val="20"/>
                <w:szCs w:val="20"/>
                <w:lang w:val="en-US"/>
              </w:rPr>
              <w:t>.</w:t>
            </w:r>
            <w:r>
              <w:rPr>
                <w:sz w:val="20"/>
                <w:szCs w:val="20"/>
              </w:rPr>
              <w:t xml:space="preserve"> </w:t>
            </w:r>
          </w:p>
          <w:p>
            <w:pPr>
              <w:pStyle w:val="NoSpacing"/>
              <w:jc w:val="both"/>
              <w:rPr>
                <w:sz w:val="20"/>
                <w:szCs w:val="20"/>
              </w:rPr>
            </w:pPr>
          </w:p>
          <w:p>
            <w:pPr>
              <w:pStyle w:val="NoSpacing"/>
              <w:jc w:val="both"/>
              <w:rPr>
                <w:sz w:val="20"/>
                <w:szCs w:val="20"/>
              </w:rPr>
            </w:pPr>
            <w:r>
              <w:rPr>
                <w:sz w:val="20"/>
                <w:szCs w:val="20"/>
                <w:lang w:val="en-US"/>
              </w:rPr>
              <w:t>Set up of</w:t>
            </w:r>
            <w:r>
              <w:rPr>
                <w:sz w:val="20"/>
                <w:szCs w:val="20"/>
              </w:rPr>
              <w:t xml:space="preserve"> RPT and SET Receivables</w:t>
            </w:r>
            <w:r>
              <w:rPr>
                <w:sz w:val="20"/>
                <w:szCs w:val="20"/>
                <w:lang w:val="en-US"/>
              </w:rPr>
              <w:t xml:space="preserve"> made </w:t>
            </w:r>
            <w:r>
              <w:rPr>
                <w:sz w:val="20"/>
                <w:szCs w:val="20"/>
              </w:rPr>
              <w:t>under JEV Nos. 100-20-01-0042 and 200-20-01-0016, respectively, both dated January 2020.</w:t>
            </w:r>
          </w:p>
          <w:p>
            <w:pPr>
              <w:pStyle w:val="NoSpacing"/>
              <w:jc w:val="both"/>
              <w:rPr>
                <w:sz w:val="20"/>
                <w:szCs w:val="20"/>
              </w:rPr>
            </w:pPr>
          </w:p>
          <w:p>
            <w:pPr>
              <w:pStyle w:val="NoSpacing"/>
              <w:jc w:val="both"/>
              <w:rPr>
                <w:sz w:val="20"/>
                <w:szCs w:val="20"/>
              </w:rPr>
            </w:pPr>
            <w:r>
              <w:rPr>
                <w:sz w:val="20"/>
                <w:szCs w:val="20"/>
              </w:rPr>
              <w:t>The assessment of the 670 RPUs were already corrected.</w:t>
            </w:r>
          </w:p>
          <w:p>
            <w:pPr>
              <w:pStyle w:val="NoSpacing"/>
              <w:jc w:val="both"/>
              <w:rPr>
                <w:sz w:val="20"/>
                <w:szCs w:val="20"/>
              </w:rPr>
            </w:pPr>
          </w:p>
          <w:p>
            <w:pPr>
              <w:pStyle w:val="NoSpacing"/>
              <w:jc w:val="both"/>
              <w:rPr>
                <w:sz w:val="20"/>
                <w:szCs w:val="20"/>
                <w:lang w:val="en-US"/>
              </w:rPr>
            </w:pPr>
            <w:r>
              <w:rPr>
                <w:sz w:val="20"/>
                <w:szCs w:val="20"/>
              </w:rPr>
              <w:t>Ordinance No. 8672 was approved on 11/09/2020 amending certain provisions of City Ordinance No. 8331</w:t>
            </w:r>
            <w:r>
              <w:rPr>
                <w:sz w:val="20"/>
                <w:szCs w:val="20"/>
                <w:lang w:val="en-US"/>
              </w:rPr>
              <w:t>.</w:t>
            </w:r>
          </w:p>
          <w:p>
            <w:pPr>
              <w:pStyle w:val="NoSpacing"/>
              <w:jc w:val="both"/>
              <w:rPr>
                <w:sz w:val="20"/>
                <w:szCs w:val="20"/>
              </w:rPr>
            </w:pPr>
          </w:p>
          <w:p>
            <w:pPr>
              <w:spacing w:after="0" w:line="240" w:lineRule="auto"/>
              <w:jc w:val="both"/>
              <w:rPr>
                <w:sz w:val="20"/>
                <w:szCs w:val="20"/>
              </w:rPr>
            </w:pPr>
            <w:r>
              <w:rPr>
                <w:sz w:val="20"/>
                <w:szCs w:val="20"/>
              </w:rPr>
              <w:t xml:space="preserve">The OIC CTO in her letter dated 11/09/2020 referred to the OIC </w:t>
            </w:r>
            <w:r>
              <w:rPr>
                <w:sz w:val="20"/>
                <w:szCs w:val="20"/>
                <w:lang w:val="en-US"/>
              </w:rPr>
              <w:t>DA</w:t>
            </w:r>
            <w:r>
              <w:rPr>
                <w:sz w:val="20"/>
                <w:szCs w:val="20"/>
              </w:rPr>
              <w:t xml:space="preserve"> the report on the status of Notice of Delinquency not </w:t>
            </w:r>
            <w:r>
              <w:rPr>
                <w:sz w:val="20"/>
                <w:szCs w:val="20"/>
                <w:lang w:val="en-US"/>
              </w:rPr>
              <w:t xml:space="preserve">yet </w:t>
            </w:r>
            <w:r>
              <w:rPr>
                <w:sz w:val="20"/>
                <w:szCs w:val="20"/>
              </w:rPr>
              <w:t xml:space="preserve">served to delinquent </w:t>
            </w:r>
            <w:r>
              <w:rPr>
                <w:sz w:val="20"/>
                <w:szCs w:val="20"/>
                <w:lang w:val="en-US"/>
              </w:rPr>
              <w:t xml:space="preserve">owners </w:t>
            </w:r>
            <w:r>
              <w:rPr>
                <w:sz w:val="20"/>
                <w:szCs w:val="20"/>
              </w:rPr>
              <w:t xml:space="preserve">for </w:t>
            </w:r>
            <w:r>
              <w:rPr>
                <w:sz w:val="20"/>
                <w:szCs w:val="20"/>
                <w:lang w:val="en-US"/>
              </w:rPr>
              <w:t xml:space="preserve">its </w:t>
            </w:r>
            <w:r>
              <w:rPr>
                <w:sz w:val="20"/>
                <w:szCs w:val="20"/>
              </w:rPr>
              <w:t xml:space="preserve">action. </w:t>
            </w:r>
          </w:p>
          <w:p>
            <w:pPr>
              <w:pStyle w:val="NoSpacing"/>
              <w:jc w:val="both"/>
              <w:rPr>
                <w:sz w:val="20"/>
                <w:szCs w:val="20"/>
              </w:rPr>
            </w:pPr>
          </w:p>
          <w:p>
            <w:pPr>
              <w:pStyle w:val="NoSpacing"/>
              <w:jc w:val="both"/>
              <w:rPr>
                <w:sz w:val="20"/>
                <w:szCs w:val="20"/>
              </w:rPr>
            </w:pPr>
            <w:r>
              <w:rPr>
                <w:sz w:val="20"/>
                <w:szCs w:val="20"/>
              </w:rPr>
              <w:t>The OIC DA, in a letter dated 29</w:t>
            </w:r>
            <w:r>
              <w:rPr>
                <w:sz w:val="20"/>
                <w:szCs w:val="20"/>
                <w:lang w:val="en-US"/>
              </w:rPr>
              <w:t>/09/</w:t>
            </w:r>
            <w:r>
              <w:rPr>
                <w:sz w:val="20"/>
                <w:szCs w:val="20"/>
              </w:rPr>
              <w:t xml:space="preserve">2020 requested CTO for </w:t>
            </w:r>
            <w:r>
              <w:rPr>
                <w:sz w:val="20"/>
                <w:szCs w:val="20"/>
                <w:lang w:val="en-US"/>
              </w:rPr>
              <w:t xml:space="preserve">the </w:t>
            </w:r>
            <w:r>
              <w:rPr>
                <w:sz w:val="20"/>
                <w:szCs w:val="20"/>
              </w:rPr>
              <w:t xml:space="preserve">updated Certified List of Delinquencies to help in the cleansing of real </w:t>
            </w:r>
            <w:r>
              <w:rPr>
                <w:sz w:val="20"/>
                <w:szCs w:val="20"/>
              </w:rPr>
              <w:lastRenderedPageBreak/>
              <w:t>property records by looking into the tax delinquencies which were</w:t>
            </w:r>
            <w:r>
              <w:rPr>
                <w:sz w:val="20"/>
                <w:szCs w:val="20"/>
                <w:lang w:val="en-US"/>
              </w:rPr>
              <w:t xml:space="preserve"> long</w:t>
            </w:r>
            <w:r>
              <w:rPr>
                <w:sz w:val="20"/>
                <w:szCs w:val="20"/>
              </w:rPr>
              <w:t xml:space="preserve"> inactive</w:t>
            </w:r>
            <w:r>
              <w:rPr>
                <w:sz w:val="20"/>
                <w:szCs w:val="20"/>
                <w:lang w:val="en-US"/>
              </w:rPr>
              <w:t>.</w:t>
            </w:r>
          </w:p>
        </w:tc>
        <w:tc>
          <w:tcPr>
            <w:tcW w:w="1872" w:type="dxa"/>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Verification with the CTO showed that in CY 2020, the City entered into Staggered Agreements with 106 delinquent taxpayers for the staggered payments of delinquent taxes totaling P16.319 million.</w:t>
            </w:r>
          </w:p>
        </w:tc>
      </w:tr>
      <w:tr>
        <w:trPr>
          <w:trHeight w:val="1340"/>
        </w:trPr>
        <w:tc>
          <w:tcPr>
            <w:tcW w:w="1260" w:type="dxa"/>
            <w:tcBorders>
              <w:bottom w:val="single" w:sz="4" w:space="0" w:color="auto"/>
            </w:tcBorders>
          </w:tcPr>
          <w:p>
            <w:pPr>
              <w:spacing w:after="0" w:line="240" w:lineRule="auto"/>
              <w:jc w:val="center"/>
              <w:rPr>
                <w:sz w:val="20"/>
                <w:szCs w:val="20"/>
              </w:rPr>
            </w:pPr>
            <w:r>
              <w:rPr>
                <w:sz w:val="20"/>
                <w:szCs w:val="20"/>
              </w:rPr>
              <w:lastRenderedPageBreak/>
              <w:t>Observation No. 10,</w:t>
            </w:r>
          </w:p>
          <w:p>
            <w:pPr>
              <w:spacing w:after="0" w:line="240" w:lineRule="auto"/>
              <w:jc w:val="center"/>
              <w:rPr>
                <w:sz w:val="20"/>
                <w:szCs w:val="20"/>
                <w:lang w:val="en-US"/>
              </w:rPr>
            </w:pPr>
            <w:r>
              <w:rPr>
                <w:sz w:val="20"/>
                <w:szCs w:val="20"/>
              </w:rPr>
              <w:t>Pages 97-99</w:t>
            </w:r>
          </w:p>
          <w:p>
            <w:pPr>
              <w:pStyle w:val="NoSpacing"/>
              <w:jc w:val="center"/>
              <w:rPr>
                <w:sz w:val="20"/>
                <w:szCs w:val="20"/>
              </w:rPr>
            </w:pPr>
          </w:p>
        </w:tc>
        <w:tc>
          <w:tcPr>
            <w:tcW w:w="3330" w:type="dxa"/>
            <w:tcBorders>
              <w:bottom w:val="single" w:sz="4" w:space="0" w:color="auto"/>
            </w:tcBorders>
          </w:tcPr>
          <w:p>
            <w:pPr>
              <w:numPr>
                <w:ilvl w:val="0"/>
                <w:numId w:val="1"/>
              </w:numPr>
              <w:spacing w:after="0" w:line="240" w:lineRule="auto"/>
              <w:ind w:left="338"/>
              <w:jc w:val="both"/>
              <w:rPr>
                <w:sz w:val="20"/>
                <w:szCs w:val="20"/>
                <w:lang w:val="en-US"/>
              </w:rPr>
            </w:pPr>
            <w:r>
              <w:rPr>
                <w:sz w:val="20"/>
                <w:szCs w:val="20"/>
              </w:rPr>
              <w:t>The Joint Venture Agreements (JVAs) do not have certain provisions prescribed in the City’s Joint Venture Ordinance (JVO) which are vital to enforcing joint venture obligations and accountability. Moreover, the City failed to collect its income share from the concerned Joint Ventures (JV) amounting to P14.314 million.</w:t>
            </w:r>
          </w:p>
          <w:p>
            <w:pPr>
              <w:spacing w:after="0" w:line="240" w:lineRule="auto"/>
              <w:ind w:left="338"/>
              <w:jc w:val="both"/>
              <w:rPr>
                <w:sz w:val="20"/>
                <w:szCs w:val="20"/>
                <w:lang w:val="en-US"/>
              </w:rPr>
            </w:pPr>
          </w:p>
          <w:p>
            <w:pPr>
              <w:spacing w:after="0" w:line="240" w:lineRule="auto"/>
              <w:ind w:left="338"/>
              <w:jc w:val="both"/>
              <w:rPr>
                <w:sz w:val="20"/>
                <w:szCs w:val="20"/>
              </w:rPr>
            </w:pPr>
            <w:r>
              <w:rPr>
                <w:sz w:val="20"/>
                <w:szCs w:val="20"/>
              </w:rPr>
              <w:t>We recommended that Management:</w:t>
            </w:r>
          </w:p>
          <w:p>
            <w:pPr>
              <w:spacing w:after="0" w:line="240" w:lineRule="auto"/>
              <w:ind w:left="338"/>
              <w:jc w:val="both"/>
              <w:rPr>
                <w:sz w:val="20"/>
                <w:szCs w:val="20"/>
              </w:rPr>
            </w:pPr>
          </w:p>
          <w:p>
            <w:pPr>
              <w:numPr>
                <w:ilvl w:val="0"/>
                <w:numId w:val="10"/>
              </w:numPr>
              <w:spacing w:after="0" w:line="240" w:lineRule="auto"/>
              <w:ind w:left="609" w:hanging="271"/>
              <w:jc w:val="both"/>
              <w:rPr>
                <w:sz w:val="20"/>
                <w:szCs w:val="20"/>
                <w:lang w:val="en-US"/>
              </w:rPr>
            </w:pPr>
            <w:r>
              <w:rPr>
                <w:sz w:val="20"/>
                <w:szCs w:val="20"/>
              </w:rPr>
              <w:t>Work with the JV partners in coming up with a JVA addendum or similar binding document that will address the deficiencies in the JVAs and, prospectively, ensure that any JVA complies fully with th</w:t>
            </w:r>
            <w:r>
              <w:rPr>
                <w:sz w:val="20"/>
                <w:szCs w:val="20"/>
                <w:lang w:val="en-US"/>
              </w:rPr>
              <w:t>is</w:t>
            </w:r>
            <w:r>
              <w:rPr>
                <w:sz w:val="20"/>
                <w:szCs w:val="20"/>
              </w:rPr>
              <w:t xml:space="preserve"> JVO; and</w:t>
            </w:r>
          </w:p>
          <w:p>
            <w:pPr>
              <w:spacing w:after="0" w:line="240" w:lineRule="auto"/>
              <w:ind w:left="609"/>
              <w:jc w:val="both"/>
              <w:rPr>
                <w:sz w:val="20"/>
                <w:szCs w:val="20"/>
                <w:lang w:val="en-US"/>
              </w:rPr>
            </w:pPr>
          </w:p>
          <w:p>
            <w:pPr>
              <w:spacing w:after="0" w:line="240" w:lineRule="auto"/>
              <w:ind w:left="609"/>
              <w:jc w:val="both"/>
              <w:rPr>
                <w:sz w:val="20"/>
                <w:szCs w:val="20"/>
                <w:lang w:val="en-US"/>
              </w:rPr>
            </w:pPr>
          </w:p>
          <w:p>
            <w:pPr>
              <w:numPr>
                <w:ilvl w:val="0"/>
                <w:numId w:val="10"/>
              </w:numPr>
              <w:spacing w:after="0" w:line="240" w:lineRule="auto"/>
              <w:ind w:left="609" w:hanging="271"/>
              <w:jc w:val="both"/>
              <w:rPr>
                <w:sz w:val="20"/>
                <w:szCs w:val="20"/>
                <w:lang w:val="en-US"/>
              </w:rPr>
            </w:pPr>
            <w:r>
              <w:rPr>
                <w:sz w:val="20"/>
                <w:szCs w:val="20"/>
              </w:rPr>
              <w:t>Collect from the JVs the full City share in income as of 31 December 2019.</w:t>
            </w:r>
          </w:p>
          <w:p>
            <w:pPr>
              <w:pStyle w:val="ListParagraph"/>
              <w:widowControl w:val="0"/>
              <w:overflowPunct w:val="0"/>
              <w:autoSpaceDE w:val="0"/>
              <w:autoSpaceDN w:val="0"/>
              <w:adjustRightInd w:val="0"/>
              <w:ind w:left="360"/>
              <w:jc w:val="both"/>
              <w:rPr>
                <w:bCs/>
                <w:iCs/>
                <w:sz w:val="20"/>
                <w:szCs w:val="20"/>
              </w:rPr>
            </w:pPr>
          </w:p>
        </w:tc>
        <w:tc>
          <w:tcPr>
            <w:tcW w:w="1643" w:type="dxa"/>
            <w:tcBorders>
              <w:bottom w:val="single" w:sz="4" w:space="0" w:color="auto"/>
            </w:tcBorders>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Not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r>
              <w:rPr>
                <w:sz w:val="20"/>
                <w:szCs w:val="20"/>
              </w:rPr>
              <w:t>Partially Implemented</w:t>
            </w:r>
          </w:p>
          <w:p>
            <w:pPr>
              <w:pStyle w:val="NoSpacing"/>
              <w:jc w:val="center"/>
              <w:rPr>
                <w:sz w:val="20"/>
                <w:szCs w:val="20"/>
              </w:rPr>
            </w:pPr>
          </w:p>
        </w:tc>
        <w:tc>
          <w:tcPr>
            <w:tcW w:w="1620" w:type="dxa"/>
            <w:tcBorders>
              <w:bottom w:val="single" w:sz="4" w:space="0" w:color="auto"/>
            </w:tcBorders>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The Management has no reply on the recommendation</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lang w:val="en-US"/>
              </w:rPr>
              <w:t>T</w:t>
            </w:r>
            <w:r>
              <w:rPr>
                <w:sz w:val="20"/>
                <w:szCs w:val="20"/>
              </w:rPr>
              <w:t>he City Administrator</w:t>
            </w:r>
            <w:r>
              <w:rPr>
                <w:sz w:val="20"/>
                <w:szCs w:val="20"/>
                <w:lang w:val="en-US"/>
              </w:rPr>
              <w:t xml:space="preserve"> sent</w:t>
            </w:r>
            <w:r>
              <w:rPr>
                <w:sz w:val="20"/>
                <w:szCs w:val="20"/>
              </w:rPr>
              <w:t xml:space="preserve"> Letters </w:t>
            </w:r>
            <w:r>
              <w:rPr>
                <w:sz w:val="20"/>
                <w:szCs w:val="20"/>
                <w:lang w:val="en-US"/>
              </w:rPr>
              <w:t>to</w:t>
            </w:r>
            <w:r>
              <w:rPr>
                <w:sz w:val="20"/>
                <w:szCs w:val="20"/>
              </w:rPr>
              <w:t xml:space="preserve"> the JV Partners on 14/12/2020 to update their payments. </w:t>
            </w:r>
            <w:r>
              <w:rPr>
                <w:sz w:val="20"/>
                <w:szCs w:val="20"/>
                <w:lang w:val="en-US"/>
              </w:rPr>
              <w:t xml:space="preserve">The </w:t>
            </w:r>
            <w:r>
              <w:rPr>
                <w:sz w:val="20"/>
                <w:szCs w:val="20"/>
              </w:rPr>
              <w:t xml:space="preserve">XRC requested waiver of penalties which the City denied </w:t>
            </w:r>
            <w:r>
              <w:rPr>
                <w:sz w:val="20"/>
                <w:szCs w:val="20"/>
                <w:lang w:val="en-US"/>
              </w:rPr>
              <w:t>i</w:t>
            </w:r>
            <w:r>
              <w:rPr>
                <w:sz w:val="20"/>
                <w:szCs w:val="20"/>
              </w:rPr>
              <w:t>n its letter on 07/05/2021</w:t>
            </w:r>
            <w:r>
              <w:rPr>
                <w:sz w:val="20"/>
                <w:szCs w:val="20"/>
                <w:lang w:val="en-US"/>
              </w:rPr>
              <w:t>. Thus</w:t>
            </w:r>
            <w:r>
              <w:rPr>
                <w:sz w:val="20"/>
                <w:szCs w:val="20"/>
              </w:rPr>
              <w:t>, CGSO issued SOAs on 11/05/2021</w:t>
            </w:r>
            <w:r>
              <w:rPr>
                <w:sz w:val="20"/>
                <w:szCs w:val="20"/>
                <w:lang w:val="en-US"/>
              </w:rPr>
              <w:t xml:space="preserve"> </w:t>
            </w:r>
            <w:r>
              <w:rPr>
                <w:sz w:val="20"/>
                <w:szCs w:val="20"/>
              </w:rPr>
              <w:t xml:space="preserve">for the unpaid overdue receivables. As to Bagong Maynila Entrepreneur </w:t>
            </w:r>
            <w:r>
              <w:rPr>
                <w:sz w:val="20"/>
                <w:szCs w:val="20"/>
              </w:rPr>
              <w:lastRenderedPageBreak/>
              <w:t xml:space="preserve">Development Corp., </w:t>
            </w:r>
            <w:r>
              <w:rPr>
                <w:sz w:val="20"/>
                <w:szCs w:val="20"/>
                <w:lang w:val="en-US"/>
              </w:rPr>
              <w:t xml:space="preserve">per </w:t>
            </w:r>
            <w:r>
              <w:rPr>
                <w:sz w:val="20"/>
                <w:szCs w:val="20"/>
              </w:rPr>
              <w:t>CGSO report dated 18/05/2021</w:t>
            </w:r>
            <w:r>
              <w:rPr>
                <w:sz w:val="20"/>
                <w:szCs w:val="20"/>
                <w:lang w:val="en-US"/>
              </w:rPr>
              <w:t xml:space="preserve">, </w:t>
            </w:r>
            <w:r>
              <w:rPr>
                <w:sz w:val="20"/>
                <w:szCs w:val="20"/>
              </w:rPr>
              <w:t xml:space="preserve">the JVA was terminated </w:t>
            </w:r>
            <w:r>
              <w:rPr>
                <w:sz w:val="20"/>
                <w:szCs w:val="20"/>
                <w:lang w:val="en-US"/>
              </w:rPr>
              <w:t xml:space="preserve">due to </w:t>
            </w:r>
            <w:r>
              <w:rPr>
                <w:sz w:val="20"/>
                <w:szCs w:val="20"/>
              </w:rPr>
              <w:t>the sale of the property for the NLEX-SLEX Connector Road, pursuant to RA No. 10752.</w:t>
            </w:r>
          </w:p>
          <w:p>
            <w:pPr>
              <w:pStyle w:val="NoSpacing"/>
              <w:jc w:val="both"/>
              <w:rPr>
                <w:sz w:val="20"/>
                <w:szCs w:val="20"/>
              </w:rPr>
            </w:pPr>
          </w:p>
          <w:p>
            <w:pPr>
              <w:pStyle w:val="NoSpacing"/>
              <w:jc w:val="both"/>
              <w:rPr>
                <w:sz w:val="20"/>
                <w:szCs w:val="20"/>
              </w:rPr>
            </w:pPr>
          </w:p>
          <w:p>
            <w:pPr>
              <w:pStyle w:val="NoSpacing"/>
              <w:jc w:val="both"/>
              <w:rPr>
                <w:sz w:val="20"/>
                <w:szCs w:val="20"/>
              </w:rPr>
            </w:pPr>
          </w:p>
        </w:tc>
        <w:tc>
          <w:tcPr>
            <w:tcW w:w="1872" w:type="dxa"/>
            <w:tcBorders>
              <w:bottom w:val="single" w:sz="4" w:space="0" w:color="auto"/>
            </w:tcBorders>
          </w:tcPr>
          <w:p>
            <w:pPr>
              <w:spacing w:after="0" w:line="240" w:lineRule="auto"/>
              <w:jc w:val="both"/>
              <w:rPr>
                <w:color w:val="000000"/>
                <w:sz w:val="20"/>
                <w:szCs w:val="20"/>
              </w:rPr>
            </w:pPr>
          </w:p>
          <w:p>
            <w:pPr>
              <w:spacing w:after="0" w:line="240" w:lineRule="auto"/>
              <w:jc w:val="both"/>
              <w:rPr>
                <w:color w:val="000000"/>
                <w:sz w:val="20"/>
                <w:szCs w:val="20"/>
              </w:rPr>
            </w:pPr>
          </w:p>
          <w:p>
            <w:pPr>
              <w:spacing w:after="0" w:line="240" w:lineRule="auto"/>
              <w:jc w:val="both"/>
              <w:rPr>
                <w:color w:val="000000"/>
                <w:sz w:val="20"/>
                <w:szCs w:val="20"/>
              </w:rPr>
            </w:pPr>
          </w:p>
          <w:p>
            <w:pPr>
              <w:spacing w:after="0" w:line="240" w:lineRule="auto"/>
              <w:jc w:val="both"/>
              <w:rPr>
                <w:color w:val="000000"/>
                <w:sz w:val="20"/>
                <w:szCs w:val="20"/>
              </w:rPr>
            </w:pPr>
          </w:p>
          <w:p>
            <w:pPr>
              <w:spacing w:after="0" w:line="240" w:lineRule="auto"/>
              <w:jc w:val="both"/>
              <w:rPr>
                <w:color w:val="000000"/>
                <w:sz w:val="20"/>
                <w:szCs w:val="20"/>
              </w:rPr>
            </w:pPr>
          </w:p>
          <w:p>
            <w:pPr>
              <w:spacing w:after="0" w:line="240" w:lineRule="auto"/>
              <w:jc w:val="both"/>
              <w:rPr>
                <w:color w:val="000000"/>
                <w:sz w:val="20"/>
                <w:szCs w:val="20"/>
              </w:rPr>
            </w:pPr>
          </w:p>
          <w:p>
            <w:pPr>
              <w:spacing w:after="0" w:line="240" w:lineRule="auto"/>
              <w:jc w:val="both"/>
              <w:rPr>
                <w:color w:val="000000"/>
                <w:sz w:val="20"/>
                <w:szCs w:val="20"/>
              </w:rPr>
            </w:pPr>
          </w:p>
          <w:p>
            <w:pPr>
              <w:spacing w:after="0" w:line="240" w:lineRule="auto"/>
              <w:jc w:val="both"/>
              <w:rPr>
                <w:color w:val="000000"/>
                <w:sz w:val="20"/>
                <w:szCs w:val="20"/>
              </w:rPr>
            </w:pPr>
          </w:p>
          <w:p>
            <w:pPr>
              <w:spacing w:after="0" w:line="240" w:lineRule="auto"/>
              <w:jc w:val="both"/>
              <w:rPr>
                <w:color w:val="000000"/>
                <w:sz w:val="20"/>
                <w:szCs w:val="20"/>
              </w:rPr>
            </w:pPr>
          </w:p>
          <w:p>
            <w:pPr>
              <w:spacing w:after="0" w:line="240" w:lineRule="auto"/>
              <w:jc w:val="both"/>
              <w:rPr>
                <w:color w:val="000000"/>
                <w:sz w:val="20"/>
                <w:szCs w:val="20"/>
              </w:rPr>
            </w:pPr>
          </w:p>
          <w:p>
            <w:pPr>
              <w:spacing w:after="0" w:line="240" w:lineRule="auto"/>
              <w:jc w:val="both"/>
              <w:rPr>
                <w:color w:val="000000"/>
                <w:sz w:val="20"/>
                <w:szCs w:val="20"/>
              </w:rPr>
            </w:pPr>
          </w:p>
          <w:p>
            <w:pPr>
              <w:spacing w:after="0" w:line="240" w:lineRule="auto"/>
              <w:jc w:val="both"/>
              <w:rPr>
                <w:color w:val="000000"/>
                <w:sz w:val="20"/>
                <w:szCs w:val="20"/>
              </w:rPr>
            </w:pPr>
          </w:p>
          <w:p>
            <w:pPr>
              <w:spacing w:after="0" w:line="240" w:lineRule="auto"/>
              <w:jc w:val="both"/>
              <w:rPr>
                <w:color w:val="000000"/>
                <w:sz w:val="20"/>
                <w:szCs w:val="20"/>
              </w:rPr>
            </w:pPr>
          </w:p>
          <w:p>
            <w:pPr>
              <w:spacing w:after="0" w:line="240" w:lineRule="auto"/>
              <w:jc w:val="both"/>
              <w:rPr>
                <w:color w:val="000000"/>
                <w:sz w:val="20"/>
                <w:szCs w:val="20"/>
              </w:rPr>
            </w:pPr>
          </w:p>
          <w:p>
            <w:pPr>
              <w:spacing w:after="0" w:line="240" w:lineRule="auto"/>
              <w:jc w:val="both"/>
              <w:rPr>
                <w:color w:val="000000"/>
                <w:sz w:val="20"/>
                <w:szCs w:val="20"/>
              </w:rPr>
            </w:pPr>
          </w:p>
          <w:p>
            <w:pPr>
              <w:pStyle w:val="NoSpacing"/>
              <w:jc w:val="both"/>
              <w:rPr>
                <w:color w:val="000000"/>
                <w:sz w:val="20"/>
                <w:szCs w:val="20"/>
              </w:rPr>
            </w:pPr>
            <w:r>
              <w:rPr>
                <w:color w:val="000000"/>
                <w:sz w:val="20"/>
                <w:szCs w:val="20"/>
              </w:rPr>
              <w:t>No JVA addendum was executed as of to date.</w:t>
            </w:r>
          </w:p>
          <w:p>
            <w:pPr>
              <w:pStyle w:val="NoSpacing"/>
              <w:jc w:val="both"/>
              <w:rPr>
                <w:color w:val="000000"/>
                <w:sz w:val="20"/>
                <w:szCs w:val="20"/>
              </w:rPr>
            </w:pPr>
          </w:p>
          <w:p>
            <w:pPr>
              <w:pStyle w:val="NoSpacing"/>
              <w:jc w:val="both"/>
              <w:rPr>
                <w:color w:val="000000"/>
                <w:sz w:val="20"/>
                <w:szCs w:val="20"/>
              </w:rPr>
            </w:pPr>
          </w:p>
          <w:p>
            <w:pPr>
              <w:pStyle w:val="NoSpacing"/>
              <w:jc w:val="both"/>
              <w:rPr>
                <w:color w:val="000000"/>
                <w:sz w:val="20"/>
                <w:szCs w:val="20"/>
              </w:rPr>
            </w:pPr>
          </w:p>
          <w:p>
            <w:pPr>
              <w:pStyle w:val="NoSpacing"/>
              <w:jc w:val="both"/>
              <w:rPr>
                <w:color w:val="000000"/>
                <w:sz w:val="20"/>
                <w:szCs w:val="20"/>
              </w:rPr>
            </w:pPr>
          </w:p>
          <w:p>
            <w:pPr>
              <w:pStyle w:val="NoSpacing"/>
              <w:jc w:val="both"/>
              <w:rPr>
                <w:color w:val="000000"/>
                <w:sz w:val="20"/>
                <w:szCs w:val="20"/>
              </w:rPr>
            </w:pPr>
          </w:p>
          <w:p>
            <w:pPr>
              <w:pStyle w:val="NoSpacing"/>
              <w:jc w:val="both"/>
              <w:rPr>
                <w:sz w:val="20"/>
                <w:szCs w:val="20"/>
              </w:rPr>
            </w:pPr>
          </w:p>
          <w:p>
            <w:pPr>
              <w:pStyle w:val="NoSpacing"/>
              <w:jc w:val="both"/>
              <w:rPr>
                <w:sz w:val="20"/>
                <w:szCs w:val="20"/>
              </w:rPr>
            </w:pPr>
          </w:p>
          <w:p>
            <w:pPr>
              <w:spacing w:after="0" w:line="240" w:lineRule="auto"/>
              <w:jc w:val="both"/>
              <w:rPr>
                <w:color w:val="000000"/>
                <w:sz w:val="20"/>
                <w:szCs w:val="20"/>
              </w:rPr>
            </w:pPr>
            <w:r>
              <w:rPr>
                <w:color w:val="000000"/>
                <w:sz w:val="20"/>
                <w:szCs w:val="20"/>
              </w:rPr>
              <w:t>Marketlife paid P4.290 million with OR No. 9169092 on 11/01/2021.</w:t>
            </w:r>
            <w:r>
              <w:rPr>
                <w:color w:val="000000"/>
                <w:sz w:val="20"/>
                <w:szCs w:val="20"/>
              </w:rPr>
              <w:br/>
            </w:r>
          </w:p>
          <w:p>
            <w:pPr>
              <w:pStyle w:val="NoSpacing"/>
              <w:jc w:val="both"/>
              <w:rPr>
                <w:sz w:val="20"/>
                <w:szCs w:val="20"/>
              </w:rPr>
            </w:pPr>
          </w:p>
        </w:tc>
      </w:tr>
      <w:tr>
        <w:trPr>
          <w:trHeight w:val="6209"/>
        </w:trPr>
        <w:tc>
          <w:tcPr>
            <w:tcW w:w="1260" w:type="dxa"/>
          </w:tcPr>
          <w:p>
            <w:pPr>
              <w:spacing w:after="0" w:line="240" w:lineRule="auto"/>
              <w:jc w:val="center"/>
              <w:rPr>
                <w:sz w:val="20"/>
                <w:szCs w:val="20"/>
              </w:rPr>
            </w:pPr>
            <w:r>
              <w:rPr>
                <w:sz w:val="20"/>
                <w:szCs w:val="20"/>
              </w:rPr>
              <w:t>Observation No. 11,</w:t>
            </w:r>
          </w:p>
          <w:p>
            <w:pPr>
              <w:spacing w:after="0" w:line="240" w:lineRule="auto"/>
              <w:jc w:val="center"/>
              <w:rPr>
                <w:sz w:val="20"/>
                <w:szCs w:val="20"/>
                <w:lang w:val="en-US"/>
              </w:rPr>
            </w:pPr>
            <w:r>
              <w:rPr>
                <w:sz w:val="20"/>
                <w:szCs w:val="20"/>
              </w:rPr>
              <w:t>Pages 99-101</w:t>
            </w:r>
          </w:p>
          <w:p>
            <w:pPr>
              <w:pStyle w:val="NoSpacing"/>
              <w:jc w:val="center"/>
              <w:rPr>
                <w:sz w:val="20"/>
                <w:szCs w:val="20"/>
              </w:rPr>
            </w:pPr>
          </w:p>
        </w:tc>
        <w:tc>
          <w:tcPr>
            <w:tcW w:w="3330" w:type="dxa"/>
            <w:tcBorders>
              <w:bottom w:val="single" w:sz="4" w:space="0" w:color="auto"/>
            </w:tcBorders>
          </w:tcPr>
          <w:p>
            <w:pPr>
              <w:numPr>
                <w:ilvl w:val="0"/>
                <w:numId w:val="1"/>
              </w:numPr>
              <w:spacing w:after="0" w:line="240" w:lineRule="auto"/>
              <w:ind w:left="338"/>
              <w:jc w:val="both"/>
              <w:rPr>
                <w:sz w:val="20"/>
                <w:szCs w:val="20"/>
                <w:lang w:val="en-US"/>
              </w:rPr>
            </w:pPr>
            <w:r>
              <w:rPr>
                <w:sz w:val="20"/>
                <w:szCs w:val="20"/>
              </w:rPr>
              <w:t>The City has not yet deployed the E-Trikes to the intended beneficiaries but managed to make use of them to deliver emergency services during the COVID-19 pandemic rather than just leaving them idle and depreciate.</w:t>
            </w:r>
          </w:p>
          <w:p>
            <w:pPr>
              <w:spacing w:after="0" w:line="240" w:lineRule="auto"/>
              <w:ind w:left="338"/>
              <w:jc w:val="both"/>
              <w:rPr>
                <w:sz w:val="20"/>
                <w:szCs w:val="20"/>
              </w:rPr>
            </w:pPr>
          </w:p>
          <w:p>
            <w:pPr>
              <w:spacing w:after="0" w:line="240" w:lineRule="auto"/>
              <w:ind w:left="338"/>
              <w:jc w:val="both"/>
              <w:rPr>
                <w:sz w:val="20"/>
                <w:szCs w:val="20"/>
              </w:rPr>
            </w:pPr>
            <w:r>
              <w:rPr>
                <w:sz w:val="20"/>
                <w:szCs w:val="20"/>
              </w:rPr>
              <w:t>We recommended that Management:</w:t>
            </w:r>
          </w:p>
          <w:p>
            <w:pPr>
              <w:spacing w:after="0" w:line="240" w:lineRule="auto"/>
              <w:jc w:val="both"/>
              <w:rPr>
                <w:sz w:val="20"/>
                <w:szCs w:val="20"/>
                <w:lang w:val="en-US"/>
              </w:rPr>
            </w:pPr>
          </w:p>
          <w:p>
            <w:pPr>
              <w:numPr>
                <w:ilvl w:val="0"/>
                <w:numId w:val="11"/>
              </w:numPr>
              <w:spacing w:after="0" w:line="240" w:lineRule="auto"/>
              <w:ind w:left="609" w:hanging="249"/>
              <w:jc w:val="both"/>
              <w:rPr>
                <w:sz w:val="20"/>
                <w:szCs w:val="20"/>
                <w:lang w:val="en-US"/>
              </w:rPr>
            </w:pPr>
            <w:r>
              <w:rPr>
                <w:sz w:val="20"/>
                <w:szCs w:val="20"/>
              </w:rPr>
              <w:t>In accordance with the City’s obligation specified in the Deed of Donation, document fully the unintended benefits realized from using the E-Trike during COVID-19 pandemic and report them to the DOE; and</w:t>
            </w:r>
          </w:p>
          <w:p>
            <w:pPr>
              <w:spacing w:after="0" w:line="240" w:lineRule="auto"/>
              <w:ind w:left="609"/>
              <w:jc w:val="both"/>
              <w:rPr>
                <w:sz w:val="20"/>
                <w:szCs w:val="20"/>
                <w:lang w:val="en-US"/>
              </w:rPr>
            </w:pPr>
          </w:p>
          <w:p>
            <w:pPr>
              <w:numPr>
                <w:ilvl w:val="0"/>
                <w:numId w:val="11"/>
              </w:numPr>
              <w:spacing w:after="0" w:line="240" w:lineRule="auto"/>
              <w:ind w:left="609" w:hanging="249"/>
              <w:jc w:val="both"/>
              <w:rPr>
                <w:sz w:val="20"/>
                <w:szCs w:val="20"/>
                <w:lang w:val="en-US"/>
              </w:rPr>
            </w:pPr>
            <w:r>
              <w:rPr>
                <w:sz w:val="20"/>
                <w:szCs w:val="20"/>
              </w:rPr>
              <w:t>Fast-track the total deployment of the E-Trike to the intended beneficiaries once the pandemic emergency is over.</w:t>
            </w:r>
          </w:p>
          <w:p>
            <w:pPr>
              <w:pStyle w:val="ListParagraph"/>
              <w:widowControl w:val="0"/>
              <w:overflowPunct w:val="0"/>
              <w:autoSpaceDE w:val="0"/>
              <w:autoSpaceDN w:val="0"/>
              <w:adjustRightInd w:val="0"/>
              <w:ind w:left="360"/>
              <w:jc w:val="both"/>
              <w:rPr>
                <w:bCs/>
                <w:iCs/>
                <w:sz w:val="20"/>
                <w:szCs w:val="20"/>
              </w:rPr>
            </w:pPr>
          </w:p>
        </w:tc>
        <w:tc>
          <w:tcPr>
            <w:tcW w:w="1643" w:type="dxa"/>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Not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lang w:val="en-US"/>
              </w:rPr>
            </w:pPr>
            <w:r>
              <w:rPr>
                <w:sz w:val="20"/>
                <w:szCs w:val="20"/>
              </w:rPr>
              <w:t>Not Implemented</w:t>
            </w:r>
          </w:p>
          <w:p>
            <w:pPr>
              <w:pStyle w:val="NoSpacing"/>
              <w:jc w:val="center"/>
              <w:rPr>
                <w:sz w:val="20"/>
                <w:szCs w:val="20"/>
              </w:rPr>
            </w:pPr>
          </w:p>
        </w:tc>
        <w:tc>
          <w:tcPr>
            <w:tcW w:w="1620" w:type="dxa"/>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The OIC Manila Traffic and Parking Bureau (MTPB) has no reply on the recommendation</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 xml:space="preserve">The OIC MTPB </w:t>
            </w:r>
            <w:r>
              <w:rPr>
                <w:sz w:val="20"/>
                <w:szCs w:val="20"/>
                <w:lang w:val="en-US"/>
              </w:rPr>
              <w:t>directed</w:t>
            </w:r>
            <w:r>
              <w:rPr>
                <w:sz w:val="20"/>
                <w:szCs w:val="20"/>
              </w:rPr>
              <w:t xml:space="preserve"> the departments and offices to return the E-Trikes when pandemic is over, for its proper disposition. </w:t>
            </w:r>
          </w:p>
          <w:p>
            <w:pPr>
              <w:pStyle w:val="NoSpacing"/>
              <w:jc w:val="both"/>
              <w:rPr>
                <w:sz w:val="20"/>
                <w:szCs w:val="20"/>
              </w:rPr>
            </w:pPr>
          </w:p>
          <w:p>
            <w:pPr>
              <w:pStyle w:val="NoSpacing"/>
              <w:jc w:val="both"/>
              <w:rPr>
                <w:sz w:val="20"/>
                <w:szCs w:val="20"/>
              </w:rPr>
            </w:pPr>
          </w:p>
          <w:p>
            <w:pPr>
              <w:pStyle w:val="NoSpacing"/>
              <w:jc w:val="both"/>
              <w:rPr>
                <w:sz w:val="20"/>
                <w:szCs w:val="20"/>
              </w:rPr>
            </w:pPr>
          </w:p>
        </w:tc>
        <w:tc>
          <w:tcPr>
            <w:tcW w:w="1872" w:type="dxa"/>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 xml:space="preserve">The OIC MTPB has no reply on the recommendation. </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 xml:space="preserve">The E-Trikes are not yet deployed to the intended beneficiaries. </w:t>
            </w:r>
          </w:p>
        </w:tc>
      </w:tr>
      <w:tr>
        <w:trPr>
          <w:trHeight w:val="3910"/>
        </w:trPr>
        <w:tc>
          <w:tcPr>
            <w:tcW w:w="1260" w:type="dxa"/>
          </w:tcPr>
          <w:p>
            <w:pPr>
              <w:spacing w:after="0" w:line="240" w:lineRule="auto"/>
              <w:jc w:val="center"/>
              <w:rPr>
                <w:sz w:val="20"/>
                <w:szCs w:val="20"/>
              </w:rPr>
            </w:pPr>
            <w:r>
              <w:rPr>
                <w:sz w:val="20"/>
                <w:szCs w:val="20"/>
              </w:rPr>
              <w:lastRenderedPageBreak/>
              <w:t>Observation No. 12,</w:t>
            </w:r>
          </w:p>
          <w:p>
            <w:pPr>
              <w:spacing w:after="0" w:line="240" w:lineRule="auto"/>
              <w:jc w:val="center"/>
              <w:rPr>
                <w:sz w:val="20"/>
                <w:szCs w:val="20"/>
                <w:lang w:val="en-US"/>
              </w:rPr>
            </w:pPr>
            <w:r>
              <w:rPr>
                <w:sz w:val="20"/>
                <w:szCs w:val="20"/>
              </w:rPr>
              <w:t>Pages 101-104</w:t>
            </w:r>
          </w:p>
          <w:p>
            <w:pPr>
              <w:pStyle w:val="NoSpacing"/>
              <w:jc w:val="center"/>
              <w:rPr>
                <w:sz w:val="20"/>
                <w:szCs w:val="20"/>
              </w:rPr>
            </w:pPr>
          </w:p>
        </w:tc>
        <w:tc>
          <w:tcPr>
            <w:tcW w:w="3330" w:type="dxa"/>
          </w:tcPr>
          <w:p>
            <w:pPr>
              <w:numPr>
                <w:ilvl w:val="0"/>
                <w:numId w:val="1"/>
              </w:numPr>
              <w:spacing w:after="0" w:line="240" w:lineRule="auto"/>
              <w:ind w:left="338"/>
              <w:jc w:val="both"/>
              <w:rPr>
                <w:sz w:val="20"/>
                <w:szCs w:val="20"/>
                <w:lang w:val="en-US"/>
              </w:rPr>
            </w:pPr>
            <w:r>
              <w:rPr>
                <w:sz w:val="20"/>
                <w:szCs w:val="20"/>
              </w:rPr>
              <w:t xml:space="preserve">The City failed to implement 116 GAD program/projects/activities, establish the GAD database and pass the GAD Code which worked against addressing effectively GAD issues and concerns. </w:t>
            </w:r>
          </w:p>
          <w:p>
            <w:pPr>
              <w:spacing w:after="0" w:line="240" w:lineRule="auto"/>
              <w:ind w:left="338"/>
              <w:jc w:val="both"/>
              <w:rPr>
                <w:sz w:val="20"/>
                <w:szCs w:val="20"/>
                <w:lang w:val="en-US"/>
              </w:rPr>
            </w:pPr>
          </w:p>
          <w:p>
            <w:pPr>
              <w:spacing w:after="0" w:line="240" w:lineRule="auto"/>
              <w:ind w:left="346"/>
              <w:jc w:val="both"/>
              <w:rPr>
                <w:sz w:val="20"/>
                <w:szCs w:val="20"/>
                <w:lang w:val="en-US"/>
              </w:rPr>
            </w:pPr>
            <w:r>
              <w:rPr>
                <w:sz w:val="20"/>
                <w:szCs w:val="20"/>
              </w:rPr>
              <w:t>We recommended that Management require the GAD Focal Point System to implement a catch-up plan to implement the undelivered programs, projects and activities (PPAs) programmed in 2019; establish the requisite GAD database; and work on the passage of the GAD Code.</w:t>
            </w:r>
          </w:p>
          <w:p>
            <w:pPr>
              <w:pStyle w:val="ListParagraph"/>
              <w:widowControl w:val="0"/>
              <w:overflowPunct w:val="0"/>
              <w:autoSpaceDE w:val="0"/>
              <w:autoSpaceDN w:val="0"/>
              <w:adjustRightInd w:val="0"/>
              <w:ind w:left="360"/>
              <w:jc w:val="both"/>
              <w:rPr>
                <w:bCs/>
                <w:iCs/>
                <w:sz w:val="20"/>
                <w:szCs w:val="20"/>
              </w:rPr>
            </w:pPr>
          </w:p>
        </w:tc>
        <w:tc>
          <w:tcPr>
            <w:tcW w:w="1643" w:type="dxa"/>
          </w:tcPr>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rPr>
                <w:sz w:val="20"/>
                <w:szCs w:val="20"/>
              </w:rPr>
            </w:pPr>
          </w:p>
          <w:p>
            <w:pPr>
              <w:pStyle w:val="NoSpacing"/>
              <w:jc w:val="center"/>
              <w:rPr>
                <w:sz w:val="20"/>
                <w:szCs w:val="20"/>
              </w:rPr>
            </w:pPr>
          </w:p>
          <w:p>
            <w:pPr>
              <w:spacing w:after="0" w:line="240" w:lineRule="auto"/>
              <w:jc w:val="center"/>
              <w:rPr>
                <w:sz w:val="20"/>
                <w:szCs w:val="20"/>
              </w:rPr>
            </w:pPr>
            <w:r>
              <w:rPr>
                <w:sz w:val="20"/>
                <w:szCs w:val="20"/>
              </w:rPr>
              <w:t>Partially Implemented</w:t>
            </w:r>
          </w:p>
          <w:p>
            <w:pPr>
              <w:spacing w:after="0" w:line="240" w:lineRule="auto"/>
              <w:jc w:val="center"/>
              <w:rPr>
                <w:sz w:val="20"/>
                <w:szCs w:val="20"/>
              </w:rPr>
            </w:pPr>
          </w:p>
          <w:p>
            <w:pPr>
              <w:spacing w:after="0" w:line="240" w:lineRule="auto"/>
              <w:jc w:val="center"/>
              <w:rPr>
                <w:sz w:val="20"/>
                <w:szCs w:val="20"/>
                <w:lang w:val="en-US"/>
              </w:rPr>
            </w:pPr>
            <w:r>
              <w:rPr>
                <w:sz w:val="20"/>
                <w:szCs w:val="20"/>
                <w:lang w:val="en-US"/>
              </w:rPr>
              <w:t>Recommendation is reiterated (Finding No. 5, pp. 81-83)</w:t>
            </w:r>
          </w:p>
          <w:p>
            <w:pPr>
              <w:pStyle w:val="NoSpacing"/>
              <w:jc w:val="center"/>
              <w:rPr>
                <w:sz w:val="20"/>
                <w:szCs w:val="20"/>
              </w:rPr>
            </w:pPr>
          </w:p>
        </w:tc>
        <w:tc>
          <w:tcPr>
            <w:tcW w:w="1620" w:type="dxa"/>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 xml:space="preserve">The City Mayor signed the Ordinance No. 8681, providing for a City GAD Code on 10/11/2020. </w:t>
            </w:r>
          </w:p>
        </w:tc>
        <w:tc>
          <w:tcPr>
            <w:tcW w:w="1872" w:type="dxa"/>
          </w:tcPr>
          <w:p>
            <w:pPr>
              <w:spacing w:after="0" w:line="240" w:lineRule="auto"/>
              <w:jc w:val="both"/>
              <w:rPr>
                <w:sz w:val="20"/>
                <w:szCs w:val="20"/>
                <w:lang w:val="en-US"/>
              </w:rPr>
            </w:pPr>
          </w:p>
          <w:p>
            <w:pPr>
              <w:spacing w:after="0" w:line="240" w:lineRule="auto"/>
              <w:jc w:val="both"/>
              <w:rPr>
                <w:sz w:val="20"/>
                <w:szCs w:val="20"/>
                <w:lang w:val="en-US"/>
              </w:rPr>
            </w:pPr>
          </w:p>
          <w:p>
            <w:pPr>
              <w:spacing w:after="0" w:line="240" w:lineRule="auto"/>
              <w:jc w:val="both"/>
              <w:rPr>
                <w:sz w:val="20"/>
                <w:szCs w:val="20"/>
                <w:lang w:val="en-US"/>
              </w:rPr>
            </w:pPr>
          </w:p>
          <w:p>
            <w:pPr>
              <w:spacing w:after="0" w:line="240" w:lineRule="auto"/>
              <w:jc w:val="both"/>
              <w:rPr>
                <w:sz w:val="20"/>
                <w:szCs w:val="20"/>
                <w:lang w:val="en-US"/>
              </w:rPr>
            </w:pPr>
          </w:p>
          <w:p>
            <w:pPr>
              <w:spacing w:after="0" w:line="240" w:lineRule="auto"/>
              <w:jc w:val="both"/>
              <w:rPr>
                <w:sz w:val="20"/>
                <w:szCs w:val="20"/>
                <w:lang w:val="en-US"/>
              </w:rPr>
            </w:pPr>
          </w:p>
          <w:p>
            <w:pPr>
              <w:spacing w:after="0" w:line="240" w:lineRule="auto"/>
              <w:jc w:val="both"/>
              <w:rPr>
                <w:sz w:val="20"/>
                <w:szCs w:val="20"/>
                <w:lang w:val="en-US"/>
              </w:rPr>
            </w:pPr>
          </w:p>
          <w:p>
            <w:pPr>
              <w:spacing w:after="0" w:line="240" w:lineRule="auto"/>
              <w:jc w:val="both"/>
              <w:rPr>
                <w:sz w:val="20"/>
                <w:szCs w:val="20"/>
                <w:lang w:val="en-US"/>
              </w:rPr>
            </w:pPr>
          </w:p>
          <w:p>
            <w:pPr>
              <w:spacing w:after="0" w:line="240" w:lineRule="auto"/>
              <w:jc w:val="both"/>
              <w:rPr>
                <w:sz w:val="20"/>
                <w:szCs w:val="20"/>
              </w:rPr>
            </w:pPr>
            <w:r>
              <w:rPr>
                <w:sz w:val="20"/>
                <w:szCs w:val="20"/>
                <w:lang w:val="en-US"/>
              </w:rPr>
              <w:t>E</w:t>
            </w:r>
            <w:r>
              <w:rPr>
                <w:sz w:val="20"/>
                <w:szCs w:val="20"/>
              </w:rPr>
              <w:t xml:space="preserve">stablishment of GAD database is still in progress. </w:t>
            </w:r>
          </w:p>
          <w:p>
            <w:pPr>
              <w:spacing w:after="0" w:line="240" w:lineRule="auto"/>
              <w:jc w:val="both"/>
              <w:rPr>
                <w:sz w:val="20"/>
                <w:szCs w:val="20"/>
              </w:rPr>
            </w:pPr>
          </w:p>
          <w:p>
            <w:pPr>
              <w:pStyle w:val="NoSpacing"/>
              <w:jc w:val="both"/>
              <w:rPr>
                <w:sz w:val="20"/>
                <w:szCs w:val="20"/>
              </w:rPr>
            </w:pPr>
            <w:r>
              <w:rPr>
                <w:sz w:val="20"/>
                <w:szCs w:val="20"/>
              </w:rPr>
              <w:t>During the exit meeting, Management informed that the City will implement the PPAs as planned.</w:t>
            </w: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tc>
      </w:tr>
      <w:tr>
        <w:trPr>
          <w:trHeight w:val="70"/>
        </w:trPr>
        <w:tc>
          <w:tcPr>
            <w:tcW w:w="9725" w:type="dxa"/>
            <w:gridSpan w:val="5"/>
            <w:tcBorders>
              <w:bottom w:val="single" w:sz="4" w:space="0" w:color="auto"/>
            </w:tcBorders>
          </w:tcPr>
          <w:p>
            <w:pPr>
              <w:pStyle w:val="NoSpacing"/>
              <w:jc w:val="both"/>
              <w:rPr>
                <w:b/>
                <w:sz w:val="20"/>
                <w:szCs w:val="20"/>
              </w:rPr>
            </w:pPr>
            <w:r>
              <w:rPr>
                <w:b/>
                <w:sz w:val="20"/>
                <w:szCs w:val="20"/>
              </w:rPr>
              <w:t>AAR CY 2018</w:t>
            </w:r>
          </w:p>
        </w:tc>
      </w:tr>
      <w:tr>
        <w:trPr>
          <w:trHeight w:val="4830"/>
        </w:trPr>
        <w:tc>
          <w:tcPr>
            <w:tcW w:w="1260" w:type="dxa"/>
          </w:tcPr>
          <w:p>
            <w:pPr>
              <w:pStyle w:val="NoSpacing"/>
              <w:jc w:val="center"/>
              <w:rPr>
                <w:sz w:val="20"/>
                <w:szCs w:val="20"/>
              </w:rPr>
            </w:pPr>
            <w:r>
              <w:rPr>
                <w:sz w:val="20"/>
                <w:szCs w:val="20"/>
              </w:rPr>
              <w:t>Observation No. 7,</w:t>
            </w:r>
          </w:p>
          <w:p>
            <w:pPr>
              <w:pStyle w:val="NoSpacing"/>
              <w:jc w:val="center"/>
              <w:rPr>
                <w:sz w:val="20"/>
                <w:szCs w:val="20"/>
              </w:rPr>
            </w:pPr>
            <w:r>
              <w:rPr>
                <w:sz w:val="20"/>
                <w:szCs w:val="20"/>
              </w:rPr>
              <w:t>Pages 72-77</w:t>
            </w:r>
          </w:p>
        </w:tc>
        <w:tc>
          <w:tcPr>
            <w:tcW w:w="3330" w:type="dxa"/>
          </w:tcPr>
          <w:p>
            <w:pPr>
              <w:numPr>
                <w:ilvl w:val="0"/>
                <w:numId w:val="1"/>
              </w:numPr>
              <w:spacing w:after="0" w:line="240" w:lineRule="auto"/>
              <w:ind w:left="338"/>
              <w:jc w:val="both"/>
              <w:rPr>
                <w:sz w:val="20"/>
                <w:szCs w:val="20"/>
              </w:rPr>
            </w:pPr>
            <w:r>
              <w:rPr>
                <w:sz w:val="20"/>
                <w:szCs w:val="20"/>
              </w:rPr>
              <w:t>The accuracy and reliability of the year-end consolidated balance of the PPE account of P23.696 billion, net of Construction in Progress, could not be ascertained due to the noted discrepancy of P21.578 billion when compared against the Report on Physical Count of Property, Plant and Equipment (RPCPPE) of P2.118 billion.</w:t>
            </w:r>
          </w:p>
          <w:p>
            <w:pPr>
              <w:spacing w:after="0" w:line="240" w:lineRule="auto"/>
              <w:ind w:left="338"/>
              <w:jc w:val="both"/>
              <w:rPr>
                <w:sz w:val="20"/>
                <w:szCs w:val="20"/>
              </w:rPr>
            </w:pPr>
          </w:p>
          <w:p>
            <w:pPr>
              <w:spacing w:after="0" w:line="240" w:lineRule="auto"/>
              <w:ind w:left="338"/>
              <w:jc w:val="both"/>
              <w:rPr>
                <w:sz w:val="20"/>
                <w:szCs w:val="20"/>
              </w:rPr>
            </w:pPr>
            <w:r>
              <w:rPr>
                <w:sz w:val="20"/>
                <w:szCs w:val="20"/>
              </w:rPr>
              <w:t>We reiterated our recommendation that the Management exert extra effort in securing the pertinent documents/information as regards the reported PPE items without cost and those valued at P1.00 to determine its actual acquisition costs for its proper presentation in the RPCPPE.</w:t>
            </w:r>
          </w:p>
          <w:p>
            <w:pPr>
              <w:spacing w:after="0" w:line="240" w:lineRule="auto"/>
              <w:ind w:left="338"/>
              <w:jc w:val="both"/>
              <w:rPr>
                <w:sz w:val="20"/>
                <w:szCs w:val="20"/>
              </w:rPr>
            </w:pPr>
          </w:p>
        </w:tc>
        <w:tc>
          <w:tcPr>
            <w:tcW w:w="1643" w:type="dxa"/>
          </w:tcPr>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r>
              <w:rPr>
                <w:sz w:val="20"/>
                <w:szCs w:val="20"/>
              </w:rPr>
              <w:t>Fully Implemented</w:t>
            </w:r>
          </w:p>
        </w:tc>
        <w:tc>
          <w:tcPr>
            <w:tcW w:w="1620" w:type="dxa"/>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For CY 2019, PPE items with insignificant values were adjusted / corrected under JEV Nos. 04063 (GF), and 00208 and 00209 (SEF).</w:t>
            </w:r>
          </w:p>
          <w:p>
            <w:pPr>
              <w:pStyle w:val="NoSpacing"/>
              <w:jc w:val="both"/>
              <w:rPr>
                <w:sz w:val="20"/>
                <w:szCs w:val="20"/>
              </w:rPr>
            </w:pPr>
          </w:p>
          <w:p>
            <w:pPr>
              <w:pStyle w:val="NoSpacing"/>
              <w:jc w:val="both"/>
              <w:rPr>
                <w:sz w:val="20"/>
                <w:szCs w:val="20"/>
              </w:rPr>
            </w:pPr>
          </w:p>
        </w:tc>
        <w:tc>
          <w:tcPr>
            <w:tcW w:w="1872" w:type="dxa"/>
          </w:tcPr>
          <w:p>
            <w:pPr>
              <w:pStyle w:val="NoSpacing"/>
              <w:jc w:val="both"/>
              <w:rPr>
                <w:sz w:val="20"/>
                <w:szCs w:val="20"/>
              </w:rPr>
            </w:pPr>
          </w:p>
        </w:tc>
      </w:tr>
      <w:tr>
        <w:trPr>
          <w:trHeight w:val="5750"/>
        </w:trPr>
        <w:tc>
          <w:tcPr>
            <w:tcW w:w="1260" w:type="dxa"/>
          </w:tcPr>
          <w:p>
            <w:pPr>
              <w:pStyle w:val="NoSpacing"/>
              <w:jc w:val="center"/>
              <w:rPr>
                <w:sz w:val="20"/>
                <w:szCs w:val="20"/>
              </w:rPr>
            </w:pPr>
            <w:r>
              <w:rPr>
                <w:sz w:val="20"/>
                <w:szCs w:val="20"/>
              </w:rPr>
              <w:lastRenderedPageBreak/>
              <w:t>Observation No. 8,</w:t>
            </w:r>
          </w:p>
          <w:p>
            <w:pPr>
              <w:pStyle w:val="NoSpacing"/>
              <w:jc w:val="center"/>
              <w:rPr>
                <w:sz w:val="20"/>
                <w:szCs w:val="20"/>
              </w:rPr>
            </w:pPr>
            <w:r>
              <w:rPr>
                <w:sz w:val="20"/>
                <w:szCs w:val="20"/>
              </w:rPr>
              <w:t>Pages 77-81</w:t>
            </w:r>
          </w:p>
        </w:tc>
        <w:tc>
          <w:tcPr>
            <w:tcW w:w="3330" w:type="dxa"/>
          </w:tcPr>
          <w:p>
            <w:pPr>
              <w:numPr>
                <w:ilvl w:val="0"/>
                <w:numId w:val="1"/>
              </w:numPr>
              <w:spacing w:after="0" w:line="240" w:lineRule="auto"/>
              <w:ind w:left="338"/>
              <w:jc w:val="both"/>
              <w:rPr>
                <w:bCs/>
                <w:iCs/>
                <w:sz w:val="20"/>
                <w:szCs w:val="20"/>
              </w:rPr>
            </w:pPr>
            <w:bookmarkStart w:id="4" w:name="_Hlk10112950"/>
            <w:r>
              <w:rPr>
                <w:sz w:val="20"/>
                <w:szCs w:val="20"/>
              </w:rPr>
              <w:t>The accuracy of the balance of Due to NGAs account of P154.682 million at year-end was doubtful due to (a) existence of negative balance of P3.353 million in the GF and disparity between the GL and SLs for TF by P68</w:t>
            </w:r>
            <w:proofErr w:type="gramStart"/>
            <w:r>
              <w:rPr>
                <w:sz w:val="20"/>
                <w:szCs w:val="20"/>
              </w:rPr>
              <w:t>,172.09</w:t>
            </w:r>
            <w:proofErr w:type="gramEnd"/>
            <w:r>
              <w:rPr>
                <w:sz w:val="20"/>
                <w:szCs w:val="20"/>
              </w:rPr>
              <w:t xml:space="preserve"> and (b) improper maintenance of SLs and existence of dormant accounts amounting to P33.302 million, aged eight to 11 years, thus, the account was not fairly presented in the FS.</w:t>
            </w:r>
          </w:p>
          <w:p>
            <w:pPr>
              <w:spacing w:after="0" w:line="240" w:lineRule="auto"/>
              <w:ind w:left="338"/>
              <w:jc w:val="both"/>
              <w:rPr>
                <w:bCs/>
                <w:iCs/>
                <w:sz w:val="20"/>
                <w:szCs w:val="20"/>
              </w:rPr>
            </w:pPr>
          </w:p>
          <w:bookmarkEnd w:id="4"/>
          <w:p>
            <w:pPr>
              <w:spacing w:after="0" w:line="240" w:lineRule="auto"/>
              <w:ind w:left="346"/>
              <w:jc w:val="both"/>
              <w:rPr>
                <w:sz w:val="20"/>
                <w:szCs w:val="20"/>
                <w:lang w:val="en-US"/>
              </w:rPr>
            </w:pPr>
            <w:r>
              <w:rPr>
                <w:sz w:val="20"/>
                <w:szCs w:val="20"/>
              </w:rPr>
              <w:t>We recommended that the OCAT facilitate the return of the excess/unutilized funds to the source agency, when identified, or remit to the BTr.</w:t>
            </w:r>
          </w:p>
          <w:p>
            <w:pPr>
              <w:pStyle w:val="ListParagraph"/>
              <w:widowControl w:val="0"/>
              <w:overflowPunct w:val="0"/>
              <w:autoSpaceDE w:val="0"/>
              <w:autoSpaceDN w:val="0"/>
              <w:adjustRightInd w:val="0"/>
              <w:ind w:left="360" w:right="20"/>
              <w:jc w:val="both"/>
              <w:rPr>
                <w:bCs/>
                <w:iCs/>
                <w:sz w:val="20"/>
                <w:szCs w:val="20"/>
              </w:rPr>
            </w:pPr>
          </w:p>
        </w:tc>
        <w:tc>
          <w:tcPr>
            <w:tcW w:w="1643" w:type="dxa"/>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Partially Implemented</w:t>
            </w:r>
          </w:p>
          <w:p>
            <w:pPr>
              <w:pStyle w:val="NoSpacing"/>
              <w:jc w:val="center"/>
              <w:rPr>
                <w:sz w:val="20"/>
                <w:szCs w:val="20"/>
              </w:rPr>
            </w:pPr>
          </w:p>
        </w:tc>
        <w:tc>
          <w:tcPr>
            <w:tcW w:w="1620" w:type="dxa"/>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The OCAT   correct</w:t>
            </w:r>
            <w:r>
              <w:rPr>
                <w:sz w:val="20"/>
                <w:szCs w:val="20"/>
                <w:lang w:val="en-US"/>
              </w:rPr>
              <w:t>ed</w:t>
            </w:r>
            <w:r>
              <w:rPr>
                <w:sz w:val="20"/>
                <w:szCs w:val="20"/>
              </w:rPr>
              <w:t xml:space="preserve"> such misstatements. Review of the account is ongoing to establish accurately the amount to be remitted. </w:t>
            </w:r>
          </w:p>
          <w:p>
            <w:pPr>
              <w:pStyle w:val="NoSpacing"/>
              <w:jc w:val="both"/>
              <w:rPr>
                <w:sz w:val="20"/>
                <w:szCs w:val="20"/>
              </w:rPr>
            </w:pPr>
          </w:p>
          <w:p>
            <w:pPr>
              <w:pStyle w:val="NoSpacing"/>
              <w:jc w:val="both"/>
              <w:rPr>
                <w:sz w:val="20"/>
                <w:szCs w:val="20"/>
              </w:rPr>
            </w:pPr>
          </w:p>
          <w:p>
            <w:pPr>
              <w:pStyle w:val="NoSpacing"/>
              <w:jc w:val="both"/>
              <w:rPr>
                <w:sz w:val="20"/>
                <w:szCs w:val="20"/>
              </w:rPr>
            </w:pPr>
          </w:p>
        </w:tc>
        <w:tc>
          <w:tcPr>
            <w:tcW w:w="1872" w:type="dxa"/>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Excess/unutilized funds were neither returned to the source agency nor remitted to the BTr.</w:t>
            </w:r>
          </w:p>
          <w:p>
            <w:pPr>
              <w:spacing w:after="0" w:line="240" w:lineRule="auto"/>
              <w:jc w:val="both"/>
              <w:rPr>
                <w:sz w:val="20"/>
                <w:szCs w:val="20"/>
              </w:rPr>
            </w:pPr>
          </w:p>
          <w:p>
            <w:pPr>
              <w:pStyle w:val="NoSpacing"/>
              <w:jc w:val="both"/>
              <w:rPr>
                <w:sz w:val="20"/>
                <w:szCs w:val="20"/>
              </w:rPr>
            </w:pPr>
            <w:r>
              <w:rPr>
                <w:sz w:val="20"/>
                <w:szCs w:val="20"/>
              </w:rPr>
              <w:t xml:space="preserve">In addition, the dormant accounts still exist, now aged 10 to 13 years. </w:t>
            </w:r>
          </w:p>
        </w:tc>
      </w:tr>
      <w:tr>
        <w:trPr>
          <w:trHeight w:val="70"/>
        </w:trPr>
        <w:tc>
          <w:tcPr>
            <w:tcW w:w="1260" w:type="dxa"/>
            <w:tcBorders>
              <w:bottom w:val="nil"/>
            </w:tcBorders>
          </w:tcPr>
          <w:p>
            <w:pPr>
              <w:pStyle w:val="NoSpacing"/>
              <w:jc w:val="center"/>
              <w:rPr>
                <w:sz w:val="20"/>
                <w:szCs w:val="20"/>
              </w:rPr>
            </w:pPr>
            <w:r>
              <w:rPr>
                <w:sz w:val="20"/>
                <w:szCs w:val="20"/>
              </w:rPr>
              <w:t>Observation No. 12,</w:t>
            </w:r>
          </w:p>
          <w:p>
            <w:pPr>
              <w:pStyle w:val="NoSpacing"/>
              <w:jc w:val="center"/>
              <w:rPr>
                <w:sz w:val="20"/>
                <w:szCs w:val="20"/>
              </w:rPr>
            </w:pPr>
            <w:r>
              <w:rPr>
                <w:sz w:val="20"/>
                <w:szCs w:val="20"/>
              </w:rPr>
              <w:t>Pages 85-88</w:t>
            </w:r>
          </w:p>
        </w:tc>
        <w:tc>
          <w:tcPr>
            <w:tcW w:w="3330" w:type="dxa"/>
            <w:tcBorders>
              <w:bottom w:val="nil"/>
            </w:tcBorders>
          </w:tcPr>
          <w:p>
            <w:pPr>
              <w:numPr>
                <w:ilvl w:val="0"/>
                <w:numId w:val="1"/>
              </w:numPr>
              <w:spacing w:after="0" w:line="240" w:lineRule="auto"/>
              <w:ind w:left="338"/>
              <w:jc w:val="both"/>
              <w:rPr>
                <w:sz w:val="20"/>
                <w:szCs w:val="20"/>
              </w:rPr>
            </w:pPr>
            <w:r>
              <w:rPr>
                <w:sz w:val="20"/>
                <w:szCs w:val="20"/>
              </w:rPr>
              <w:t>The OCAT’s inability to monitor and require the AOs to immediately settle their CAs once the purposes for which these were granted have been served, resulted to the non-liquidation of the outstanding balance of P249.941 million at year end, contrary to the relevant provisions of COA Circular No. 97-002 dated February 10, 1997.</w:t>
            </w:r>
          </w:p>
          <w:p>
            <w:pPr>
              <w:pStyle w:val="ListParagraph"/>
              <w:tabs>
                <w:tab w:val="left" w:pos="342"/>
              </w:tabs>
              <w:ind w:left="0"/>
              <w:jc w:val="both"/>
              <w:rPr>
                <w:sz w:val="20"/>
                <w:szCs w:val="20"/>
              </w:rPr>
            </w:pPr>
          </w:p>
        </w:tc>
        <w:tc>
          <w:tcPr>
            <w:tcW w:w="1643" w:type="dxa"/>
            <w:tcBorders>
              <w:bottom w:val="nil"/>
            </w:tcBorders>
          </w:tcPr>
          <w:p>
            <w:pPr>
              <w:pStyle w:val="NoSpacing"/>
              <w:jc w:val="center"/>
              <w:rPr>
                <w:sz w:val="20"/>
                <w:szCs w:val="20"/>
              </w:rPr>
            </w:pPr>
          </w:p>
        </w:tc>
        <w:tc>
          <w:tcPr>
            <w:tcW w:w="1620" w:type="dxa"/>
            <w:tcBorders>
              <w:bottom w:val="nil"/>
            </w:tcBorders>
          </w:tcPr>
          <w:p>
            <w:pPr>
              <w:pStyle w:val="NoSpacing"/>
              <w:jc w:val="both"/>
              <w:rPr>
                <w:sz w:val="20"/>
                <w:szCs w:val="20"/>
              </w:rPr>
            </w:pPr>
          </w:p>
        </w:tc>
        <w:tc>
          <w:tcPr>
            <w:tcW w:w="1872" w:type="dxa"/>
            <w:tcBorders>
              <w:bottom w:val="nil"/>
            </w:tcBorders>
          </w:tcPr>
          <w:p>
            <w:pPr>
              <w:pStyle w:val="NoSpacing"/>
              <w:jc w:val="both"/>
              <w:rPr>
                <w:sz w:val="20"/>
                <w:szCs w:val="20"/>
              </w:rPr>
            </w:pPr>
          </w:p>
        </w:tc>
      </w:tr>
      <w:tr>
        <w:trPr>
          <w:trHeight w:val="70"/>
        </w:trPr>
        <w:tc>
          <w:tcPr>
            <w:tcW w:w="1260" w:type="dxa"/>
            <w:tcBorders>
              <w:top w:val="nil"/>
            </w:tcBorders>
          </w:tcPr>
          <w:p>
            <w:pPr>
              <w:pStyle w:val="NoSpacing"/>
              <w:jc w:val="center"/>
              <w:rPr>
                <w:sz w:val="20"/>
                <w:szCs w:val="20"/>
              </w:rPr>
            </w:pPr>
          </w:p>
        </w:tc>
        <w:tc>
          <w:tcPr>
            <w:tcW w:w="3330" w:type="dxa"/>
            <w:tcBorders>
              <w:top w:val="nil"/>
            </w:tcBorders>
          </w:tcPr>
          <w:p>
            <w:pPr>
              <w:spacing w:after="0" w:line="240" w:lineRule="auto"/>
              <w:ind w:left="346"/>
              <w:jc w:val="both"/>
              <w:rPr>
                <w:sz w:val="20"/>
                <w:szCs w:val="20"/>
                <w:lang w:val="en-US"/>
              </w:rPr>
            </w:pPr>
            <w:r>
              <w:rPr>
                <w:sz w:val="20"/>
                <w:szCs w:val="20"/>
              </w:rPr>
              <w:t>We recommended that Management require the City Accountant to whenever applicable condition exists, request for write-off of dormant unliquidated CAs which remained non-moving for 10 years or more and where settlement/collectability could no longer be ascertained in accordance with the guidelines and procedures provided under COA Circular No. 2016-005.</w:t>
            </w:r>
          </w:p>
          <w:p>
            <w:pPr>
              <w:pStyle w:val="NoSpacing"/>
              <w:ind w:left="346"/>
              <w:jc w:val="both"/>
              <w:rPr>
                <w:sz w:val="20"/>
                <w:szCs w:val="20"/>
                <w:shd w:val="clear" w:color="auto" w:fill="FFFFFF"/>
              </w:rPr>
            </w:pPr>
          </w:p>
        </w:tc>
        <w:tc>
          <w:tcPr>
            <w:tcW w:w="1643" w:type="dxa"/>
            <w:tcBorders>
              <w:top w:val="nil"/>
            </w:tcBorders>
          </w:tcPr>
          <w:p>
            <w:pPr>
              <w:spacing w:after="0" w:line="240" w:lineRule="auto"/>
              <w:jc w:val="center"/>
              <w:rPr>
                <w:sz w:val="20"/>
                <w:szCs w:val="20"/>
              </w:rPr>
            </w:pPr>
            <w:r>
              <w:rPr>
                <w:sz w:val="20"/>
                <w:szCs w:val="20"/>
              </w:rPr>
              <w:t>Partially Implemented</w:t>
            </w:r>
          </w:p>
          <w:p>
            <w:pPr>
              <w:spacing w:after="0" w:line="240" w:lineRule="auto"/>
              <w:jc w:val="center"/>
              <w:rPr>
                <w:sz w:val="20"/>
                <w:szCs w:val="20"/>
              </w:rPr>
            </w:pPr>
          </w:p>
          <w:p>
            <w:pPr>
              <w:pStyle w:val="NoSpacing"/>
              <w:jc w:val="center"/>
              <w:rPr>
                <w:sz w:val="20"/>
                <w:szCs w:val="20"/>
              </w:rPr>
            </w:pPr>
          </w:p>
        </w:tc>
        <w:tc>
          <w:tcPr>
            <w:tcW w:w="1620" w:type="dxa"/>
            <w:tcBorders>
              <w:top w:val="nil"/>
            </w:tcBorders>
          </w:tcPr>
          <w:p>
            <w:pPr>
              <w:spacing w:after="0" w:line="240" w:lineRule="auto"/>
              <w:jc w:val="both"/>
              <w:rPr>
                <w:sz w:val="20"/>
                <w:szCs w:val="20"/>
              </w:rPr>
            </w:pPr>
            <w:r>
              <w:rPr>
                <w:sz w:val="20"/>
                <w:szCs w:val="20"/>
              </w:rPr>
              <w:t xml:space="preserve">The OCAT is confirming </w:t>
            </w:r>
            <w:r>
              <w:rPr>
                <w:sz w:val="20"/>
                <w:szCs w:val="20"/>
                <w:lang w:val="en-US"/>
              </w:rPr>
              <w:t>the dormancy of these accounts for the</w:t>
            </w:r>
            <w:r>
              <w:rPr>
                <w:sz w:val="20"/>
                <w:szCs w:val="20"/>
              </w:rPr>
              <w:t xml:space="preserve"> request for write-off.</w:t>
            </w:r>
          </w:p>
          <w:p>
            <w:pPr>
              <w:spacing w:after="0" w:line="240" w:lineRule="auto"/>
              <w:jc w:val="both"/>
              <w:rPr>
                <w:sz w:val="20"/>
                <w:szCs w:val="20"/>
              </w:rPr>
            </w:pPr>
          </w:p>
          <w:p>
            <w:pPr>
              <w:pStyle w:val="NoSpacing"/>
              <w:jc w:val="both"/>
              <w:rPr>
                <w:sz w:val="20"/>
                <w:szCs w:val="20"/>
              </w:rPr>
            </w:pPr>
            <w:r>
              <w:rPr>
                <w:sz w:val="20"/>
                <w:szCs w:val="20"/>
                <w:lang w:val="en-US"/>
              </w:rPr>
              <w:t xml:space="preserve">Securing the relevant </w:t>
            </w:r>
            <w:r>
              <w:rPr>
                <w:sz w:val="20"/>
                <w:szCs w:val="20"/>
              </w:rPr>
              <w:t>data</w:t>
            </w:r>
            <w:r>
              <w:rPr>
                <w:sz w:val="20"/>
                <w:szCs w:val="20"/>
                <w:lang w:val="en-US"/>
              </w:rPr>
              <w:t>/</w:t>
            </w:r>
            <w:r>
              <w:rPr>
                <w:sz w:val="20"/>
                <w:szCs w:val="20"/>
              </w:rPr>
              <w:t xml:space="preserve">information </w:t>
            </w:r>
            <w:r>
              <w:rPr>
                <w:sz w:val="20"/>
                <w:szCs w:val="20"/>
                <w:lang w:val="en-US"/>
              </w:rPr>
              <w:t xml:space="preserve">for these </w:t>
            </w:r>
            <w:r>
              <w:rPr>
                <w:sz w:val="20"/>
                <w:szCs w:val="20"/>
              </w:rPr>
              <w:t xml:space="preserve">dormant unliquidated CAs is ongoing. </w:t>
            </w:r>
          </w:p>
          <w:p>
            <w:pPr>
              <w:pStyle w:val="NoSpacing"/>
              <w:jc w:val="both"/>
              <w:rPr>
                <w:sz w:val="20"/>
                <w:szCs w:val="20"/>
              </w:rPr>
            </w:pPr>
          </w:p>
        </w:tc>
        <w:tc>
          <w:tcPr>
            <w:tcW w:w="1872" w:type="dxa"/>
            <w:tcBorders>
              <w:top w:val="nil"/>
            </w:tcBorders>
          </w:tcPr>
          <w:p>
            <w:pPr>
              <w:pStyle w:val="NoSpacing"/>
              <w:jc w:val="both"/>
              <w:rPr>
                <w:sz w:val="20"/>
                <w:szCs w:val="20"/>
              </w:rPr>
            </w:pPr>
            <w:r>
              <w:rPr>
                <w:sz w:val="20"/>
                <w:szCs w:val="20"/>
              </w:rPr>
              <w:t xml:space="preserve">Documentation is ongoing. </w:t>
            </w:r>
          </w:p>
        </w:tc>
      </w:tr>
      <w:tr>
        <w:trPr>
          <w:trHeight w:val="5520"/>
        </w:trPr>
        <w:tc>
          <w:tcPr>
            <w:tcW w:w="1260" w:type="dxa"/>
          </w:tcPr>
          <w:p>
            <w:pPr>
              <w:pStyle w:val="NoSpacing"/>
              <w:jc w:val="center"/>
              <w:rPr>
                <w:sz w:val="20"/>
                <w:szCs w:val="20"/>
              </w:rPr>
            </w:pPr>
            <w:r>
              <w:rPr>
                <w:sz w:val="20"/>
                <w:szCs w:val="20"/>
              </w:rPr>
              <w:lastRenderedPageBreak/>
              <w:t>Observation No. 15,</w:t>
            </w:r>
          </w:p>
          <w:p>
            <w:pPr>
              <w:pStyle w:val="NoSpacing"/>
              <w:jc w:val="center"/>
              <w:rPr>
                <w:sz w:val="20"/>
                <w:szCs w:val="20"/>
              </w:rPr>
            </w:pPr>
            <w:r>
              <w:rPr>
                <w:sz w:val="20"/>
                <w:szCs w:val="20"/>
              </w:rPr>
              <w:t>Pages 91-92</w:t>
            </w:r>
          </w:p>
        </w:tc>
        <w:tc>
          <w:tcPr>
            <w:tcW w:w="3330" w:type="dxa"/>
          </w:tcPr>
          <w:p>
            <w:pPr>
              <w:numPr>
                <w:ilvl w:val="0"/>
                <w:numId w:val="1"/>
              </w:numPr>
              <w:spacing w:after="0" w:line="240" w:lineRule="auto"/>
              <w:ind w:left="338"/>
              <w:jc w:val="both"/>
              <w:rPr>
                <w:sz w:val="20"/>
                <w:szCs w:val="20"/>
              </w:rPr>
            </w:pPr>
            <w:r>
              <w:rPr>
                <w:sz w:val="20"/>
                <w:szCs w:val="20"/>
              </w:rPr>
              <w:t>The creation, organization and operation of an Internal Audit Service (IAS) mandated under Section 2 of RA No. 3456 as amended by RA No. 4177 was not undertaken by the City, thus, Management was not accorded with the assistance in the achievement of an efficient and effective fiscal administration and performance of agency affairs and functions.</w:t>
            </w:r>
          </w:p>
          <w:p>
            <w:pPr>
              <w:spacing w:after="0" w:line="240" w:lineRule="auto"/>
              <w:ind w:left="338"/>
              <w:jc w:val="both"/>
              <w:rPr>
                <w:sz w:val="20"/>
                <w:szCs w:val="20"/>
              </w:rPr>
            </w:pPr>
          </w:p>
          <w:p>
            <w:pPr>
              <w:spacing w:after="0" w:line="240" w:lineRule="auto"/>
              <w:ind w:left="346"/>
              <w:jc w:val="both"/>
              <w:rPr>
                <w:sz w:val="20"/>
                <w:szCs w:val="20"/>
                <w:lang w:val="en-US"/>
              </w:rPr>
            </w:pPr>
            <w:r>
              <w:rPr>
                <w:sz w:val="20"/>
                <w:szCs w:val="20"/>
              </w:rPr>
              <w:t>We recommended that the LCE facilitate the creation, organization and operation of the City’s IAS as required under RA No. 3456 as amended by RA No. 4177, to assist in the achievement of an efficient and effective fiscal administration and performance of City’s affairs and functions.</w:t>
            </w:r>
          </w:p>
          <w:p>
            <w:pPr>
              <w:jc w:val="both"/>
              <w:rPr>
                <w:bCs/>
                <w:iCs/>
                <w:sz w:val="20"/>
                <w:szCs w:val="20"/>
              </w:rPr>
            </w:pPr>
          </w:p>
          <w:p>
            <w:pPr>
              <w:jc w:val="both"/>
              <w:rPr>
                <w:bCs/>
                <w:iCs/>
                <w:sz w:val="20"/>
                <w:szCs w:val="20"/>
              </w:rPr>
            </w:pPr>
          </w:p>
        </w:tc>
        <w:tc>
          <w:tcPr>
            <w:tcW w:w="1643" w:type="dxa"/>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Not Implemented</w:t>
            </w:r>
          </w:p>
          <w:p>
            <w:pPr>
              <w:pStyle w:val="NoSpacing"/>
              <w:jc w:val="center"/>
              <w:rPr>
                <w:sz w:val="20"/>
                <w:szCs w:val="20"/>
              </w:rPr>
            </w:pPr>
          </w:p>
        </w:tc>
        <w:tc>
          <w:tcPr>
            <w:tcW w:w="1620" w:type="dxa"/>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Lack of effective action by the concerned officials.</w:t>
            </w:r>
          </w:p>
        </w:tc>
        <w:tc>
          <w:tcPr>
            <w:tcW w:w="1872" w:type="dxa"/>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The City's Internal Audit merely pre-audits the financial transaction</w:t>
            </w:r>
            <w:r>
              <w:rPr>
                <w:sz w:val="20"/>
                <w:szCs w:val="20"/>
                <w:lang w:val="en-US"/>
              </w:rPr>
              <w:t>s and</w:t>
            </w:r>
            <w:r>
              <w:rPr>
                <w:sz w:val="20"/>
                <w:szCs w:val="20"/>
              </w:rPr>
              <w:t xml:space="preserve"> is under the OCAT.  </w:t>
            </w:r>
          </w:p>
          <w:p>
            <w:pPr>
              <w:pStyle w:val="NoSpacing"/>
              <w:jc w:val="both"/>
              <w:rPr>
                <w:sz w:val="20"/>
                <w:szCs w:val="20"/>
              </w:rPr>
            </w:pPr>
          </w:p>
        </w:tc>
      </w:tr>
      <w:tr>
        <w:trPr>
          <w:trHeight w:val="4600"/>
        </w:trPr>
        <w:tc>
          <w:tcPr>
            <w:tcW w:w="1260" w:type="dxa"/>
          </w:tcPr>
          <w:p>
            <w:pPr>
              <w:pStyle w:val="NoSpacing"/>
              <w:jc w:val="center"/>
              <w:rPr>
                <w:sz w:val="20"/>
                <w:szCs w:val="20"/>
              </w:rPr>
            </w:pPr>
            <w:r>
              <w:rPr>
                <w:sz w:val="20"/>
                <w:szCs w:val="20"/>
              </w:rPr>
              <w:t>Observation No. 16,</w:t>
            </w:r>
          </w:p>
          <w:p>
            <w:pPr>
              <w:pStyle w:val="NoSpacing"/>
              <w:jc w:val="center"/>
              <w:rPr>
                <w:sz w:val="20"/>
                <w:szCs w:val="20"/>
              </w:rPr>
            </w:pPr>
            <w:r>
              <w:rPr>
                <w:sz w:val="20"/>
                <w:szCs w:val="20"/>
              </w:rPr>
              <w:t>Pages 92-93</w:t>
            </w:r>
          </w:p>
        </w:tc>
        <w:tc>
          <w:tcPr>
            <w:tcW w:w="3330" w:type="dxa"/>
          </w:tcPr>
          <w:p>
            <w:pPr>
              <w:numPr>
                <w:ilvl w:val="0"/>
                <w:numId w:val="1"/>
              </w:numPr>
              <w:spacing w:after="0" w:line="240" w:lineRule="auto"/>
              <w:ind w:left="338"/>
              <w:jc w:val="both"/>
              <w:rPr>
                <w:sz w:val="20"/>
                <w:szCs w:val="20"/>
                <w:shd w:val="clear" w:color="auto" w:fill="FFFFFF"/>
              </w:rPr>
            </w:pPr>
            <w:r>
              <w:rPr>
                <w:sz w:val="20"/>
                <w:szCs w:val="20"/>
              </w:rPr>
              <w:t>The excess amount of collections/proceeds from sale of bid documents and other related fees amounting to P13.958 million as of December 31, 2018 was still being maintained under the TF instead of transferring the same to the GF pursuant to Item 6.2 of DBM Circular No. 2004-5A.</w:t>
            </w:r>
          </w:p>
          <w:p>
            <w:pPr>
              <w:spacing w:after="0" w:line="240" w:lineRule="auto"/>
              <w:ind w:left="338"/>
              <w:jc w:val="both"/>
              <w:rPr>
                <w:sz w:val="20"/>
                <w:szCs w:val="20"/>
                <w:shd w:val="clear" w:color="auto" w:fill="FFFFFF"/>
              </w:rPr>
            </w:pPr>
          </w:p>
          <w:p>
            <w:pPr>
              <w:spacing w:after="0" w:line="240" w:lineRule="auto"/>
              <w:ind w:left="346"/>
              <w:jc w:val="both"/>
              <w:rPr>
                <w:sz w:val="20"/>
                <w:szCs w:val="20"/>
                <w:lang w:val="en-US"/>
              </w:rPr>
            </w:pPr>
            <w:r>
              <w:rPr>
                <w:sz w:val="20"/>
                <w:szCs w:val="20"/>
              </w:rPr>
              <w:t>We recommended that Management direct the City Treasurer to cause the immediate transfer of the unutilized amount of the proceeds from the collection of bid documents and related fees from the TF to the GF.</w:t>
            </w:r>
          </w:p>
          <w:p>
            <w:pPr>
              <w:pStyle w:val="ListParagraph"/>
              <w:ind w:left="360"/>
              <w:jc w:val="both"/>
              <w:rPr>
                <w:bCs/>
                <w:iCs/>
                <w:sz w:val="20"/>
                <w:szCs w:val="20"/>
              </w:rPr>
            </w:pPr>
          </w:p>
        </w:tc>
        <w:tc>
          <w:tcPr>
            <w:tcW w:w="1643" w:type="dxa"/>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Partially Implemented</w:t>
            </w:r>
          </w:p>
          <w:p>
            <w:pPr>
              <w:pStyle w:val="NoSpacing"/>
              <w:jc w:val="center"/>
              <w:rPr>
                <w:sz w:val="20"/>
                <w:szCs w:val="20"/>
              </w:rPr>
            </w:pPr>
          </w:p>
        </w:tc>
        <w:tc>
          <w:tcPr>
            <w:tcW w:w="1620" w:type="dxa"/>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lang w:val="en-US"/>
              </w:rPr>
            </w:pPr>
            <w:r>
              <w:rPr>
                <w:sz w:val="20"/>
                <w:szCs w:val="20"/>
              </w:rPr>
              <w:t>The OCAT is determining the excess on the collections/</w:t>
            </w:r>
            <w:r>
              <w:rPr>
                <w:sz w:val="20"/>
                <w:szCs w:val="20"/>
                <w:lang w:val="en-US"/>
              </w:rPr>
              <w:t xml:space="preserve"> </w:t>
            </w:r>
            <w:r>
              <w:rPr>
                <w:sz w:val="20"/>
                <w:szCs w:val="20"/>
              </w:rPr>
              <w:t xml:space="preserve">proceeds. Once completed, a DV will be prepared for the </w:t>
            </w:r>
            <w:r>
              <w:rPr>
                <w:sz w:val="20"/>
                <w:szCs w:val="20"/>
                <w:lang w:val="en-US"/>
              </w:rPr>
              <w:t xml:space="preserve">fund </w:t>
            </w:r>
            <w:r>
              <w:rPr>
                <w:sz w:val="20"/>
                <w:szCs w:val="20"/>
              </w:rPr>
              <w:t xml:space="preserve">transfer </w:t>
            </w:r>
            <w:r>
              <w:rPr>
                <w:sz w:val="20"/>
                <w:szCs w:val="20"/>
                <w:lang w:val="en-US"/>
              </w:rPr>
              <w:t>to GF.</w:t>
            </w:r>
          </w:p>
          <w:p>
            <w:pPr>
              <w:pStyle w:val="NoSpacing"/>
              <w:jc w:val="both"/>
              <w:rPr>
                <w:sz w:val="20"/>
                <w:szCs w:val="20"/>
              </w:rPr>
            </w:pPr>
          </w:p>
        </w:tc>
        <w:tc>
          <w:tcPr>
            <w:tcW w:w="1872" w:type="dxa"/>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The OCAT had transferred the amount of P180</w:t>
            </w:r>
            <w:proofErr w:type="gramStart"/>
            <w:r>
              <w:rPr>
                <w:sz w:val="20"/>
                <w:szCs w:val="20"/>
              </w:rPr>
              <w:t>,261.87</w:t>
            </w:r>
            <w:proofErr w:type="gramEnd"/>
            <w:r>
              <w:rPr>
                <w:sz w:val="20"/>
                <w:szCs w:val="20"/>
              </w:rPr>
              <w:t xml:space="preserve"> from TF to GF under JEV Nos. 00496 and 07493, respectively, both dated 31/01/2021. </w:t>
            </w:r>
          </w:p>
        </w:tc>
      </w:tr>
      <w:tr>
        <w:trPr>
          <w:trHeight w:val="4600"/>
        </w:trPr>
        <w:tc>
          <w:tcPr>
            <w:tcW w:w="1260" w:type="dxa"/>
          </w:tcPr>
          <w:p>
            <w:pPr>
              <w:pStyle w:val="NoSpacing"/>
              <w:jc w:val="center"/>
              <w:rPr>
                <w:sz w:val="20"/>
                <w:szCs w:val="20"/>
              </w:rPr>
            </w:pPr>
            <w:r>
              <w:rPr>
                <w:sz w:val="20"/>
                <w:szCs w:val="20"/>
              </w:rPr>
              <w:lastRenderedPageBreak/>
              <w:t>Observation No. 17,</w:t>
            </w:r>
          </w:p>
          <w:p>
            <w:pPr>
              <w:pStyle w:val="NoSpacing"/>
              <w:jc w:val="center"/>
              <w:rPr>
                <w:sz w:val="20"/>
                <w:szCs w:val="20"/>
              </w:rPr>
            </w:pPr>
            <w:r>
              <w:rPr>
                <w:sz w:val="20"/>
                <w:szCs w:val="20"/>
              </w:rPr>
              <w:t>Pages 93-94</w:t>
            </w:r>
          </w:p>
        </w:tc>
        <w:tc>
          <w:tcPr>
            <w:tcW w:w="3330" w:type="dxa"/>
          </w:tcPr>
          <w:p>
            <w:pPr>
              <w:numPr>
                <w:ilvl w:val="0"/>
                <w:numId w:val="1"/>
              </w:numPr>
              <w:spacing w:after="0" w:line="240" w:lineRule="auto"/>
              <w:ind w:left="338"/>
              <w:jc w:val="both"/>
              <w:rPr>
                <w:sz w:val="20"/>
                <w:szCs w:val="20"/>
              </w:rPr>
            </w:pPr>
            <w:r>
              <w:rPr>
                <w:sz w:val="20"/>
                <w:szCs w:val="20"/>
              </w:rPr>
              <w:t>The inability of the OCAT to submit to CAO the monthly pre-closing trial balances (TBs) within the prescribed period is contrary to Section 70 of the Manual, Volume I, thus, prevented the immediate review and analysis on the fairness of presentation of the accounts in the FSs.</w:t>
            </w:r>
          </w:p>
          <w:p>
            <w:pPr>
              <w:spacing w:after="0" w:line="240" w:lineRule="auto"/>
              <w:ind w:left="338"/>
              <w:jc w:val="both"/>
              <w:rPr>
                <w:sz w:val="20"/>
                <w:szCs w:val="20"/>
              </w:rPr>
            </w:pPr>
          </w:p>
          <w:p>
            <w:pPr>
              <w:spacing w:after="0" w:line="240" w:lineRule="auto"/>
              <w:ind w:left="346"/>
              <w:jc w:val="both"/>
              <w:rPr>
                <w:sz w:val="20"/>
                <w:szCs w:val="20"/>
                <w:lang w:val="en-US"/>
              </w:rPr>
            </w:pPr>
            <w:r>
              <w:rPr>
                <w:sz w:val="20"/>
                <w:szCs w:val="20"/>
              </w:rPr>
              <w:t>We recommended that Management direct the OCAT to expedite the preparation of the monthly pre-closing, as well as the year end TBs and the FSs to facilitate the submission of the same to the CAO within the prescribed period in compliance with Section 70 of the Manual, Volume I.</w:t>
            </w:r>
          </w:p>
          <w:p>
            <w:pPr>
              <w:spacing w:after="0" w:line="240" w:lineRule="auto"/>
              <w:ind w:left="338"/>
              <w:jc w:val="both"/>
              <w:rPr>
                <w:sz w:val="20"/>
                <w:szCs w:val="20"/>
              </w:rPr>
            </w:pPr>
          </w:p>
        </w:tc>
        <w:tc>
          <w:tcPr>
            <w:tcW w:w="1643" w:type="dxa"/>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r>
              <w:rPr>
                <w:sz w:val="20"/>
                <w:szCs w:val="20"/>
              </w:rPr>
              <w:t>Partially Implemented</w:t>
            </w:r>
          </w:p>
        </w:tc>
        <w:tc>
          <w:tcPr>
            <w:tcW w:w="1620" w:type="dxa"/>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The OCAT had submitted the TB together with supporting schedules for GF, SEF and TF way beyond the prescribed period of submission.</w:t>
            </w:r>
          </w:p>
        </w:tc>
        <w:tc>
          <w:tcPr>
            <w:tcW w:w="1872" w:type="dxa"/>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 xml:space="preserve">There is still delay in the submission of these accounting reports/records. </w:t>
            </w:r>
          </w:p>
        </w:tc>
      </w:tr>
      <w:tr>
        <w:trPr>
          <w:trHeight w:val="7200"/>
        </w:trPr>
        <w:tc>
          <w:tcPr>
            <w:tcW w:w="1260" w:type="dxa"/>
            <w:vMerge w:val="restart"/>
            <w:tcBorders>
              <w:top w:val="single" w:sz="4" w:space="0" w:color="auto"/>
            </w:tcBorders>
          </w:tcPr>
          <w:p>
            <w:pPr>
              <w:pStyle w:val="NoSpacing"/>
              <w:jc w:val="center"/>
              <w:rPr>
                <w:sz w:val="20"/>
                <w:szCs w:val="20"/>
              </w:rPr>
            </w:pPr>
            <w:r>
              <w:rPr>
                <w:sz w:val="20"/>
                <w:szCs w:val="20"/>
              </w:rPr>
              <w:t>Observation No. 19,</w:t>
            </w:r>
          </w:p>
          <w:p>
            <w:pPr>
              <w:pStyle w:val="NoSpacing"/>
              <w:jc w:val="center"/>
              <w:rPr>
                <w:sz w:val="20"/>
                <w:szCs w:val="20"/>
              </w:rPr>
            </w:pPr>
            <w:r>
              <w:rPr>
                <w:sz w:val="20"/>
                <w:szCs w:val="20"/>
              </w:rPr>
              <w:t>Pages 96-98</w:t>
            </w:r>
          </w:p>
          <w:p>
            <w:pPr>
              <w:pStyle w:val="NoSpacing"/>
              <w:jc w:val="center"/>
              <w:rPr>
                <w:sz w:val="20"/>
                <w:szCs w:val="20"/>
              </w:rPr>
            </w:pPr>
          </w:p>
        </w:tc>
        <w:tc>
          <w:tcPr>
            <w:tcW w:w="3330" w:type="dxa"/>
            <w:tcBorders>
              <w:top w:val="single" w:sz="4" w:space="0" w:color="auto"/>
              <w:bottom w:val="single" w:sz="4" w:space="0" w:color="auto"/>
            </w:tcBorders>
          </w:tcPr>
          <w:p>
            <w:pPr>
              <w:numPr>
                <w:ilvl w:val="0"/>
                <w:numId w:val="1"/>
              </w:numPr>
              <w:spacing w:after="0" w:line="240" w:lineRule="auto"/>
              <w:ind w:left="338"/>
              <w:jc w:val="both"/>
              <w:rPr>
                <w:bCs/>
                <w:iCs/>
                <w:sz w:val="20"/>
                <w:szCs w:val="20"/>
              </w:rPr>
            </w:pPr>
            <w:r>
              <w:rPr>
                <w:sz w:val="20"/>
                <w:szCs w:val="20"/>
              </w:rPr>
              <w:t xml:space="preserve">A total of 1,489 business establishments in 92 barangays were not found in the city database, thus, operating without the required city permits contrary to Section 143(h) of the LGC. </w:t>
            </w:r>
            <w:r>
              <w:rPr>
                <w:sz w:val="20"/>
                <w:szCs w:val="20"/>
                <w:lang w:val="en-US"/>
              </w:rPr>
              <w:t>T</w:t>
            </w:r>
            <w:r>
              <w:rPr>
                <w:sz w:val="20"/>
                <w:szCs w:val="20"/>
              </w:rPr>
              <w:t>here are 5,432 businesses</w:t>
            </w:r>
            <w:r>
              <w:rPr>
                <w:sz w:val="20"/>
                <w:szCs w:val="20"/>
                <w:lang w:val="en-US"/>
              </w:rPr>
              <w:t xml:space="preserve"> that are</w:t>
            </w:r>
            <w:r>
              <w:rPr>
                <w:sz w:val="20"/>
                <w:szCs w:val="20"/>
              </w:rPr>
              <w:t xml:space="preserve"> not in the barangays’ list but were granted business permits without the issuance/</w:t>
            </w:r>
            <w:r>
              <w:rPr>
                <w:sz w:val="20"/>
                <w:szCs w:val="20"/>
                <w:lang w:val="en-US"/>
              </w:rPr>
              <w:t xml:space="preserve"> </w:t>
            </w:r>
            <w:r>
              <w:rPr>
                <w:sz w:val="20"/>
                <w:szCs w:val="20"/>
              </w:rPr>
              <w:t xml:space="preserve">submission of barangay clearance as required </w:t>
            </w:r>
            <w:r>
              <w:rPr>
                <w:sz w:val="20"/>
                <w:szCs w:val="20"/>
                <w:lang w:val="en-US"/>
              </w:rPr>
              <w:t>in</w:t>
            </w:r>
            <w:r>
              <w:rPr>
                <w:sz w:val="20"/>
                <w:szCs w:val="20"/>
              </w:rPr>
              <w:t xml:space="preserve"> Sec</w:t>
            </w:r>
            <w:r>
              <w:rPr>
                <w:sz w:val="20"/>
                <w:szCs w:val="20"/>
                <w:lang w:val="en-US"/>
              </w:rPr>
              <w:t>.</w:t>
            </w:r>
            <w:r>
              <w:rPr>
                <w:sz w:val="20"/>
                <w:szCs w:val="20"/>
              </w:rPr>
              <w:t xml:space="preserve"> 152(c) of the LGC.</w:t>
            </w:r>
          </w:p>
          <w:p>
            <w:pPr>
              <w:spacing w:after="0" w:line="240" w:lineRule="auto"/>
              <w:ind w:left="346"/>
              <w:jc w:val="both"/>
              <w:rPr>
                <w:sz w:val="20"/>
                <w:szCs w:val="20"/>
              </w:rPr>
            </w:pPr>
            <w:r>
              <w:rPr>
                <w:sz w:val="20"/>
                <w:szCs w:val="20"/>
              </w:rPr>
              <w:t>We recommended that Management direct the officials in charge with assessment and collection of business taxes to intensify further the collection of business taxes and to perform the following courses of actions:</w:t>
            </w:r>
          </w:p>
          <w:p>
            <w:pPr>
              <w:spacing w:after="0" w:line="240" w:lineRule="auto"/>
              <w:ind w:left="346"/>
              <w:jc w:val="both"/>
              <w:rPr>
                <w:sz w:val="20"/>
                <w:szCs w:val="20"/>
              </w:rPr>
            </w:pPr>
          </w:p>
          <w:p>
            <w:pPr>
              <w:numPr>
                <w:ilvl w:val="1"/>
                <w:numId w:val="12"/>
              </w:numPr>
              <w:spacing w:after="0" w:line="240" w:lineRule="auto"/>
              <w:ind w:left="609" w:hanging="263"/>
              <w:jc w:val="both"/>
              <w:rPr>
                <w:sz w:val="20"/>
                <w:szCs w:val="20"/>
                <w:lang w:val="en-US"/>
              </w:rPr>
            </w:pPr>
            <w:r>
              <w:rPr>
                <w:sz w:val="20"/>
                <w:szCs w:val="20"/>
              </w:rPr>
              <w:t>Identify, capture and update in the database all the establishments conducting business within its territorial jurisdiction to serve as reference for the imposition of business taxes, fees and corresponding charges;</w:t>
            </w:r>
          </w:p>
          <w:p>
            <w:pPr>
              <w:spacing w:after="0" w:line="240" w:lineRule="auto"/>
              <w:ind w:left="346"/>
              <w:jc w:val="both"/>
              <w:rPr>
                <w:sz w:val="20"/>
                <w:szCs w:val="20"/>
              </w:rPr>
            </w:pPr>
          </w:p>
        </w:tc>
        <w:tc>
          <w:tcPr>
            <w:tcW w:w="1643" w:type="dxa"/>
            <w:tcBorders>
              <w:top w:val="single" w:sz="4" w:space="0" w:color="auto"/>
              <w:bottom w:val="single" w:sz="4" w:space="0" w:color="auto"/>
            </w:tcBorders>
          </w:tcPr>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r>
              <w:rPr>
                <w:sz w:val="20"/>
                <w:szCs w:val="20"/>
              </w:rPr>
              <w:t>Partially Implemented</w:t>
            </w:r>
          </w:p>
        </w:tc>
        <w:tc>
          <w:tcPr>
            <w:tcW w:w="1620" w:type="dxa"/>
            <w:tcBorders>
              <w:top w:val="single" w:sz="4" w:space="0" w:color="auto"/>
              <w:bottom w:val="single" w:sz="4" w:space="0" w:color="auto"/>
            </w:tcBorders>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4"/>
                <w:szCs w:val="20"/>
              </w:rPr>
            </w:pPr>
          </w:p>
          <w:p>
            <w:pPr>
              <w:spacing w:after="0" w:line="240" w:lineRule="auto"/>
              <w:jc w:val="both"/>
              <w:rPr>
                <w:sz w:val="20"/>
                <w:szCs w:val="20"/>
                <w:lang w:val="en-US"/>
              </w:rPr>
            </w:pPr>
          </w:p>
          <w:p>
            <w:pPr>
              <w:spacing w:after="0" w:line="240" w:lineRule="auto"/>
              <w:jc w:val="both"/>
              <w:rPr>
                <w:sz w:val="20"/>
                <w:szCs w:val="20"/>
                <w:lang w:val="en-US"/>
              </w:rPr>
            </w:pPr>
          </w:p>
          <w:p>
            <w:pPr>
              <w:spacing w:after="0" w:line="240" w:lineRule="auto"/>
              <w:jc w:val="both"/>
              <w:rPr>
                <w:sz w:val="20"/>
                <w:szCs w:val="20"/>
                <w:lang w:val="en-US"/>
              </w:rPr>
            </w:pPr>
          </w:p>
          <w:p>
            <w:pPr>
              <w:spacing w:after="0" w:line="240" w:lineRule="auto"/>
              <w:jc w:val="both"/>
              <w:rPr>
                <w:sz w:val="20"/>
                <w:szCs w:val="20"/>
                <w:lang w:val="en-US"/>
              </w:rPr>
            </w:pPr>
          </w:p>
          <w:p>
            <w:pPr>
              <w:spacing w:after="0" w:line="240" w:lineRule="auto"/>
              <w:jc w:val="both"/>
              <w:rPr>
                <w:sz w:val="20"/>
                <w:szCs w:val="20"/>
                <w:lang w:val="en-US"/>
              </w:rPr>
            </w:pPr>
          </w:p>
          <w:p>
            <w:pPr>
              <w:spacing w:after="0" w:line="240" w:lineRule="auto"/>
              <w:jc w:val="both"/>
              <w:rPr>
                <w:sz w:val="20"/>
                <w:szCs w:val="20"/>
                <w:lang w:val="en-US"/>
              </w:rPr>
            </w:pPr>
          </w:p>
          <w:p>
            <w:pPr>
              <w:spacing w:after="0" w:line="240" w:lineRule="auto"/>
              <w:jc w:val="both"/>
              <w:rPr>
                <w:sz w:val="20"/>
                <w:szCs w:val="20"/>
                <w:lang w:val="en-US"/>
              </w:rPr>
            </w:pPr>
          </w:p>
          <w:p>
            <w:pPr>
              <w:spacing w:after="0" w:line="240" w:lineRule="auto"/>
              <w:jc w:val="both"/>
              <w:rPr>
                <w:sz w:val="20"/>
                <w:szCs w:val="20"/>
                <w:lang w:val="en-US"/>
              </w:rPr>
            </w:pPr>
          </w:p>
          <w:p>
            <w:pPr>
              <w:spacing w:after="0" w:line="240" w:lineRule="auto"/>
              <w:jc w:val="both"/>
              <w:rPr>
                <w:sz w:val="20"/>
                <w:szCs w:val="20"/>
              </w:rPr>
            </w:pPr>
            <w:r>
              <w:rPr>
                <w:sz w:val="20"/>
                <w:szCs w:val="20"/>
                <w:lang w:val="en-US"/>
              </w:rPr>
              <w:t xml:space="preserve">Once </w:t>
            </w:r>
            <w:r>
              <w:rPr>
                <w:sz w:val="20"/>
                <w:szCs w:val="20"/>
              </w:rPr>
              <w:t xml:space="preserve">the License Division </w:t>
            </w:r>
            <w:r>
              <w:rPr>
                <w:sz w:val="20"/>
                <w:szCs w:val="20"/>
                <w:lang w:val="en-US"/>
              </w:rPr>
              <w:t xml:space="preserve">and </w:t>
            </w:r>
            <w:r>
              <w:rPr>
                <w:sz w:val="20"/>
                <w:szCs w:val="20"/>
              </w:rPr>
              <w:t>Bureau of Permits</w:t>
            </w:r>
            <w:r>
              <w:rPr>
                <w:sz w:val="20"/>
                <w:szCs w:val="20"/>
                <w:lang w:val="en-US"/>
              </w:rPr>
              <w:t xml:space="preserve"> (BOP)</w:t>
            </w:r>
            <w:r>
              <w:rPr>
                <w:sz w:val="20"/>
                <w:szCs w:val="20"/>
              </w:rPr>
              <w:t xml:space="preserve"> </w:t>
            </w:r>
            <w:r>
              <w:rPr>
                <w:sz w:val="20"/>
                <w:szCs w:val="20"/>
                <w:lang w:val="en-US"/>
              </w:rPr>
              <w:t xml:space="preserve">have verified their </w:t>
            </w:r>
            <w:r>
              <w:rPr>
                <w:sz w:val="20"/>
                <w:szCs w:val="20"/>
              </w:rPr>
              <w:t>existence on the database</w:t>
            </w:r>
            <w:r>
              <w:rPr>
                <w:sz w:val="20"/>
                <w:szCs w:val="20"/>
                <w:lang w:val="en-US"/>
              </w:rPr>
              <w:t>,</w:t>
            </w:r>
            <w:r>
              <w:rPr>
                <w:sz w:val="20"/>
                <w:szCs w:val="20"/>
              </w:rPr>
              <w:t xml:space="preserve"> </w:t>
            </w:r>
            <w:r>
              <w:rPr>
                <w:sz w:val="20"/>
                <w:szCs w:val="20"/>
                <w:lang w:val="en-US"/>
              </w:rPr>
              <w:t xml:space="preserve">CTO </w:t>
            </w:r>
            <w:r>
              <w:rPr>
                <w:sz w:val="20"/>
                <w:szCs w:val="20"/>
              </w:rPr>
              <w:t>shall cause the assessment and collection of business taxes and regulatory</w:t>
            </w:r>
          </w:p>
        </w:tc>
        <w:tc>
          <w:tcPr>
            <w:tcW w:w="1872" w:type="dxa"/>
            <w:tcBorders>
              <w:top w:val="single" w:sz="4" w:space="0" w:color="auto"/>
              <w:bottom w:val="single" w:sz="4" w:space="0" w:color="auto"/>
            </w:tcBorders>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The preparation by the MBB of the requested list of business establishments operating in each barangay is ongoing.</w:t>
            </w:r>
          </w:p>
        </w:tc>
      </w:tr>
      <w:tr>
        <w:trPr>
          <w:trHeight w:val="7819"/>
        </w:trPr>
        <w:tc>
          <w:tcPr>
            <w:tcW w:w="1260" w:type="dxa"/>
            <w:vMerge/>
          </w:tcPr>
          <w:p>
            <w:pPr>
              <w:pStyle w:val="NoSpacing"/>
              <w:jc w:val="center"/>
              <w:rPr>
                <w:sz w:val="20"/>
                <w:szCs w:val="20"/>
              </w:rPr>
            </w:pPr>
          </w:p>
        </w:tc>
        <w:tc>
          <w:tcPr>
            <w:tcW w:w="3330" w:type="dxa"/>
            <w:tcBorders>
              <w:top w:val="single" w:sz="4" w:space="0" w:color="auto"/>
            </w:tcBorders>
          </w:tcPr>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ind w:left="609"/>
              <w:jc w:val="both"/>
              <w:rPr>
                <w:sz w:val="20"/>
                <w:szCs w:val="20"/>
                <w:lang w:val="en-US"/>
              </w:rPr>
            </w:pPr>
          </w:p>
          <w:p>
            <w:pPr>
              <w:spacing w:after="0" w:line="240" w:lineRule="auto"/>
              <w:jc w:val="both"/>
              <w:rPr>
                <w:sz w:val="20"/>
                <w:szCs w:val="20"/>
                <w:lang w:val="en-US"/>
              </w:rPr>
            </w:pPr>
          </w:p>
          <w:p>
            <w:pPr>
              <w:numPr>
                <w:ilvl w:val="0"/>
                <w:numId w:val="12"/>
              </w:numPr>
              <w:spacing w:after="0" w:line="240" w:lineRule="auto"/>
              <w:ind w:left="609" w:hanging="263"/>
              <w:jc w:val="both"/>
              <w:rPr>
                <w:sz w:val="20"/>
                <w:szCs w:val="20"/>
                <w:lang w:val="en-US"/>
              </w:rPr>
            </w:pPr>
            <w:r>
              <w:rPr>
                <w:sz w:val="20"/>
                <w:szCs w:val="20"/>
              </w:rPr>
              <w:t>Compare data of identified existing establishments in the City against the data of the concerned barangays; and</w:t>
            </w: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ind w:left="609"/>
              <w:jc w:val="both"/>
              <w:rPr>
                <w:sz w:val="20"/>
                <w:szCs w:val="20"/>
                <w:lang w:val="en-US"/>
              </w:rPr>
            </w:pPr>
          </w:p>
          <w:p>
            <w:pPr>
              <w:numPr>
                <w:ilvl w:val="0"/>
                <w:numId w:val="12"/>
              </w:numPr>
              <w:spacing w:after="0" w:line="240" w:lineRule="auto"/>
              <w:ind w:left="609" w:hanging="267"/>
              <w:jc w:val="both"/>
              <w:rPr>
                <w:sz w:val="20"/>
                <w:szCs w:val="20"/>
              </w:rPr>
            </w:pPr>
            <w:r>
              <w:rPr>
                <w:sz w:val="20"/>
                <w:szCs w:val="20"/>
              </w:rPr>
              <w:t>Pursue the checking of the database with the information contained in the schedule attached for establishments listed in the barangays to determine businesses operating in the City without the required permits and conduct inspection of establishments if necessary.</w:t>
            </w:r>
          </w:p>
          <w:p>
            <w:pPr>
              <w:spacing w:after="0" w:line="240" w:lineRule="auto"/>
              <w:ind w:left="609"/>
              <w:jc w:val="both"/>
              <w:rPr>
                <w:sz w:val="20"/>
                <w:szCs w:val="20"/>
              </w:rPr>
            </w:pPr>
          </w:p>
        </w:tc>
        <w:tc>
          <w:tcPr>
            <w:tcW w:w="1643" w:type="dxa"/>
            <w:tcBorders>
              <w:top w:val="single" w:sz="4" w:space="0" w:color="auto"/>
            </w:tcBorders>
          </w:tcPr>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r>
              <w:rPr>
                <w:sz w:val="20"/>
                <w:szCs w:val="20"/>
              </w:rPr>
              <w:t xml:space="preserve">Partially Implemented </w:t>
            </w: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r>
              <w:rPr>
                <w:sz w:val="20"/>
                <w:szCs w:val="20"/>
              </w:rPr>
              <w:t xml:space="preserve">Partially Implemented </w:t>
            </w:r>
          </w:p>
        </w:tc>
        <w:tc>
          <w:tcPr>
            <w:tcW w:w="1620" w:type="dxa"/>
            <w:tcBorders>
              <w:top w:val="single" w:sz="4" w:space="0" w:color="auto"/>
            </w:tcBorders>
          </w:tcPr>
          <w:p>
            <w:pPr>
              <w:spacing w:after="0" w:line="240" w:lineRule="auto"/>
              <w:jc w:val="both"/>
              <w:rPr>
                <w:sz w:val="20"/>
                <w:szCs w:val="20"/>
              </w:rPr>
            </w:pPr>
            <w:r>
              <w:rPr>
                <w:sz w:val="20"/>
                <w:szCs w:val="20"/>
              </w:rPr>
              <w:t xml:space="preserve"> </w:t>
            </w:r>
            <w:proofErr w:type="gramStart"/>
            <w:r>
              <w:rPr>
                <w:sz w:val="20"/>
                <w:szCs w:val="20"/>
              </w:rPr>
              <w:t>fees</w:t>
            </w:r>
            <w:proofErr w:type="gramEnd"/>
            <w:r>
              <w:rPr>
                <w:sz w:val="20"/>
                <w:szCs w:val="20"/>
              </w:rPr>
              <w:t xml:space="preserve"> pursuant to Sec</w:t>
            </w:r>
            <w:r>
              <w:rPr>
                <w:sz w:val="20"/>
                <w:szCs w:val="20"/>
                <w:lang w:val="en-US"/>
              </w:rPr>
              <w:t>.</w:t>
            </w:r>
            <w:r>
              <w:rPr>
                <w:sz w:val="20"/>
                <w:szCs w:val="20"/>
              </w:rPr>
              <w:t xml:space="preserve"> 152 of the LGC</w:t>
            </w:r>
            <w:r>
              <w:rPr>
                <w:sz w:val="20"/>
                <w:szCs w:val="20"/>
                <w:lang w:val="en-US"/>
              </w:rPr>
              <w:t xml:space="preserve"> and</w:t>
            </w:r>
            <w:r>
              <w:rPr>
                <w:sz w:val="20"/>
                <w:szCs w:val="20"/>
              </w:rPr>
              <w:t xml:space="preserve"> Ordinance 8331.</w:t>
            </w:r>
          </w:p>
          <w:p>
            <w:pPr>
              <w:spacing w:after="0" w:line="240" w:lineRule="auto"/>
              <w:jc w:val="both"/>
              <w:rPr>
                <w:sz w:val="20"/>
                <w:szCs w:val="20"/>
              </w:rPr>
            </w:pPr>
          </w:p>
          <w:p>
            <w:pPr>
              <w:pStyle w:val="NoSpacing"/>
              <w:jc w:val="both"/>
              <w:rPr>
                <w:sz w:val="20"/>
                <w:szCs w:val="20"/>
                <w:lang w:val="en-US"/>
              </w:rPr>
            </w:pPr>
            <w:r>
              <w:rPr>
                <w:sz w:val="20"/>
                <w:szCs w:val="20"/>
              </w:rPr>
              <w:t xml:space="preserve">The </w:t>
            </w:r>
            <w:r>
              <w:rPr>
                <w:sz w:val="20"/>
                <w:szCs w:val="20"/>
                <w:lang w:val="en-US"/>
              </w:rPr>
              <w:t>BOP</w:t>
            </w:r>
            <w:r>
              <w:rPr>
                <w:sz w:val="20"/>
                <w:szCs w:val="20"/>
              </w:rPr>
              <w:t xml:space="preserve"> requested the Manila Barangay Bureau (MBB) to require all barangays to submit the list of business establishment</w:t>
            </w:r>
            <w:r>
              <w:rPr>
                <w:sz w:val="20"/>
                <w:szCs w:val="20"/>
                <w:lang w:val="en-US"/>
              </w:rPr>
              <w:t>s</w:t>
            </w:r>
            <w:r>
              <w:rPr>
                <w:sz w:val="20"/>
                <w:szCs w:val="20"/>
              </w:rPr>
              <w:t xml:space="preserve"> in their jurisdiction for </w:t>
            </w:r>
            <w:r>
              <w:rPr>
                <w:sz w:val="20"/>
                <w:szCs w:val="20"/>
                <w:lang w:val="en-US"/>
              </w:rPr>
              <w:t>r</w:t>
            </w:r>
            <w:r>
              <w:rPr>
                <w:sz w:val="20"/>
                <w:szCs w:val="20"/>
              </w:rPr>
              <w:t>econciliation</w:t>
            </w:r>
            <w:r>
              <w:rPr>
                <w:sz w:val="20"/>
                <w:szCs w:val="20"/>
                <w:lang w:val="en-US"/>
              </w:rPr>
              <w:t xml:space="preserve"> / </w:t>
            </w:r>
            <w:r>
              <w:rPr>
                <w:sz w:val="20"/>
                <w:szCs w:val="20"/>
              </w:rPr>
              <w:t>updating of the database</w:t>
            </w:r>
            <w:r>
              <w:rPr>
                <w:sz w:val="20"/>
                <w:szCs w:val="20"/>
                <w:lang w:val="en-US"/>
              </w:rPr>
              <w:t>.</w:t>
            </w:r>
          </w:p>
          <w:p>
            <w:pPr>
              <w:pStyle w:val="NoSpacing"/>
              <w:jc w:val="both"/>
              <w:rPr>
                <w:sz w:val="20"/>
                <w:szCs w:val="20"/>
                <w:lang w:val="en-US"/>
              </w:rPr>
            </w:pPr>
          </w:p>
          <w:p>
            <w:pPr>
              <w:pStyle w:val="NoSpacing"/>
              <w:jc w:val="both"/>
              <w:rPr>
                <w:sz w:val="20"/>
                <w:szCs w:val="20"/>
                <w:lang w:val="en-US"/>
              </w:rPr>
            </w:pPr>
            <w:r>
              <w:rPr>
                <w:sz w:val="20"/>
                <w:szCs w:val="20"/>
              </w:rPr>
              <w:t xml:space="preserve">The </w:t>
            </w:r>
            <w:r>
              <w:rPr>
                <w:sz w:val="20"/>
                <w:szCs w:val="20"/>
                <w:lang w:val="en-US"/>
              </w:rPr>
              <w:t>BOP</w:t>
            </w:r>
            <w:r>
              <w:rPr>
                <w:sz w:val="20"/>
                <w:szCs w:val="20"/>
              </w:rPr>
              <w:t xml:space="preserve"> requested the MBB to require all barangays to submit the list of business establishment</w:t>
            </w:r>
            <w:r>
              <w:rPr>
                <w:sz w:val="20"/>
                <w:szCs w:val="20"/>
                <w:lang w:val="en-US"/>
              </w:rPr>
              <w:t>s</w:t>
            </w:r>
            <w:r>
              <w:rPr>
                <w:sz w:val="20"/>
                <w:szCs w:val="20"/>
              </w:rPr>
              <w:t xml:space="preserve"> in their jurisdiction for </w:t>
            </w:r>
            <w:r>
              <w:rPr>
                <w:sz w:val="20"/>
                <w:szCs w:val="20"/>
                <w:lang w:val="en-US"/>
              </w:rPr>
              <w:t>r</w:t>
            </w:r>
            <w:r>
              <w:rPr>
                <w:sz w:val="20"/>
                <w:szCs w:val="20"/>
              </w:rPr>
              <w:t>econciliation</w:t>
            </w:r>
            <w:r>
              <w:rPr>
                <w:sz w:val="20"/>
                <w:szCs w:val="20"/>
                <w:lang w:val="en-US"/>
              </w:rPr>
              <w:t xml:space="preserve"> / </w:t>
            </w:r>
            <w:r>
              <w:rPr>
                <w:sz w:val="20"/>
                <w:szCs w:val="20"/>
              </w:rPr>
              <w:t>updating of the database</w:t>
            </w:r>
            <w:r>
              <w:rPr>
                <w:sz w:val="20"/>
                <w:szCs w:val="20"/>
                <w:lang w:val="en-US"/>
              </w:rPr>
              <w:t>.</w:t>
            </w:r>
          </w:p>
          <w:p>
            <w:pPr>
              <w:pStyle w:val="NoSpacing"/>
              <w:jc w:val="both"/>
              <w:rPr>
                <w:sz w:val="20"/>
                <w:szCs w:val="20"/>
                <w:lang w:val="en-US"/>
              </w:rPr>
            </w:pPr>
          </w:p>
          <w:p>
            <w:pPr>
              <w:pStyle w:val="NoSpacing"/>
              <w:jc w:val="both"/>
              <w:rPr>
                <w:sz w:val="20"/>
                <w:szCs w:val="20"/>
              </w:rPr>
            </w:pPr>
            <w:r>
              <w:rPr>
                <w:sz w:val="20"/>
                <w:szCs w:val="20"/>
                <w:lang w:val="en-US"/>
              </w:rPr>
              <w:t>Same as in the preceding recommendation</w:t>
            </w:r>
          </w:p>
        </w:tc>
        <w:tc>
          <w:tcPr>
            <w:tcW w:w="1872" w:type="dxa"/>
            <w:tcBorders>
              <w:top w:val="single" w:sz="4" w:space="0" w:color="auto"/>
            </w:tcBorders>
          </w:tcPr>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rPr>
            </w:pPr>
            <w:r>
              <w:rPr>
                <w:sz w:val="20"/>
                <w:szCs w:val="20"/>
                <w:lang w:val="en-US"/>
              </w:rPr>
              <w:t>Same as in the preceding recommendation.</w:t>
            </w: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lang w:val="en-US"/>
              </w:rPr>
            </w:pPr>
          </w:p>
          <w:p>
            <w:pPr>
              <w:pStyle w:val="NoSpacing"/>
              <w:jc w:val="both"/>
              <w:rPr>
                <w:sz w:val="20"/>
                <w:szCs w:val="20"/>
              </w:rPr>
            </w:pPr>
            <w:r>
              <w:rPr>
                <w:sz w:val="20"/>
                <w:szCs w:val="20"/>
                <w:lang w:val="en-US"/>
              </w:rPr>
              <w:t>Same as in the preceding recommendation.</w:t>
            </w:r>
          </w:p>
        </w:tc>
      </w:tr>
      <w:tr>
        <w:trPr>
          <w:trHeight w:val="10809"/>
        </w:trPr>
        <w:tc>
          <w:tcPr>
            <w:tcW w:w="1260" w:type="dxa"/>
          </w:tcPr>
          <w:p>
            <w:pPr>
              <w:pStyle w:val="NoSpacing"/>
              <w:jc w:val="center"/>
              <w:rPr>
                <w:sz w:val="20"/>
                <w:szCs w:val="20"/>
              </w:rPr>
            </w:pPr>
            <w:r>
              <w:rPr>
                <w:sz w:val="20"/>
                <w:szCs w:val="20"/>
              </w:rPr>
              <w:lastRenderedPageBreak/>
              <w:t>Observation No. 24,</w:t>
            </w:r>
          </w:p>
          <w:p>
            <w:pPr>
              <w:pStyle w:val="NoSpacing"/>
              <w:jc w:val="center"/>
              <w:rPr>
                <w:sz w:val="20"/>
                <w:szCs w:val="20"/>
              </w:rPr>
            </w:pPr>
            <w:r>
              <w:rPr>
                <w:sz w:val="20"/>
                <w:szCs w:val="20"/>
              </w:rPr>
              <w:t xml:space="preserve">Pages </w:t>
            </w:r>
          </w:p>
          <w:p>
            <w:pPr>
              <w:pStyle w:val="NoSpacing"/>
              <w:jc w:val="center"/>
              <w:rPr>
                <w:sz w:val="20"/>
                <w:szCs w:val="20"/>
              </w:rPr>
            </w:pPr>
            <w:r>
              <w:rPr>
                <w:sz w:val="20"/>
                <w:szCs w:val="20"/>
              </w:rPr>
              <w:t>108-112</w:t>
            </w:r>
          </w:p>
        </w:tc>
        <w:tc>
          <w:tcPr>
            <w:tcW w:w="3330" w:type="dxa"/>
          </w:tcPr>
          <w:p>
            <w:pPr>
              <w:numPr>
                <w:ilvl w:val="0"/>
                <w:numId w:val="1"/>
              </w:numPr>
              <w:spacing w:after="0" w:line="240" w:lineRule="auto"/>
              <w:ind w:left="338"/>
              <w:jc w:val="both"/>
              <w:rPr>
                <w:sz w:val="20"/>
                <w:szCs w:val="20"/>
                <w:shd w:val="clear" w:color="auto" w:fill="FFFFFF"/>
              </w:rPr>
            </w:pPr>
            <w:r>
              <w:rPr>
                <w:sz w:val="20"/>
                <w:szCs w:val="20"/>
              </w:rPr>
              <w:t xml:space="preserve">The maximum utilization of the 20% Development Fund (DF) was not fully attained due to (a) savings/unexpended balances amounting to P18.513 million not re-appropriated to eligible development projects; (b) 24 prior years’ development projects worth P95.408 million </w:t>
            </w:r>
            <w:r>
              <w:rPr>
                <w:sz w:val="20"/>
                <w:szCs w:val="20"/>
                <w:lang w:val="en-US"/>
              </w:rPr>
              <w:t xml:space="preserve">that </w:t>
            </w:r>
            <w:r>
              <w:rPr>
                <w:sz w:val="20"/>
                <w:szCs w:val="20"/>
              </w:rPr>
              <w:t>remained unimplemented; and (c) delay in execution of 47 awarded projects and non-procurement ten projects for lack of proper planning.</w:t>
            </w:r>
          </w:p>
          <w:p>
            <w:pPr>
              <w:spacing w:after="0" w:line="240" w:lineRule="auto"/>
              <w:ind w:left="338"/>
              <w:jc w:val="both"/>
              <w:rPr>
                <w:sz w:val="20"/>
                <w:szCs w:val="20"/>
                <w:shd w:val="clear" w:color="auto" w:fill="FFFFFF"/>
              </w:rPr>
            </w:pPr>
          </w:p>
          <w:p>
            <w:pPr>
              <w:spacing w:after="0" w:line="240" w:lineRule="auto"/>
              <w:ind w:left="346"/>
              <w:jc w:val="both"/>
              <w:rPr>
                <w:sz w:val="20"/>
                <w:szCs w:val="20"/>
              </w:rPr>
            </w:pPr>
            <w:r>
              <w:rPr>
                <w:sz w:val="20"/>
                <w:szCs w:val="20"/>
              </w:rPr>
              <w:t>We reiterated our recommendation that:</w:t>
            </w:r>
          </w:p>
          <w:p>
            <w:pPr>
              <w:spacing w:after="0" w:line="240" w:lineRule="auto"/>
              <w:ind w:left="346"/>
              <w:jc w:val="both"/>
              <w:rPr>
                <w:sz w:val="20"/>
                <w:szCs w:val="20"/>
              </w:rPr>
            </w:pPr>
          </w:p>
          <w:p>
            <w:pPr>
              <w:numPr>
                <w:ilvl w:val="1"/>
                <w:numId w:val="13"/>
              </w:numPr>
              <w:spacing w:after="0" w:line="240" w:lineRule="auto"/>
              <w:ind w:left="609" w:hanging="263"/>
              <w:jc w:val="both"/>
              <w:rPr>
                <w:sz w:val="20"/>
                <w:szCs w:val="20"/>
                <w:lang w:val="en-US"/>
              </w:rPr>
            </w:pPr>
            <w:r>
              <w:rPr>
                <w:sz w:val="20"/>
                <w:szCs w:val="20"/>
              </w:rPr>
              <w:t>The City Budget Officer and the City Development Council of Manila re-appropriate for eligible development projects the savings/unexpended balance from the implementation of projects under the 20% DF pursuant to Section II. 5 of DILG Memorandum Circular No. 99-66 dated April 23, 1999, to attain maximum utilization of the fund; and</w:t>
            </w: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jc w:val="both"/>
              <w:rPr>
                <w:sz w:val="20"/>
                <w:szCs w:val="20"/>
                <w:lang w:val="en-US"/>
              </w:rPr>
            </w:pPr>
          </w:p>
          <w:p>
            <w:pPr>
              <w:numPr>
                <w:ilvl w:val="1"/>
                <w:numId w:val="13"/>
              </w:numPr>
              <w:spacing w:after="0" w:line="240" w:lineRule="auto"/>
              <w:ind w:left="609" w:hanging="263"/>
              <w:jc w:val="both"/>
              <w:rPr>
                <w:sz w:val="20"/>
                <w:szCs w:val="20"/>
                <w:lang w:val="en-US"/>
              </w:rPr>
            </w:pPr>
            <w:r>
              <w:rPr>
                <w:sz w:val="20"/>
                <w:szCs w:val="20"/>
              </w:rPr>
              <w:t>The Management ensure the optimum utilization of the 20% DF thru the efficient implementation of all priority development projects and programs envisioned to help in the attainment of social, economic and environmental development of the City.</w:t>
            </w:r>
          </w:p>
          <w:p>
            <w:pPr>
              <w:pStyle w:val="ListParagraph"/>
              <w:ind w:left="0"/>
              <w:jc w:val="both"/>
              <w:rPr>
                <w:sz w:val="20"/>
                <w:szCs w:val="20"/>
                <w:shd w:val="clear" w:color="auto" w:fill="FFFFFF"/>
              </w:rPr>
            </w:pPr>
          </w:p>
        </w:tc>
        <w:tc>
          <w:tcPr>
            <w:tcW w:w="1643" w:type="dxa"/>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Partially Implemented</w:t>
            </w: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r>
              <w:rPr>
                <w:sz w:val="20"/>
                <w:szCs w:val="20"/>
              </w:rPr>
              <w:t>Fully Implemented</w:t>
            </w:r>
          </w:p>
        </w:tc>
        <w:tc>
          <w:tcPr>
            <w:tcW w:w="1620" w:type="dxa"/>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 xml:space="preserve">The City Budget Officer requested the City Engineer to submit </w:t>
            </w:r>
            <w:r>
              <w:rPr>
                <w:sz w:val="20"/>
                <w:szCs w:val="20"/>
                <w:lang w:val="en-US"/>
              </w:rPr>
              <w:t xml:space="preserve">the </w:t>
            </w:r>
            <w:r>
              <w:rPr>
                <w:sz w:val="20"/>
                <w:szCs w:val="20"/>
              </w:rPr>
              <w:t>breakdown of the proposed projects under the 20% DF and OCAT to issue Certificate of Availability of Funds for the unexpended balances from 2011 to 2016.</w:t>
            </w:r>
          </w:p>
          <w:p>
            <w:pPr>
              <w:pStyle w:val="NoSpacing"/>
              <w:jc w:val="both"/>
              <w:rPr>
                <w:sz w:val="20"/>
                <w:szCs w:val="20"/>
              </w:rPr>
            </w:pPr>
          </w:p>
          <w:p>
            <w:pPr>
              <w:spacing w:after="0" w:line="240" w:lineRule="auto"/>
              <w:jc w:val="both"/>
              <w:rPr>
                <w:sz w:val="20"/>
                <w:szCs w:val="20"/>
                <w:lang w:val="en-US"/>
              </w:rPr>
            </w:pPr>
            <w:r>
              <w:rPr>
                <w:sz w:val="20"/>
                <w:szCs w:val="20"/>
              </w:rPr>
              <w:t>All development projects executed in 2018 were fully implemented as at year-end as shown in the City’s Department of Engineering and Public Works Report as of 30/06/2021.</w:t>
            </w:r>
          </w:p>
          <w:p>
            <w:pPr>
              <w:pStyle w:val="NoSpacing"/>
              <w:jc w:val="both"/>
              <w:rPr>
                <w:sz w:val="20"/>
                <w:szCs w:val="20"/>
              </w:rPr>
            </w:pPr>
          </w:p>
        </w:tc>
        <w:tc>
          <w:tcPr>
            <w:tcW w:w="1872" w:type="dxa"/>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Savings/unexpende-d balance of P69.555 million are not yet re-appropriated for eligible development projects to date.</w:t>
            </w:r>
          </w:p>
        </w:tc>
      </w:tr>
      <w:tr>
        <w:trPr>
          <w:trHeight w:val="5750"/>
        </w:trPr>
        <w:tc>
          <w:tcPr>
            <w:tcW w:w="1260" w:type="dxa"/>
            <w:tcBorders>
              <w:bottom w:val="single" w:sz="4" w:space="0" w:color="auto"/>
            </w:tcBorders>
          </w:tcPr>
          <w:p>
            <w:pPr>
              <w:pStyle w:val="NoSpacing"/>
              <w:jc w:val="center"/>
              <w:rPr>
                <w:sz w:val="20"/>
                <w:szCs w:val="20"/>
              </w:rPr>
            </w:pPr>
            <w:r>
              <w:rPr>
                <w:sz w:val="20"/>
                <w:szCs w:val="20"/>
              </w:rPr>
              <w:lastRenderedPageBreak/>
              <w:t>Observation No. 28,</w:t>
            </w:r>
          </w:p>
          <w:p>
            <w:pPr>
              <w:pStyle w:val="NoSpacing"/>
              <w:jc w:val="center"/>
              <w:rPr>
                <w:sz w:val="20"/>
                <w:szCs w:val="20"/>
              </w:rPr>
            </w:pPr>
            <w:r>
              <w:rPr>
                <w:sz w:val="20"/>
                <w:szCs w:val="20"/>
              </w:rPr>
              <w:t>Pages</w:t>
            </w:r>
          </w:p>
          <w:p>
            <w:pPr>
              <w:pStyle w:val="NoSpacing"/>
              <w:jc w:val="center"/>
              <w:rPr>
                <w:sz w:val="20"/>
                <w:szCs w:val="20"/>
              </w:rPr>
            </w:pPr>
            <w:r>
              <w:rPr>
                <w:sz w:val="20"/>
                <w:szCs w:val="20"/>
              </w:rPr>
              <w:t xml:space="preserve"> 130-134</w:t>
            </w:r>
          </w:p>
        </w:tc>
        <w:tc>
          <w:tcPr>
            <w:tcW w:w="3330" w:type="dxa"/>
            <w:tcBorders>
              <w:bottom w:val="single" w:sz="4" w:space="0" w:color="auto"/>
            </w:tcBorders>
          </w:tcPr>
          <w:p>
            <w:pPr>
              <w:numPr>
                <w:ilvl w:val="0"/>
                <w:numId w:val="1"/>
              </w:numPr>
              <w:spacing w:after="0" w:line="240" w:lineRule="auto"/>
              <w:ind w:left="338"/>
              <w:jc w:val="both"/>
              <w:rPr>
                <w:sz w:val="20"/>
                <w:szCs w:val="20"/>
                <w:shd w:val="clear" w:color="auto" w:fill="FFFFFF"/>
              </w:rPr>
            </w:pPr>
            <w:r>
              <w:rPr>
                <w:sz w:val="20"/>
                <w:szCs w:val="20"/>
              </w:rPr>
              <w:t xml:space="preserve">The mandatory positions in the Local Disaster Risk Reduction and Management Office (LDRRMO) were not fully established. </w:t>
            </w:r>
            <w:r>
              <w:rPr>
                <w:sz w:val="20"/>
                <w:szCs w:val="20"/>
                <w:lang w:val="en-US"/>
              </w:rPr>
              <w:t>O</w:t>
            </w:r>
            <w:r>
              <w:rPr>
                <w:sz w:val="20"/>
                <w:szCs w:val="20"/>
              </w:rPr>
              <w:t xml:space="preserve">ut of the P2.491 billion available LDRRM Fund, only P974.768 million or 39.13 percent was utilized due to the delay/non-implementation of planned PPAs. </w:t>
            </w:r>
            <w:r>
              <w:rPr>
                <w:sz w:val="20"/>
                <w:szCs w:val="20"/>
                <w:lang w:val="en-US"/>
              </w:rPr>
              <w:t>C</w:t>
            </w:r>
            <w:r>
              <w:rPr>
                <w:sz w:val="20"/>
                <w:szCs w:val="20"/>
              </w:rPr>
              <w:t>opy of the Report on Sources and Utilization of Disaster Risk Reduction and Management Fund remained unsubmitted to the CAO and Office of the Civil Defense and the DILG-LGOO.</w:t>
            </w:r>
          </w:p>
          <w:p>
            <w:pPr>
              <w:spacing w:after="0" w:line="240" w:lineRule="auto"/>
              <w:ind w:left="338"/>
              <w:jc w:val="both"/>
              <w:rPr>
                <w:sz w:val="20"/>
                <w:szCs w:val="20"/>
                <w:shd w:val="clear" w:color="auto" w:fill="FFFFFF"/>
              </w:rPr>
            </w:pPr>
          </w:p>
          <w:p>
            <w:pPr>
              <w:spacing w:after="0" w:line="240" w:lineRule="auto"/>
              <w:ind w:left="346"/>
              <w:jc w:val="both"/>
              <w:rPr>
                <w:sz w:val="20"/>
                <w:szCs w:val="20"/>
                <w:lang w:val="en-US"/>
              </w:rPr>
            </w:pPr>
            <w:r>
              <w:rPr>
                <w:sz w:val="20"/>
                <w:szCs w:val="20"/>
              </w:rPr>
              <w:t>We recommended that Management facilitate the creation of the required mandatory positions or assign/designate qualified personnel/employees to help and assist the Director of the MDRRMO in the efficient and effective operations of the said Office.</w:t>
            </w:r>
          </w:p>
          <w:p>
            <w:pPr>
              <w:pStyle w:val="ListParagraph"/>
              <w:ind w:left="360"/>
              <w:jc w:val="both"/>
              <w:rPr>
                <w:sz w:val="20"/>
                <w:szCs w:val="20"/>
                <w:shd w:val="clear" w:color="auto" w:fill="FFFFFF"/>
              </w:rPr>
            </w:pPr>
          </w:p>
        </w:tc>
        <w:tc>
          <w:tcPr>
            <w:tcW w:w="1643" w:type="dxa"/>
            <w:tcBorders>
              <w:bottom w:val="single" w:sz="4" w:space="0" w:color="auto"/>
            </w:tcBorders>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 xml:space="preserve">Partially Implemented </w:t>
            </w:r>
          </w:p>
          <w:p>
            <w:pPr>
              <w:pStyle w:val="NoSpacing"/>
              <w:jc w:val="center"/>
              <w:rPr>
                <w:sz w:val="20"/>
                <w:szCs w:val="20"/>
              </w:rPr>
            </w:pPr>
          </w:p>
        </w:tc>
        <w:tc>
          <w:tcPr>
            <w:tcW w:w="1620" w:type="dxa"/>
            <w:tcBorders>
              <w:bottom w:val="single" w:sz="4" w:space="0" w:color="auto"/>
            </w:tcBorders>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 xml:space="preserve">The MDRRMO submitted to the City Personnel Office a letter recommendation for creation of </w:t>
            </w:r>
            <w:r>
              <w:rPr>
                <w:sz w:val="20"/>
                <w:szCs w:val="20"/>
                <w:lang w:val="en-US"/>
              </w:rPr>
              <w:t xml:space="preserve">the </w:t>
            </w:r>
            <w:r>
              <w:rPr>
                <w:sz w:val="20"/>
                <w:szCs w:val="20"/>
              </w:rPr>
              <w:t>mandatory positions that are needed to be filled up.</w:t>
            </w:r>
          </w:p>
          <w:p>
            <w:pPr>
              <w:pStyle w:val="NoSpacing"/>
              <w:jc w:val="both"/>
              <w:rPr>
                <w:sz w:val="20"/>
                <w:szCs w:val="20"/>
              </w:rPr>
            </w:pPr>
          </w:p>
          <w:p>
            <w:pPr>
              <w:pStyle w:val="NoSpacing"/>
              <w:jc w:val="both"/>
              <w:rPr>
                <w:sz w:val="20"/>
                <w:szCs w:val="20"/>
              </w:rPr>
            </w:pPr>
          </w:p>
        </w:tc>
        <w:tc>
          <w:tcPr>
            <w:tcW w:w="1872" w:type="dxa"/>
            <w:tcBorders>
              <w:bottom w:val="single" w:sz="4" w:space="0" w:color="auto"/>
            </w:tcBorders>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t>Management did not submit the organizational chart of the City's LDRRMO.</w:t>
            </w:r>
          </w:p>
        </w:tc>
      </w:tr>
      <w:tr>
        <w:trPr>
          <w:trHeight w:val="70"/>
        </w:trPr>
        <w:tc>
          <w:tcPr>
            <w:tcW w:w="1260" w:type="dxa"/>
            <w:tcBorders>
              <w:top w:val="single" w:sz="4" w:space="0" w:color="auto"/>
              <w:bottom w:val="single" w:sz="4" w:space="0" w:color="auto"/>
            </w:tcBorders>
          </w:tcPr>
          <w:p>
            <w:pPr>
              <w:pStyle w:val="NoSpacing"/>
              <w:jc w:val="center"/>
              <w:rPr>
                <w:sz w:val="20"/>
                <w:szCs w:val="20"/>
              </w:rPr>
            </w:pPr>
            <w:r>
              <w:rPr>
                <w:sz w:val="20"/>
                <w:szCs w:val="20"/>
              </w:rPr>
              <w:t>Observation No. 30,</w:t>
            </w:r>
          </w:p>
          <w:p>
            <w:pPr>
              <w:pStyle w:val="NoSpacing"/>
              <w:jc w:val="center"/>
              <w:rPr>
                <w:sz w:val="20"/>
                <w:szCs w:val="20"/>
              </w:rPr>
            </w:pPr>
            <w:r>
              <w:rPr>
                <w:sz w:val="20"/>
                <w:szCs w:val="20"/>
              </w:rPr>
              <w:t xml:space="preserve">Pages </w:t>
            </w:r>
          </w:p>
          <w:p>
            <w:pPr>
              <w:pStyle w:val="NoSpacing"/>
              <w:jc w:val="center"/>
              <w:rPr>
                <w:sz w:val="20"/>
                <w:szCs w:val="20"/>
              </w:rPr>
            </w:pPr>
            <w:r>
              <w:rPr>
                <w:sz w:val="20"/>
                <w:szCs w:val="20"/>
              </w:rPr>
              <w:t>135-136</w:t>
            </w:r>
          </w:p>
        </w:tc>
        <w:tc>
          <w:tcPr>
            <w:tcW w:w="3330" w:type="dxa"/>
            <w:tcBorders>
              <w:top w:val="single" w:sz="4" w:space="0" w:color="auto"/>
              <w:bottom w:val="single" w:sz="4" w:space="0" w:color="auto"/>
            </w:tcBorders>
          </w:tcPr>
          <w:p>
            <w:pPr>
              <w:numPr>
                <w:ilvl w:val="0"/>
                <w:numId w:val="1"/>
              </w:numPr>
              <w:spacing w:after="0" w:line="240" w:lineRule="auto"/>
              <w:ind w:left="338"/>
              <w:jc w:val="both"/>
              <w:rPr>
                <w:bCs/>
                <w:sz w:val="20"/>
                <w:szCs w:val="20"/>
              </w:rPr>
            </w:pPr>
            <w:r>
              <w:rPr>
                <w:sz w:val="20"/>
                <w:szCs w:val="20"/>
              </w:rPr>
              <w:t>Taxes withheld on compensation, payment of consultants, job orders (JOs), contractors and suppliers in CY 2018 were not remitted accurately and in full, thus, showing under remittance in the total amount of P44.940 million, which may result in the incurrence of unnecessary penalties and charges.</w:t>
            </w:r>
          </w:p>
          <w:p>
            <w:pPr>
              <w:spacing w:after="0" w:line="240" w:lineRule="auto"/>
              <w:ind w:left="338"/>
              <w:jc w:val="both"/>
              <w:rPr>
                <w:bCs/>
                <w:sz w:val="20"/>
                <w:szCs w:val="20"/>
              </w:rPr>
            </w:pPr>
          </w:p>
          <w:p>
            <w:pPr>
              <w:spacing w:after="0" w:line="240" w:lineRule="auto"/>
              <w:ind w:left="346"/>
              <w:jc w:val="both"/>
              <w:rPr>
                <w:sz w:val="20"/>
                <w:szCs w:val="20"/>
              </w:rPr>
            </w:pPr>
            <w:r>
              <w:rPr>
                <w:sz w:val="20"/>
                <w:szCs w:val="20"/>
              </w:rPr>
              <w:t>We recommended that Management:</w:t>
            </w:r>
          </w:p>
          <w:p>
            <w:pPr>
              <w:spacing w:after="0" w:line="240" w:lineRule="auto"/>
              <w:ind w:left="346"/>
              <w:jc w:val="both"/>
              <w:rPr>
                <w:sz w:val="20"/>
                <w:szCs w:val="20"/>
              </w:rPr>
            </w:pPr>
          </w:p>
          <w:p>
            <w:pPr>
              <w:numPr>
                <w:ilvl w:val="1"/>
                <w:numId w:val="14"/>
              </w:numPr>
              <w:spacing w:after="0" w:line="240" w:lineRule="auto"/>
              <w:ind w:left="609" w:hanging="263"/>
              <w:jc w:val="both"/>
              <w:rPr>
                <w:sz w:val="20"/>
                <w:szCs w:val="20"/>
                <w:lang w:val="en-US"/>
              </w:rPr>
            </w:pPr>
            <w:r>
              <w:rPr>
                <w:sz w:val="20"/>
                <w:szCs w:val="20"/>
              </w:rPr>
              <w:t>Ensure the regular and accurate remittance in full of all the taxes withheld on compensation, payment of consultants, JOs, contractors and suppliers to avoid incurrence of unnecessary expenses in the form of interests, penalties and surcharges; and</w:t>
            </w:r>
          </w:p>
          <w:p>
            <w:pPr>
              <w:spacing w:after="0" w:line="240" w:lineRule="auto"/>
              <w:jc w:val="both"/>
              <w:rPr>
                <w:sz w:val="20"/>
                <w:szCs w:val="20"/>
              </w:rPr>
            </w:pPr>
          </w:p>
          <w:p>
            <w:pPr>
              <w:numPr>
                <w:ilvl w:val="1"/>
                <w:numId w:val="14"/>
              </w:numPr>
              <w:spacing w:after="0" w:line="240" w:lineRule="auto"/>
              <w:ind w:left="609" w:hanging="263"/>
              <w:jc w:val="both"/>
              <w:rPr>
                <w:sz w:val="20"/>
                <w:szCs w:val="20"/>
                <w:lang w:val="en-US"/>
              </w:rPr>
            </w:pPr>
            <w:r>
              <w:rPr>
                <w:sz w:val="20"/>
                <w:szCs w:val="20"/>
              </w:rPr>
              <w:lastRenderedPageBreak/>
              <w:t xml:space="preserve">Direct the City Accountant to analyze the balance of the </w:t>
            </w:r>
            <w:r>
              <w:rPr>
                <w:i/>
                <w:iCs/>
                <w:sz w:val="20"/>
                <w:szCs w:val="20"/>
              </w:rPr>
              <w:t xml:space="preserve">Due to BIR </w:t>
            </w:r>
            <w:r>
              <w:rPr>
                <w:sz w:val="20"/>
                <w:szCs w:val="20"/>
              </w:rPr>
              <w:t>to determine the nature and composition of the account</w:t>
            </w:r>
            <w:r>
              <w:rPr>
                <w:i/>
                <w:iCs/>
                <w:sz w:val="20"/>
                <w:szCs w:val="20"/>
              </w:rPr>
              <w:t>.</w:t>
            </w:r>
            <w:r>
              <w:rPr>
                <w:sz w:val="20"/>
                <w:szCs w:val="20"/>
              </w:rPr>
              <w:t xml:space="preserve"> If the balance pertains to unremitted taxes, then cause the immediate remittance to the BIR, otherwise, make the necessary adjustments.</w:t>
            </w:r>
          </w:p>
          <w:p>
            <w:pPr>
              <w:spacing w:after="0" w:line="240" w:lineRule="auto"/>
              <w:ind w:left="338"/>
              <w:jc w:val="both"/>
              <w:rPr>
                <w:bCs/>
                <w:sz w:val="20"/>
                <w:szCs w:val="20"/>
              </w:rPr>
            </w:pPr>
          </w:p>
          <w:p>
            <w:pPr>
              <w:spacing w:after="0" w:line="240" w:lineRule="auto"/>
              <w:ind w:left="338"/>
              <w:jc w:val="both"/>
              <w:rPr>
                <w:bCs/>
                <w:sz w:val="20"/>
                <w:szCs w:val="20"/>
              </w:rPr>
            </w:pPr>
          </w:p>
        </w:tc>
        <w:tc>
          <w:tcPr>
            <w:tcW w:w="1643" w:type="dxa"/>
            <w:tcBorders>
              <w:top w:val="single" w:sz="4" w:space="0" w:color="auto"/>
              <w:bottom w:val="single" w:sz="4" w:space="0" w:color="auto"/>
            </w:tcBorders>
          </w:tcPr>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p>
          <w:p>
            <w:pPr>
              <w:pStyle w:val="NoSpacing"/>
              <w:jc w:val="center"/>
              <w:rPr>
                <w:sz w:val="20"/>
                <w:szCs w:val="20"/>
              </w:rPr>
            </w:pPr>
            <w:r>
              <w:rPr>
                <w:sz w:val="20"/>
                <w:szCs w:val="20"/>
              </w:rPr>
              <w:t>Fully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lastRenderedPageBreak/>
              <w:t>Partially Implemented</w:t>
            </w:r>
          </w:p>
          <w:p>
            <w:pPr>
              <w:pStyle w:val="NoSpacing"/>
              <w:jc w:val="center"/>
              <w:rPr>
                <w:sz w:val="20"/>
                <w:szCs w:val="20"/>
              </w:rPr>
            </w:pPr>
          </w:p>
        </w:tc>
        <w:tc>
          <w:tcPr>
            <w:tcW w:w="1620" w:type="dxa"/>
            <w:tcBorders>
              <w:top w:val="single" w:sz="4" w:space="0" w:color="auto"/>
              <w:bottom w:val="single" w:sz="4" w:space="0" w:color="auto"/>
            </w:tcBorders>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spacing w:after="0" w:line="240" w:lineRule="auto"/>
              <w:jc w:val="both"/>
              <w:rPr>
                <w:sz w:val="20"/>
                <w:szCs w:val="20"/>
                <w:lang w:val="en-US"/>
              </w:rPr>
            </w:pPr>
            <w:r>
              <w:rPr>
                <w:sz w:val="20"/>
                <w:szCs w:val="20"/>
              </w:rPr>
              <w:t xml:space="preserve">The current City administration has been reconciling with the BIR to sort out certain unremitted taxes and ensure full and accurate remittance of taxes withheld. </w:t>
            </w:r>
          </w:p>
          <w:p>
            <w:pPr>
              <w:pStyle w:val="NoSpacing"/>
              <w:jc w:val="both"/>
              <w:rPr>
                <w:sz w:val="20"/>
                <w:szCs w:val="20"/>
              </w:rPr>
            </w:pPr>
            <w:r>
              <w:rPr>
                <w:sz w:val="20"/>
                <w:szCs w:val="20"/>
              </w:rPr>
              <w:lastRenderedPageBreak/>
              <w:t>The remaining amounts being reconciled with the records of the BIR pertain to the time of the previous City administration</w:t>
            </w:r>
          </w:p>
        </w:tc>
        <w:tc>
          <w:tcPr>
            <w:tcW w:w="1872" w:type="dxa"/>
            <w:tcBorders>
              <w:top w:val="single" w:sz="4" w:space="0" w:color="auto"/>
              <w:bottom w:val="single" w:sz="4" w:space="0" w:color="auto"/>
            </w:tcBorders>
          </w:tcPr>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p>
          <w:p>
            <w:pPr>
              <w:pStyle w:val="NoSpacing"/>
              <w:jc w:val="both"/>
              <w:rPr>
                <w:sz w:val="20"/>
                <w:szCs w:val="20"/>
              </w:rPr>
            </w:pPr>
            <w:r>
              <w:rPr>
                <w:sz w:val="20"/>
                <w:szCs w:val="20"/>
              </w:rPr>
              <w:lastRenderedPageBreak/>
              <w:t>There are still unremitted amounts for verification.</w:t>
            </w:r>
          </w:p>
        </w:tc>
      </w:tr>
      <w:tr>
        <w:trPr>
          <w:trHeight w:val="70"/>
        </w:trPr>
        <w:tc>
          <w:tcPr>
            <w:tcW w:w="1260" w:type="dxa"/>
            <w:tcBorders>
              <w:bottom w:val="nil"/>
            </w:tcBorders>
          </w:tcPr>
          <w:p>
            <w:pPr>
              <w:pStyle w:val="NoSpacing"/>
              <w:jc w:val="center"/>
              <w:rPr>
                <w:sz w:val="20"/>
                <w:szCs w:val="20"/>
              </w:rPr>
            </w:pPr>
            <w:r>
              <w:rPr>
                <w:sz w:val="20"/>
                <w:szCs w:val="20"/>
              </w:rPr>
              <w:lastRenderedPageBreak/>
              <w:t>Observation No. 31,</w:t>
            </w:r>
          </w:p>
          <w:p>
            <w:pPr>
              <w:pStyle w:val="NoSpacing"/>
              <w:jc w:val="center"/>
              <w:rPr>
                <w:sz w:val="20"/>
                <w:szCs w:val="20"/>
              </w:rPr>
            </w:pPr>
            <w:r>
              <w:rPr>
                <w:sz w:val="20"/>
                <w:szCs w:val="20"/>
              </w:rPr>
              <w:t xml:space="preserve">Pages </w:t>
            </w:r>
          </w:p>
          <w:p>
            <w:pPr>
              <w:pStyle w:val="NoSpacing"/>
              <w:jc w:val="center"/>
              <w:rPr>
                <w:sz w:val="20"/>
                <w:szCs w:val="20"/>
              </w:rPr>
            </w:pPr>
            <w:r>
              <w:rPr>
                <w:sz w:val="20"/>
                <w:szCs w:val="20"/>
              </w:rPr>
              <w:t>136-138</w:t>
            </w:r>
          </w:p>
        </w:tc>
        <w:tc>
          <w:tcPr>
            <w:tcW w:w="3330" w:type="dxa"/>
            <w:tcBorders>
              <w:bottom w:val="nil"/>
            </w:tcBorders>
          </w:tcPr>
          <w:p>
            <w:pPr>
              <w:numPr>
                <w:ilvl w:val="0"/>
                <w:numId w:val="1"/>
              </w:numPr>
              <w:spacing w:after="0" w:line="240" w:lineRule="auto"/>
              <w:ind w:left="338"/>
              <w:jc w:val="both"/>
              <w:rPr>
                <w:sz w:val="20"/>
                <w:szCs w:val="20"/>
                <w:shd w:val="clear" w:color="auto" w:fill="FFFFFF"/>
              </w:rPr>
            </w:pPr>
            <w:r>
              <w:rPr>
                <w:sz w:val="20"/>
                <w:szCs w:val="20"/>
              </w:rPr>
              <w:t>The audit suspensions, disallowances and charges amounting to P306.679 million, P67.166 million and P31.317 million, respectively, remained unsettled by the</w:t>
            </w:r>
            <w:r>
              <w:rPr>
                <w:sz w:val="20"/>
                <w:szCs w:val="20"/>
                <w:lang w:val="en-US"/>
              </w:rPr>
              <w:t xml:space="preserve"> persons</w:t>
            </w:r>
            <w:r>
              <w:rPr>
                <w:sz w:val="20"/>
                <w:szCs w:val="20"/>
              </w:rPr>
              <w:t xml:space="preserve"> liable thereto due to the inability of the Management to fully enforce settlement of the same as required under Section 7.1.1 of COA Circular No. 2009-006 dated September 15, 2009.</w:t>
            </w:r>
          </w:p>
          <w:p>
            <w:pPr>
              <w:pStyle w:val="NoSpacing"/>
              <w:tabs>
                <w:tab w:val="left" w:pos="2070"/>
              </w:tabs>
              <w:jc w:val="both"/>
              <w:rPr>
                <w:sz w:val="20"/>
                <w:szCs w:val="20"/>
              </w:rPr>
            </w:pPr>
          </w:p>
        </w:tc>
        <w:tc>
          <w:tcPr>
            <w:tcW w:w="1643" w:type="dxa"/>
            <w:tcBorders>
              <w:bottom w:val="nil"/>
            </w:tcBorders>
          </w:tcPr>
          <w:p>
            <w:pPr>
              <w:pStyle w:val="NoSpacing"/>
              <w:jc w:val="center"/>
              <w:rPr>
                <w:sz w:val="20"/>
                <w:szCs w:val="20"/>
              </w:rPr>
            </w:pPr>
          </w:p>
        </w:tc>
        <w:tc>
          <w:tcPr>
            <w:tcW w:w="1620" w:type="dxa"/>
            <w:tcBorders>
              <w:bottom w:val="nil"/>
            </w:tcBorders>
          </w:tcPr>
          <w:p>
            <w:pPr>
              <w:pStyle w:val="NoSpacing"/>
              <w:jc w:val="both"/>
              <w:rPr>
                <w:sz w:val="20"/>
                <w:szCs w:val="20"/>
              </w:rPr>
            </w:pPr>
          </w:p>
        </w:tc>
        <w:tc>
          <w:tcPr>
            <w:tcW w:w="1872" w:type="dxa"/>
            <w:tcBorders>
              <w:bottom w:val="nil"/>
            </w:tcBorders>
          </w:tcPr>
          <w:p>
            <w:pPr>
              <w:pStyle w:val="NoSpacing"/>
              <w:jc w:val="both"/>
              <w:rPr>
                <w:sz w:val="20"/>
                <w:szCs w:val="20"/>
              </w:rPr>
            </w:pPr>
          </w:p>
        </w:tc>
      </w:tr>
      <w:tr>
        <w:trPr>
          <w:trHeight w:val="70"/>
        </w:trPr>
        <w:tc>
          <w:tcPr>
            <w:tcW w:w="1260" w:type="dxa"/>
            <w:tcBorders>
              <w:top w:val="nil"/>
              <w:bottom w:val="single" w:sz="4" w:space="0" w:color="auto"/>
            </w:tcBorders>
          </w:tcPr>
          <w:p>
            <w:pPr>
              <w:pStyle w:val="NoSpacing"/>
              <w:jc w:val="center"/>
              <w:rPr>
                <w:sz w:val="20"/>
                <w:szCs w:val="20"/>
              </w:rPr>
            </w:pPr>
          </w:p>
        </w:tc>
        <w:tc>
          <w:tcPr>
            <w:tcW w:w="3330" w:type="dxa"/>
            <w:tcBorders>
              <w:top w:val="nil"/>
              <w:bottom w:val="single" w:sz="4" w:space="0" w:color="auto"/>
            </w:tcBorders>
          </w:tcPr>
          <w:p>
            <w:pPr>
              <w:spacing w:after="0" w:line="240" w:lineRule="auto"/>
              <w:ind w:left="346"/>
              <w:jc w:val="both"/>
              <w:rPr>
                <w:sz w:val="20"/>
                <w:szCs w:val="20"/>
              </w:rPr>
            </w:pPr>
            <w:r>
              <w:rPr>
                <w:sz w:val="20"/>
                <w:szCs w:val="20"/>
              </w:rPr>
              <w:t xml:space="preserve">We recommended that Management enforce the settlement of all audit suspensions, disallowances and charges in compliance with the Rules and Regulations in the Settlement of Accounts. In case of unjustified failure of the persons liable to </w:t>
            </w:r>
            <w:r>
              <w:rPr>
                <w:sz w:val="20"/>
                <w:szCs w:val="20"/>
                <w:lang w:val="en-US"/>
              </w:rPr>
              <w:t>settle the</w:t>
            </w:r>
            <w:r>
              <w:rPr>
                <w:sz w:val="20"/>
                <w:szCs w:val="20"/>
              </w:rPr>
              <w:t xml:space="preserve"> disallowances/charges or to comply with the requirements of the suspended transactions, initiate the filing of administrative and/or criminal action to compel them to settle the same.</w:t>
            </w:r>
          </w:p>
          <w:p>
            <w:pPr>
              <w:pStyle w:val="ListParagraph"/>
              <w:ind w:left="0"/>
              <w:jc w:val="both"/>
              <w:rPr>
                <w:sz w:val="20"/>
                <w:szCs w:val="20"/>
                <w:shd w:val="clear" w:color="auto" w:fill="FFFFFF"/>
              </w:rPr>
            </w:pPr>
          </w:p>
          <w:p>
            <w:pPr>
              <w:pStyle w:val="ListParagraph"/>
              <w:ind w:left="0"/>
              <w:jc w:val="both"/>
              <w:rPr>
                <w:sz w:val="20"/>
                <w:szCs w:val="20"/>
                <w:shd w:val="clear" w:color="auto" w:fill="FFFFFF"/>
              </w:rPr>
            </w:pPr>
          </w:p>
          <w:p>
            <w:pPr>
              <w:pStyle w:val="ListParagraph"/>
              <w:ind w:left="0"/>
              <w:jc w:val="both"/>
              <w:rPr>
                <w:sz w:val="20"/>
                <w:szCs w:val="20"/>
                <w:shd w:val="clear" w:color="auto" w:fill="FFFFFF"/>
              </w:rPr>
            </w:pPr>
          </w:p>
        </w:tc>
        <w:tc>
          <w:tcPr>
            <w:tcW w:w="1643" w:type="dxa"/>
            <w:tcBorders>
              <w:top w:val="nil"/>
              <w:bottom w:val="single" w:sz="4" w:space="0" w:color="auto"/>
            </w:tcBorders>
          </w:tcPr>
          <w:p>
            <w:pPr>
              <w:spacing w:after="0" w:line="240" w:lineRule="auto"/>
              <w:jc w:val="center"/>
              <w:rPr>
                <w:sz w:val="20"/>
                <w:szCs w:val="20"/>
                <w:lang w:val="en-US"/>
              </w:rPr>
            </w:pPr>
            <w:r>
              <w:rPr>
                <w:sz w:val="20"/>
                <w:szCs w:val="20"/>
              </w:rPr>
              <w:t>Partially Implemented</w:t>
            </w:r>
          </w:p>
          <w:p>
            <w:pPr>
              <w:pStyle w:val="NoSpacing"/>
              <w:jc w:val="center"/>
              <w:rPr>
                <w:sz w:val="20"/>
                <w:szCs w:val="20"/>
              </w:rPr>
            </w:pPr>
          </w:p>
        </w:tc>
        <w:tc>
          <w:tcPr>
            <w:tcW w:w="1620" w:type="dxa"/>
            <w:tcBorders>
              <w:top w:val="nil"/>
              <w:bottom w:val="single" w:sz="4" w:space="0" w:color="auto"/>
            </w:tcBorders>
          </w:tcPr>
          <w:p>
            <w:pPr>
              <w:pStyle w:val="NoSpacing"/>
              <w:jc w:val="both"/>
              <w:rPr>
                <w:sz w:val="20"/>
                <w:szCs w:val="20"/>
              </w:rPr>
            </w:pPr>
            <w:r>
              <w:rPr>
                <w:sz w:val="20"/>
                <w:szCs w:val="20"/>
              </w:rPr>
              <w:t>Enforced the settlement of P264.140 million or 86 percent of the NS for CY 2019.</w:t>
            </w:r>
          </w:p>
        </w:tc>
        <w:tc>
          <w:tcPr>
            <w:tcW w:w="1872" w:type="dxa"/>
            <w:tcBorders>
              <w:top w:val="nil"/>
              <w:bottom w:val="single" w:sz="4" w:space="0" w:color="auto"/>
            </w:tcBorders>
          </w:tcPr>
          <w:p>
            <w:pPr>
              <w:pStyle w:val="NoSpacing"/>
              <w:jc w:val="both"/>
              <w:rPr>
                <w:sz w:val="20"/>
                <w:szCs w:val="20"/>
              </w:rPr>
            </w:pPr>
            <w:r>
              <w:rPr>
                <w:sz w:val="20"/>
                <w:szCs w:val="20"/>
              </w:rPr>
              <w:t>Certain NDs are under appeal with the Commission Proper.</w:t>
            </w:r>
            <w:r>
              <w:rPr>
                <w:sz w:val="20"/>
                <w:szCs w:val="20"/>
              </w:rPr>
              <w:br/>
            </w:r>
            <w:r>
              <w:rPr>
                <w:sz w:val="20"/>
                <w:szCs w:val="20"/>
              </w:rPr>
              <w:br/>
              <w:t>Difficulty in enforcing settlement of the ND/NS due to absence of information as to whereabouts of the persons liable.</w:t>
            </w:r>
          </w:p>
        </w:tc>
      </w:tr>
      <w:tr>
        <w:trPr>
          <w:trHeight w:val="70"/>
        </w:trPr>
        <w:tc>
          <w:tcPr>
            <w:tcW w:w="9725" w:type="dxa"/>
            <w:gridSpan w:val="5"/>
            <w:tcBorders>
              <w:top w:val="single" w:sz="4" w:space="0" w:color="auto"/>
              <w:left w:val="single" w:sz="4" w:space="0" w:color="auto"/>
              <w:bottom w:val="single" w:sz="4" w:space="0" w:color="auto"/>
              <w:right w:val="single" w:sz="4" w:space="0" w:color="auto"/>
            </w:tcBorders>
          </w:tcPr>
          <w:p>
            <w:pPr>
              <w:spacing w:after="0" w:line="240" w:lineRule="auto"/>
              <w:jc w:val="both"/>
              <w:rPr>
                <w:b/>
                <w:sz w:val="20"/>
                <w:szCs w:val="20"/>
              </w:rPr>
            </w:pPr>
            <w:r>
              <w:rPr>
                <w:b/>
                <w:sz w:val="20"/>
                <w:szCs w:val="20"/>
              </w:rPr>
              <w:t>AAR CY 2017</w:t>
            </w:r>
          </w:p>
        </w:tc>
      </w:tr>
      <w:tr>
        <w:trPr>
          <w:trHeight w:val="2546"/>
        </w:trPr>
        <w:tc>
          <w:tcPr>
            <w:tcW w:w="1260" w:type="dxa"/>
            <w:tcBorders>
              <w:top w:val="single" w:sz="4" w:space="0" w:color="auto"/>
              <w:left w:val="single" w:sz="4" w:space="0" w:color="auto"/>
              <w:bottom w:val="single" w:sz="4" w:space="0" w:color="auto"/>
              <w:right w:val="single" w:sz="4" w:space="0" w:color="auto"/>
            </w:tcBorders>
          </w:tcPr>
          <w:p>
            <w:pPr>
              <w:pStyle w:val="NoSpacing"/>
              <w:jc w:val="center"/>
              <w:rPr>
                <w:sz w:val="20"/>
                <w:szCs w:val="20"/>
              </w:rPr>
            </w:pPr>
            <w:r>
              <w:rPr>
                <w:sz w:val="20"/>
                <w:szCs w:val="20"/>
              </w:rPr>
              <w:t>Observation No. 4,</w:t>
            </w:r>
          </w:p>
          <w:p>
            <w:pPr>
              <w:pStyle w:val="NoSpacing"/>
              <w:jc w:val="center"/>
              <w:rPr>
                <w:sz w:val="20"/>
                <w:szCs w:val="20"/>
              </w:rPr>
            </w:pPr>
            <w:r>
              <w:rPr>
                <w:sz w:val="20"/>
                <w:szCs w:val="20"/>
              </w:rPr>
              <w:t>Pages 66-67</w:t>
            </w:r>
          </w:p>
          <w:p>
            <w:pPr>
              <w:pStyle w:val="NoSpacing"/>
              <w:jc w:val="center"/>
              <w:rPr>
                <w:sz w:val="20"/>
                <w:szCs w:val="20"/>
              </w:rPr>
            </w:pPr>
          </w:p>
        </w:tc>
        <w:tc>
          <w:tcPr>
            <w:tcW w:w="3330" w:type="dxa"/>
            <w:tcBorders>
              <w:top w:val="single" w:sz="4" w:space="0" w:color="auto"/>
              <w:left w:val="single" w:sz="4" w:space="0" w:color="auto"/>
              <w:bottom w:val="single" w:sz="4" w:space="0" w:color="auto"/>
              <w:right w:val="single" w:sz="4" w:space="0" w:color="auto"/>
            </w:tcBorders>
          </w:tcPr>
          <w:p>
            <w:pPr>
              <w:numPr>
                <w:ilvl w:val="0"/>
                <w:numId w:val="1"/>
              </w:numPr>
              <w:spacing w:after="0" w:line="240" w:lineRule="auto"/>
              <w:ind w:left="338"/>
              <w:jc w:val="both"/>
              <w:rPr>
                <w:rFonts w:eastAsia="Calibri"/>
                <w:sz w:val="20"/>
                <w:szCs w:val="20"/>
                <w:shd w:val="clear" w:color="auto" w:fill="FFFFFF"/>
              </w:rPr>
            </w:pPr>
            <w:r>
              <w:rPr>
                <w:sz w:val="20"/>
                <w:szCs w:val="20"/>
              </w:rPr>
              <w:t>Time Deposit (TD) placement for the TF in the amount of P639.134 million is contrary to Section 94, Chapter 5 of the Manual, Volume I.</w:t>
            </w:r>
          </w:p>
          <w:p>
            <w:pPr>
              <w:spacing w:after="0" w:line="240" w:lineRule="auto"/>
              <w:ind w:left="338"/>
              <w:jc w:val="both"/>
              <w:rPr>
                <w:sz w:val="20"/>
                <w:szCs w:val="20"/>
              </w:rPr>
            </w:pPr>
          </w:p>
          <w:p>
            <w:pPr>
              <w:spacing w:after="0" w:line="240" w:lineRule="auto"/>
              <w:ind w:left="346"/>
              <w:jc w:val="both"/>
              <w:rPr>
                <w:sz w:val="20"/>
                <w:szCs w:val="20"/>
              </w:rPr>
            </w:pPr>
            <w:r>
              <w:rPr>
                <w:sz w:val="20"/>
                <w:szCs w:val="20"/>
              </w:rPr>
              <w:t>We recommended that Management require the City Accountant to:</w:t>
            </w:r>
          </w:p>
          <w:p>
            <w:pPr>
              <w:spacing w:after="0" w:line="240" w:lineRule="auto"/>
              <w:ind w:left="338"/>
              <w:jc w:val="both"/>
              <w:rPr>
                <w:rFonts w:eastAsia="Calibri"/>
                <w:sz w:val="20"/>
                <w:szCs w:val="20"/>
                <w:shd w:val="clear" w:color="auto" w:fill="FFFFFF"/>
              </w:rPr>
            </w:pPr>
          </w:p>
        </w:tc>
        <w:tc>
          <w:tcPr>
            <w:tcW w:w="1643" w:type="dxa"/>
            <w:tcBorders>
              <w:top w:val="single" w:sz="4" w:space="0" w:color="auto"/>
              <w:left w:val="single" w:sz="4" w:space="0" w:color="auto"/>
              <w:bottom w:val="single" w:sz="4" w:space="0" w:color="auto"/>
              <w:right w:val="single" w:sz="4" w:space="0" w:color="auto"/>
            </w:tcBorders>
          </w:tcPr>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tc>
        <w:tc>
          <w:tcPr>
            <w:tcW w:w="1620" w:type="dxa"/>
            <w:tcBorders>
              <w:top w:val="single" w:sz="4" w:space="0" w:color="auto"/>
              <w:left w:val="single" w:sz="4" w:space="0" w:color="auto"/>
              <w:bottom w:val="single" w:sz="4" w:space="0" w:color="auto"/>
              <w:right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tc>
        <w:tc>
          <w:tcPr>
            <w:tcW w:w="1872" w:type="dxa"/>
            <w:tcBorders>
              <w:top w:val="single" w:sz="4" w:space="0" w:color="auto"/>
              <w:left w:val="single" w:sz="4" w:space="0" w:color="auto"/>
              <w:bottom w:val="single" w:sz="4" w:space="0" w:color="auto"/>
              <w:right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tc>
      </w:tr>
      <w:tr>
        <w:trPr>
          <w:trHeight w:val="6219"/>
        </w:trPr>
        <w:tc>
          <w:tcPr>
            <w:tcW w:w="1260" w:type="dxa"/>
            <w:tcBorders>
              <w:top w:val="single" w:sz="4" w:space="0" w:color="auto"/>
              <w:left w:val="single" w:sz="4" w:space="0" w:color="auto"/>
              <w:bottom w:val="nil"/>
              <w:right w:val="single" w:sz="4" w:space="0" w:color="auto"/>
            </w:tcBorders>
          </w:tcPr>
          <w:p>
            <w:pPr>
              <w:pStyle w:val="NoSpacing"/>
              <w:jc w:val="center"/>
              <w:rPr>
                <w:sz w:val="20"/>
                <w:szCs w:val="20"/>
              </w:rPr>
            </w:pPr>
          </w:p>
        </w:tc>
        <w:tc>
          <w:tcPr>
            <w:tcW w:w="3330" w:type="dxa"/>
            <w:tcBorders>
              <w:top w:val="single" w:sz="4" w:space="0" w:color="auto"/>
              <w:left w:val="single" w:sz="4" w:space="0" w:color="auto"/>
              <w:bottom w:val="nil"/>
              <w:right w:val="single" w:sz="4" w:space="0" w:color="auto"/>
            </w:tcBorders>
          </w:tcPr>
          <w:p>
            <w:pPr>
              <w:numPr>
                <w:ilvl w:val="0"/>
                <w:numId w:val="15"/>
              </w:numPr>
              <w:spacing w:after="0" w:line="240" w:lineRule="auto"/>
              <w:ind w:left="609" w:hanging="249"/>
              <w:jc w:val="both"/>
              <w:rPr>
                <w:sz w:val="20"/>
                <w:szCs w:val="20"/>
              </w:rPr>
            </w:pPr>
            <w:r>
              <w:rPr>
                <w:sz w:val="20"/>
                <w:szCs w:val="20"/>
              </w:rPr>
              <w:t>Determine the sources of funds placed in TDs for the TF; and</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numPr>
                <w:ilvl w:val="0"/>
                <w:numId w:val="15"/>
              </w:numPr>
              <w:spacing w:after="0" w:line="240" w:lineRule="auto"/>
              <w:ind w:left="609" w:hanging="249"/>
              <w:jc w:val="both"/>
              <w:rPr>
                <w:sz w:val="20"/>
                <w:szCs w:val="20"/>
                <w:lang w:val="en-US"/>
              </w:rPr>
            </w:pPr>
            <w:r>
              <w:rPr>
                <w:sz w:val="20"/>
                <w:szCs w:val="20"/>
              </w:rPr>
              <w:t>Coordinate with the CTO for the review of agreements and commitments of the City and establish linkages with the concerned agencies to determine if there remain existing liabilities to the national government agencies (NGAs) / other government agencies so that return of excess / unutilized funds may be made as required; otherwise, transfer the remaining balance to the GF after reconciliation or remit to the Bureau of the Treasury (BTr).</w:t>
            </w:r>
          </w:p>
          <w:p>
            <w:pPr>
              <w:spacing w:after="0" w:line="240" w:lineRule="auto"/>
              <w:ind w:left="338"/>
              <w:jc w:val="both"/>
              <w:rPr>
                <w:sz w:val="20"/>
                <w:szCs w:val="20"/>
              </w:rPr>
            </w:pPr>
          </w:p>
        </w:tc>
        <w:tc>
          <w:tcPr>
            <w:tcW w:w="1643" w:type="dxa"/>
            <w:tcBorders>
              <w:top w:val="single" w:sz="4" w:space="0" w:color="auto"/>
              <w:left w:val="single" w:sz="4" w:space="0" w:color="auto"/>
              <w:bottom w:val="nil"/>
              <w:right w:val="single" w:sz="4" w:space="0" w:color="auto"/>
            </w:tcBorders>
          </w:tcPr>
          <w:p>
            <w:pPr>
              <w:spacing w:after="0" w:line="240" w:lineRule="auto"/>
              <w:jc w:val="center"/>
              <w:rPr>
                <w:sz w:val="20"/>
                <w:szCs w:val="20"/>
                <w:lang w:val="en-US"/>
              </w:rPr>
            </w:pPr>
            <w:r>
              <w:rPr>
                <w:sz w:val="20"/>
                <w:szCs w:val="20"/>
              </w:rPr>
              <w:t>Not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Partially Implemented</w:t>
            </w:r>
          </w:p>
          <w:p>
            <w:pPr>
              <w:pStyle w:val="ListParagraph"/>
              <w:jc w:val="center"/>
              <w:rPr>
                <w:sz w:val="20"/>
                <w:szCs w:val="20"/>
              </w:rPr>
            </w:pPr>
          </w:p>
          <w:p>
            <w:pPr>
              <w:pStyle w:val="ListParagraph"/>
              <w:jc w:val="center"/>
              <w:rPr>
                <w:sz w:val="20"/>
                <w:szCs w:val="20"/>
              </w:rPr>
            </w:pPr>
          </w:p>
        </w:tc>
        <w:tc>
          <w:tcPr>
            <w:tcW w:w="1620" w:type="dxa"/>
            <w:tcBorders>
              <w:top w:val="single" w:sz="4" w:space="0" w:color="auto"/>
              <w:left w:val="single" w:sz="4" w:space="0" w:color="auto"/>
              <w:bottom w:val="nil"/>
              <w:right w:val="single" w:sz="4" w:space="0" w:color="auto"/>
            </w:tcBorders>
          </w:tcPr>
          <w:p>
            <w:pPr>
              <w:spacing w:after="0" w:line="240" w:lineRule="auto"/>
              <w:jc w:val="both"/>
              <w:rPr>
                <w:sz w:val="20"/>
                <w:szCs w:val="20"/>
              </w:rPr>
            </w:pPr>
            <w:r>
              <w:rPr>
                <w:sz w:val="20"/>
                <w:szCs w:val="20"/>
                <w:lang w:val="en-US"/>
              </w:rPr>
              <w:t xml:space="preserve">Identification </w:t>
            </w:r>
            <w:r>
              <w:rPr>
                <w:sz w:val="20"/>
                <w:szCs w:val="20"/>
              </w:rPr>
              <w:t>of sources of funds</w:t>
            </w:r>
            <w:r>
              <w:rPr>
                <w:sz w:val="20"/>
                <w:szCs w:val="20"/>
                <w:lang w:val="en-US"/>
              </w:rPr>
              <w:t xml:space="preserve"> by </w:t>
            </w:r>
            <w:r>
              <w:rPr>
                <w:sz w:val="20"/>
                <w:szCs w:val="20"/>
              </w:rPr>
              <w:t>CTO</w:t>
            </w:r>
            <w:r>
              <w:rPr>
                <w:sz w:val="20"/>
                <w:szCs w:val="20"/>
                <w:lang w:val="en-US"/>
              </w:rPr>
              <w:t xml:space="preserve"> and </w:t>
            </w:r>
            <w:r>
              <w:rPr>
                <w:sz w:val="20"/>
                <w:szCs w:val="20"/>
              </w:rPr>
              <w:t xml:space="preserve">OCAT </w:t>
            </w:r>
            <w:r>
              <w:rPr>
                <w:sz w:val="20"/>
                <w:szCs w:val="20"/>
                <w:lang w:val="en-US"/>
              </w:rPr>
              <w:t>is ongoing.</w:t>
            </w:r>
            <w:r>
              <w:rPr>
                <w:sz w:val="20"/>
                <w:szCs w:val="20"/>
              </w:rPr>
              <w:t xml:space="preserve"> </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lang w:val="en-US"/>
              </w:rPr>
              <w:t xml:space="preserve">The TF </w:t>
            </w:r>
            <w:r>
              <w:rPr>
                <w:sz w:val="20"/>
                <w:szCs w:val="20"/>
              </w:rPr>
              <w:t>30</w:t>
            </w:r>
            <w:r>
              <w:rPr>
                <w:sz w:val="20"/>
                <w:szCs w:val="20"/>
                <w:lang w:val="en-US"/>
              </w:rPr>
              <w:t>-</w:t>
            </w:r>
            <w:r>
              <w:rPr>
                <w:sz w:val="20"/>
                <w:szCs w:val="20"/>
              </w:rPr>
              <w:t>day TD started in 2009, 2010, 2013 and 2014</w:t>
            </w:r>
            <w:r>
              <w:rPr>
                <w:sz w:val="20"/>
                <w:szCs w:val="20"/>
                <w:lang w:val="en-US"/>
              </w:rPr>
              <w:t xml:space="preserve">, </w:t>
            </w:r>
            <w:r>
              <w:rPr>
                <w:sz w:val="20"/>
                <w:szCs w:val="20"/>
              </w:rPr>
              <w:t xml:space="preserve">to generate </w:t>
            </w:r>
            <w:r>
              <w:rPr>
                <w:sz w:val="20"/>
                <w:szCs w:val="20"/>
                <w:lang w:val="en-US"/>
              </w:rPr>
              <w:t>fund for p</w:t>
            </w:r>
            <w:r>
              <w:rPr>
                <w:sz w:val="20"/>
                <w:szCs w:val="20"/>
              </w:rPr>
              <w:t xml:space="preserve">rojects. </w:t>
            </w:r>
            <w:r>
              <w:rPr>
                <w:sz w:val="20"/>
                <w:szCs w:val="20"/>
                <w:lang w:val="en-US"/>
              </w:rPr>
              <w:t>I</w:t>
            </w:r>
            <w:r>
              <w:rPr>
                <w:sz w:val="20"/>
                <w:szCs w:val="20"/>
              </w:rPr>
              <w:t>nterest</w:t>
            </w:r>
            <w:r>
              <w:rPr>
                <w:sz w:val="20"/>
                <w:szCs w:val="20"/>
                <w:lang w:val="en-US"/>
              </w:rPr>
              <w:t>s</w:t>
            </w:r>
            <w:r>
              <w:rPr>
                <w:sz w:val="20"/>
                <w:szCs w:val="20"/>
              </w:rPr>
              <w:t xml:space="preserve"> earned </w:t>
            </w:r>
            <w:r>
              <w:rPr>
                <w:sz w:val="20"/>
                <w:szCs w:val="20"/>
                <w:lang w:val="en-US"/>
              </w:rPr>
              <w:t xml:space="preserve">to date is </w:t>
            </w:r>
            <w:r>
              <w:rPr>
                <w:sz w:val="20"/>
                <w:szCs w:val="20"/>
              </w:rPr>
              <w:t>P109.451 million,</w:t>
            </w:r>
            <w:r>
              <w:rPr>
                <w:sz w:val="20"/>
                <w:szCs w:val="20"/>
                <w:lang w:val="en-US"/>
              </w:rPr>
              <w:t xml:space="preserve"> </w:t>
            </w:r>
            <w:r>
              <w:rPr>
                <w:sz w:val="20"/>
                <w:szCs w:val="20"/>
              </w:rPr>
              <w:t xml:space="preserve">P60 million </w:t>
            </w:r>
            <w:r>
              <w:rPr>
                <w:sz w:val="20"/>
                <w:szCs w:val="20"/>
                <w:lang w:val="en-US"/>
              </w:rPr>
              <w:t xml:space="preserve">of which funded the </w:t>
            </w:r>
            <w:r>
              <w:rPr>
                <w:sz w:val="20"/>
                <w:szCs w:val="20"/>
              </w:rPr>
              <w:t xml:space="preserve">Supplemental Budget No. 1, </w:t>
            </w:r>
            <w:r>
              <w:rPr>
                <w:sz w:val="20"/>
                <w:szCs w:val="20"/>
                <w:lang w:val="en-US"/>
              </w:rPr>
              <w:t xml:space="preserve">s. </w:t>
            </w:r>
            <w:r>
              <w:rPr>
                <w:sz w:val="20"/>
                <w:szCs w:val="20"/>
              </w:rPr>
              <w:t xml:space="preserve">of 2020 intended to help the </w:t>
            </w:r>
            <w:r>
              <w:rPr>
                <w:sz w:val="20"/>
                <w:szCs w:val="20"/>
                <w:lang w:val="en-US"/>
              </w:rPr>
              <w:t xml:space="preserve">City’s </w:t>
            </w:r>
            <w:r>
              <w:rPr>
                <w:sz w:val="20"/>
                <w:szCs w:val="20"/>
              </w:rPr>
              <w:t xml:space="preserve">employees affected by </w:t>
            </w:r>
            <w:r>
              <w:rPr>
                <w:sz w:val="20"/>
                <w:szCs w:val="20"/>
                <w:lang w:val="en-US"/>
              </w:rPr>
              <w:t xml:space="preserve">the </w:t>
            </w:r>
            <w:r>
              <w:rPr>
                <w:sz w:val="20"/>
                <w:szCs w:val="20"/>
              </w:rPr>
              <w:t>COVID-19.</w:t>
            </w:r>
          </w:p>
          <w:p>
            <w:pPr>
              <w:spacing w:after="0" w:line="240" w:lineRule="auto"/>
              <w:jc w:val="both"/>
              <w:rPr>
                <w:sz w:val="20"/>
                <w:szCs w:val="20"/>
              </w:rPr>
            </w:pPr>
          </w:p>
        </w:tc>
        <w:tc>
          <w:tcPr>
            <w:tcW w:w="1872" w:type="dxa"/>
            <w:tcBorders>
              <w:top w:val="single" w:sz="4" w:space="0" w:color="auto"/>
              <w:left w:val="single" w:sz="4" w:space="0" w:color="auto"/>
              <w:bottom w:val="nil"/>
              <w:right w:val="single" w:sz="4" w:space="0" w:color="auto"/>
            </w:tcBorders>
          </w:tcPr>
          <w:p>
            <w:pPr>
              <w:spacing w:after="0" w:line="240" w:lineRule="auto"/>
              <w:jc w:val="both"/>
              <w:rPr>
                <w:sz w:val="20"/>
                <w:szCs w:val="20"/>
              </w:rPr>
            </w:pPr>
            <w:r>
              <w:rPr>
                <w:sz w:val="20"/>
                <w:szCs w:val="20"/>
              </w:rPr>
              <w:t>The sources of funds placed in TDs has not been determined yet by the OCAT.</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Establishing the accuracy and correctness of records is ongoing.</w:t>
            </w:r>
          </w:p>
          <w:p>
            <w:pPr>
              <w:spacing w:after="0" w:line="240" w:lineRule="auto"/>
              <w:jc w:val="both"/>
              <w:rPr>
                <w:sz w:val="20"/>
                <w:szCs w:val="20"/>
              </w:rPr>
            </w:pPr>
          </w:p>
        </w:tc>
      </w:tr>
      <w:tr>
        <w:trPr>
          <w:trHeight w:val="20"/>
        </w:trPr>
        <w:tc>
          <w:tcPr>
            <w:tcW w:w="1260" w:type="dxa"/>
            <w:tcBorders>
              <w:top w:val="single" w:sz="4" w:space="0" w:color="auto"/>
              <w:left w:val="single" w:sz="4" w:space="0" w:color="auto"/>
              <w:bottom w:val="single" w:sz="4" w:space="0" w:color="auto"/>
              <w:right w:val="single" w:sz="4" w:space="0" w:color="auto"/>
            </w:tcBorders>
          </w:tcPr>
          <w:p>
            <w:pPr>
              <w:pStyle w:val="NoSpacing"/>
              <w:jc w:val="center"/>
              <w:rPr>
                <w:sz w:val="20"/>
                <w:szCs w:val="20"/>
              </w:rPr>
            </w:pPr>
            <w:r>
              <w:rPr>
                <w:sz w:val="20"/>
                <w:szCs w:val="20"/>
              </w:rPr>
              <w:t>Observation No. 10,</w:t>
            </w:r>
          </w:p>
          <w:p>
            <w:pPr>
              <w:pStyle w:val="NoSpacing"/>
              <w:jc w:val="center"/>
              <w:rPr>
                <w:sz w:val="20"/>
                <w:szCs w:val="20"/>
              </w:rPr>
            </w:pPr>
            <w:r>
              <w:rPr>
                <w:sz w:val="20"/>
                <w:szCs w:val="20"/>
              </w:rPr>
              <w:t>Pages 78-80</w:t>
            </w:r>
          </w:p>
          <w:p>
            <w:pPr>
              <w:pStyle w:val="NoSpacing"/>
              <w:jc w:val="center"/>
              <w:rPr>
                <w:sz w:val="20"/>
                <w:szCs w:val="20"/>
              </w:rPr>
            </w:pPr>
          </w:p>
        </w:tc>
        <w:tc>
          <w:tcPr>
            <w:tcW w:w="3330" w:type="dxa"/>
            <w:tcBorders>
              <w:top w:val="single" w:sz="4" w:space="0" w:color="auto"/>
              <w:left w:val="single" w:sz="4" w:space="0" w:color="auto"/>
              <w:bottom w:val="single" w:sz="4" w:space="0" w:color="auto"/>
              <w:right w:val="single" w:sz="4" w:space="0" w:color="auto"/>
            </w:tcBorders>
          </w:tcPr>
          <w:p>
            <w:pPr>
              <w:numPr>
                <w:ilvl w:val="0"/>
                <w:numId w:val="1"/>
              </w:numPr>
              <w:spacing w:after="0" w:line="240" w:lineRule="auto"/>
              <w:ind w:left="338"/>
              <w:jc w:val="both"/>
              <w:rPr>
                <w:rFonts w:eastAsia="Calibri"/>
                <w:sz w:val="20"/>
                <w:szCs w:val="20"/>
                <w:shd w:val="clear" w:color="auto" w:fill="FFFFFF"/>
              </w:rPr>
            </w:pPr>
            <w:r>
              <w:rPr>
                <w:sz w:val="20"/>
                <w:szCs w:val="20"/>
              </w:rPr>
              <w:t>The Traffic TF balance in the amount of P75.735 million recorded as Due to Officers and Employees-Ordinance Violation Receipt (OVR), 25% sub-account under the TF was reclassified to Due to Officers and Employees-OVR, 20% and Due to Officers and Employees-OVR, 5% sub-accounts in the amount of P60.588 million and P15.147 million, respectively, without the necessary list of payees, thus, the corresponding back-up cash of the said account may be compromised, if the same is released to traffic enforcers (20 percent) and traffic enforcement units (five percent) of the City.</w:t>
            </w:r>
          </w:p>
          <w:p>
            <w:pPr>
              <w:spacing w:after="0" w:line="240" w:lineRule="auto"/>
              <w:ind w:left="338"/>
              <w:jc w:val="both"/>
              <w:rPr>
                <w:sz w:val="20"/>
                <w:szCs w:val="20"/>
              </w:rPr>
            </w:pPr>
          </w:p>
          <w:p>
            <w:pPr>
              <w:spacing w:after="0" w:line="240" w:lineRule="auto"/>
              <w:ind w:left="346"/>
              <w:jc w:val="both"/>
              <w:rPr>
                <w:sz w:val="20"/>
                <w:szCs w:val="20"/>
              </w:rPr>
            </w:pPr>
            <w:r>
              <w:rPr>
                <w:sz w:val="20"/>
                <w:szCs w:val="20"/>
              </w:rPr>
              <w:t>We recommended that Management direct the OCAT to:</w:t>
            </w:r>
          </w:p>
          <w:p>
            <w:pPr>
              <w:spacing w:after="0" w:line="240" w:lineRule="auto"/>
              <w:ind w:left="346"/>
              <w:jc w:val="both"/>
              <w:rPr>
                <w:sz w:val="20"/>
                <w:szCs w:val="20"/>
              </w:rPr>
            </w:pPr>
          </w:p>
          <w:p>
            <w:pPr>
              <w:numPr>
                <w:ilvl w:val="0"/>
                <w:numId w:val="16"/>
              </w:numPr>
              <w:spacing w:after="0" w:line="240" w:lineRule="auto"/>
              <w:ind w:left="609" w:hanging="249"/>
              <w:jc w:val="both"/>
              <w:rPr>
                <w:sz w:val="20"/>
                <w:szCs w:val="20"/>
                <w:lang w:val="en-US"/>
              </w:rPr>
            </w:pPr>
            <w:r>
              <w:rPr>
                <w:sz w:val="20"/>
                <w:szCs w:val="20"/>
              </w:rPr>
              <w:t xml:space="preserve">Make a thorough review of previous records particularly the accumulated amount </w:t>
            </w:r>
            <w:r>
              <w:rPr>
                <w:sz w:val="20"/>
                <w:szCs w:val="20"/>
              </w:rPr>
              <w:lastRenderedPageBreak/>
              <w:t>pertaining to the Due to Officers and Employees-OVR, 25% sub-account to determine who among the present traffic enforcers and traffic enforcement units are entitled to be paid; and</w:t>
            </w: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ind w:left="609"/>
              <w:jc w:val="both"/>
              <w:rPr>
                <w:sz w:val="20"/>
                <w:szCs w:val="20"/>
              </w:rPr>
            </w:pPr>
          </w:p>
          <w:p>
            <w:pPr>
              <w:spacing w:after="0" w:line="240" w:lineRule="auto"/>
              <w:ind w:left="609"/>
              <w:jc w:val="both"/>
              <w:rPr>
                <w:sz w:val="20"/>
                <w:szCs w:val="20"/>
              </w:rPr>
            </w:pPr>
          </w:p>
          <w:p>
            <w:pPr>
              <w:numPr>
                <w:ilvl w:val="0"/>
                <w:numId w:val="16"/>
              </w:numPr>
              <w:spacing w:after="0" w:line="240" w:lineRule="auto"/>
              <w:ind w:left="609" w:hanging="249"/>
              <w:jc w:val="both"/>
              <w:rPr>
                <w:rFonts w:eastAsia="Calibri"/>
                <w:sz w:val="20"/>
                <w:szCs w:val="20"/>
                <w:shd w:val="clear" w:color="auto" w:fill="FFFFFF"/>
              </w:rPr>
            </w:pPr>
            <w:r>
              <w:rPr>
                <w:sz w:val="20"/>
                <w:szCs w:val="20"/>
              </w:rPr>
              <w:t>Revert the said amount from the TF to the GF in the event that the sub-account does not belong or could no longer be determined as pertaining to any specific payee, traffic enforcers and traffic enforcement units, particularly the amount recorded prior to the amendment of the Ordinance.</w:t>
            </w:r>
          </w:p>
          <w:p>
            <w:pPr>
              <w:spacing w:after="0" w:line="240" w:lineRule="auto"/>
              <w:jc w:val="both"/>
              <w:rPr>
                <w:rFonts w:eastAsia="Calibri"/>
                <w:sz w:val="20"/>
                <w:szCs w:val="20"/>
                <w:shd w:val="clear" w:color="auto" w:fill="FFFFFF"/>
              </w:rPr>
            </w:pPr>
          </w:p>
        </w:tc>
        <w:tc>
          <w:tcPr>
            <w:tcW w:w="1643" w:type="dxa"/>
            <w:tcBorders>
              <w:top w:val="single" w:sz="4" w:space="0" w:color="auto"/>
              <w:left w:val="single" w:sz="4" w:space="0" w:color="auto"/>
              <w:bottom w:val="single" w:sz="4" w:space="0" w:color="auto"/>
              <w:right w:val="single" w:sz="4" w:space="0" w:color="auto"/>
            </w:tcBorders>
          </w:tcPr>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spacing w:after="0" w:line="240" w:lineRule="auto"/>
              <w:jc w:val="center"/>
              <w:rPr>
                <w:sz w:val="20"/>
                <w:szCs w:val="20"/>
                <w:lang w:val="en-US"/>
              </w:rPr>
            </w:pPr>
            <w:r>
              <w:rPr>
                <w:sz w:val="20"/>
                <w:szCs w:val="20"/>
              </w:rPr>
              <w:t>Fully Implemented</w:t>
            </w: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spacing w:after="0" w:line="240" w:lineRule="auto"/>
              <w:jc w:val="center"/>
              <w:rPr>
                <w:sz w:val="20"/>
                <w:szCs w:val="20"/>
                <w:lang w:val="en-US"/>
              </w:rPr>
            </w:pPr>
            <w:r>
              <w:rPr>
                <w:sz w:val="20"/>
                <w:szCs w:val="20"/>
              </w:rPr>
              <w:t>Not Implemented</w:t>
            </w:r>
          </w:p>
          <w:p>
            <w:pPr>
              <w:pStyle w:val="ListParagraph"/>
              <w:ind w:left="0"/>
              <w:jc w:val="center"/>
              <w:rPr>
                <w:sz w:val="20"/>
                <w:szCs w:val="20"/>
              </w:rPr>
            </w:pPr>
          </w:p>
        </w:tc>
        <w:tc>
          <w:tcPr>
            <w:tcW w:w="1620" w:type="dxa"/>
            <w:tcBorders>
              <w:top w:val="single" w:sz="4" w:space="0" w:color="auto"/>
              <w:left w:val="single" w:sz="4" w:space="0" w:color="auto"/>
              <w:bottom w:val="single" w:sz="4" w:space="0" w:color="auto"/>
              <w:right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 xml:space="preserve">The sub-accounts Due to Officers and </w:t>
            </w:r>
            <w:r>
              <w:rPr>
                <w:sz w:val="20"/>
                <w:szCs w:val="20"/>
              </w:rPr>
              <w:lastRenderedPageBreak/>
              <w:t xml:space="preserve">Employees-OVR, 20% and 5% </w:t>
            </w:r>
            <w:r>
              <w:rPr>
                <w:sz w:val="20"/>
                <w:szCs w:val="20"/>
                <w:lang w:val="en-US"/>
              </w:rPr>
              <w:t>were</w:t>
            </w:r>
            <w:r>
              <w:rPr>
                <w:sz w:val="20"/>
                <w:szCs w:val="20"/>
              </w:rPr>
              <w:t xml:space="preserve"> reclass</w:t>
            </w:r>
            <w:r>
              <w:rPr>
                <w:sz w:val="20"/>
                <w:szCs w:val="20"/>
                <w:lang w:val="en-US"/>
              </w:rPr>
              <w:t xml:space="preserve">ified </w:t>
            </w:r>
            <w:r>
              <w:rPr>
                <w:sz w:val="20"/>
                <w:szCs w:val="20"/>
              </w:rPr>
              <w:t>to Due to Officers and Employees – OVR, 25%, w</w:t>
            </w:r>
            <w:r>
              <w:rPr>
                <w:sz w:val="20"/>
                <w:szCs w:val="20"/>
                <w:lang w:val="en-US"/>
              </w:rPr>
              <w:t>ith</w:t>
            </w:r>
            <w:r>
              <w:rPr>
                <w:sz w:val="20"/>
                <w:szCs w:val="20"/>
              </w:rPr>
              <w:t xml:space="preserve"> a year-end bal</w:t>
            </w:r>
            <w:r>
              <w:rPr>
                <w:sz w:val="20"/>
                <w:szCs w:val="20"/>
                <w:lang w:val="en-US"/>
              </w:rPr>
              <w:t>ance</w:t>
            </w:r>
            <w:r>
              <w:rPr>
                <w:sz w:val="20"/>
                <w:szCs w:val="20"/>
              </w:rPr>
              <w:t xml:space="preserve"> of P81.490 million.</w:t>
            </w:r>
          </w:p>
          <w:p>
            <w:pPr>
              <w:spacing w:after="0" w:line="240" w:lineRule="auto"/>
              <w:jc w:val="both"/>
              <w:rPr>
                <w:sz w:val="20"/>
                <w:szCs w:val="20"/>
              </w:rPr>
            </w:pPr>
          </w:p>
          <w:p>
            <w:pPr>
              <w:spacing w:after="0" w:line="240" w:lineRule="auto"/>
              <w:jc w:val="both"/>
              <w:rPr>
                <w:sz w:val="20"/>
                <w:szCs w:val="20"/>
              </w:rPr>
            </w:pPr>
            <w:r>
              <w:rPr>
                <w:sz w:val="20"/>
                <w:szCs w:val="20"/>
              </w:rPr>
              <w:t>The MTPB had coordinated with the OCAT and CTO to facilitate the determination of the specific payees or employees entitled to the same.</w:t>
            </w:r>
          </w:p>
          <w:p>
            <w:pPr>
              <w:spacing w:after="0" w:line="240" w:lineRule="auto"/>
              <w:jc w:val="both"/>
              <w:rPr>
                <w:sz w:val="20"/>
                <w:szCs w:val="20"/>
              </w:rPr>
            </w:pPr>
          </w:p>
        </w:tc>
        <w:tc>
          <w:tcPr>
            <w:tcW w:w="1872" w:type="dxa"/>
            <w:tcBorders>
              <w:top w:val="single" w:sz="4" w:space="0" w:color="auto"/>
              <w:left w:val="single" w:sz="4" w:space="0" w:color="auto"/>
              <w:bottom w:val="single" w:sz="4" w:space="0" w:color="auto"/>
              <w:right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No reversion yet from TF to GF has been made by the OCAT.</w:t>
            </w:r>
          </w:p>
        </w:tc>
      </w:tr>
      <w:tr>
        <w:trPr>
          <w:trHeight w:val="20"/>
        </w:trPr>
        <w:tc>
          <w:tcPr>
            <w:tcW w:w="1260" w:type="dxa"/>
            <w:tcBorders>
              <w:top w:val="single" w:sz="4" w:space="0" w:color="auto"/>
              <w:left w:val="single" w:sz="4" w:space="0" w:color="auto"/>
              <w:bottom w:val="single" w:sz="4" w:space="0" w:color="auto"/>
              <w:right w:val="single" w:sz="4" w:space="0" w:color="auto"/>
            </w:tcBorders>
          </w:tcPr>
          <w:p>
            <w:pPr>
              <w:pStyle w:val="NoSpacing"/>
              <w:jc w:val="center"/>
              <w:rPr>
                <w:sz w:val="20"/>
                <w:szCs w:val="20"/>
              </w:rPr>
            </w:pPr>
            <w:r>
              <w:rPr>
                <w:sz w:val="20"/>
                <w:szCs w:val="20"/>
              </w:rPr>
              <w:lastRenderedPageBreak/>
              <w:t>Observation No. 11,</w:t>
            </w:r>
          </w:p>
          <w:p>
            <w:pPr>
              <w:pStyle w:val="NoSpacing"/>
              <w:jc w:val="center"/>
              <w:rPr>
                <w:sz w:val="20"/>
                <w:szCs w:val="20"/>
              </w:rPr>
            </w:pPr>
            <w:r>
              <w:rPr>
                <w:sz w:val="20"/>
                <w:szCs w:val="20"/>
              </w:rPr>
              <w:t>Pages 80-83</w:t>
            </w:r>
          </w:p>
          <w:p>
            <w:pPr>
              <w:pStyle w:val="NoSpacing"/>
              <w:jc w:val="center"/>
              <w:rPr>
                <w:sz w:val="20"/>
                <w:szCs w:val="20"/>
              </w:rPr>
            </w:pPr>
          </w:p>
        </w:tc>
        <w:tc>
          <w:tcPr>
            <w:tcW w:w="3330" w:type="dxa"/>
            <w:tcBorders>
              <w:top w:val="single" w:sz="4" w:space="0" w:color="auto"/>
              <w:left w:val="single" w:sz="4" w:space="0" w:color="auto"/>
              <w:bottom w:val="single" w:sz="4" w:space="0" w:color="auto"/>
              <w:right w:val="single" w:sz="4" w:space="0" w:color="auto"/>
            </w:tcBorders>
          </w:tcPr>
          <w:p>
            <w:pPr>
              <w:numPr>
                <w:ilvl w:val="0"/>
                <w:numId w:val="1"/>
              </w:numPr>
              <w:spacing w:after="0" w:line="240" w:lineRule="auto"/>
              <w:ind w:left="338"/>
              <w:jc w:val="both"/>
              <w:rPr>
                <w:rFonts w:eastAsia="Calibri"/>
                <w:sz w:val="20"/>
                <w:szCs w:val="20"/>
                <w:shd w:val="clear" w:color="auto" w:fill="FFFFFF"/>
              </w:rPr>
            </w:pPr>
            <w:r>
              <w:rPr>
                <w:sz w:val="20"/>
                <w:szCs w:val="20"/>
              </w:rPr>
              <w:t>Out of the City’s Shares from Philippine Amusement and Gaming Corporation (PAGCOR), Lotto Charity Fund (LCF), and donations and Endowment Fund from the Philippine Charity Sweepstakes Office (PCSO) in the aggregate amount of P281.149 million, only P78.027 million or 28 percent was utilized, thus, the optimum use of the funds, the intentions and the purposes for which the funds were granted were not fully achieved</w:t>
            </w:r>
            <w:r>
              <w:rPr>
                <w:sz w:val="20"/>
                <w:szCs w:val="20"/>
                <w:lang w:val="en-US"/>
              </w:rPr>
              <w:t>.</w:t>
            </w:r>
            <w:r>
              <w:rPr>
                <w:sz w:val="20"/>
                <w:szCs w:val="20"/>
              </w:rPr>
              <w:br/>
            </w:r>
            <w:r>
              <w:rPr>
                <w:sz w:val="20"/>
                <w:szCs w:val="20"/>
              </w:rPr>
              <w:br/>
              <w:t>The City’s Shares from PAGCOR was not fully utilized.</w:t>
            </w:r>
            <w:r>
              <w:rPr>
                <w:sz w:val="20"/>
                <w:szCs w:val="20"/>
                <w:lang w:val="en-US"/>
              </w:rPr>
              <w:t xml:space="preserve"> </w:t>
            </w:r>
            <w:r>
              <w:rPr>
                <w:sz w:val="20"/>
                <w:szCs w:val="20"/>
              </w:rPr>
              <w:t xml:space="preserve">Unutilized share from the PCSO Lotto Charity Fund and Donations to Hospitals in the amount of P90.886 million and P1.514 million, respectively. </w:t>
            </w:r>
            <w:r>
              <w:rPr>
                <w:sz w:val="20"/>
                <w:szCs w:val="20"/>
                <w:lang w:val="en-US"/>
              </w:rPr>
              <w:t>Out</w:t>
            </w:r>
            <w:r>
              <w:rPr>
                <w:sz w:val="20"/>
                <w:szCs w:val="20"/>
              </w:rPr>
              <w:t xml:space="preserve"> of the Endowment Fund for the three city hospitals of P3.500 million, only P0.100 million was utilized </w:t>
            </w:r>
            <w:r>
              <w:rPr>
                <w:sz w:val="20"/>
                <w:szCs w:val="20"/>
                <w:lang w:val="en-US"/>
              </w:rPr>
              <w:t xml:space="preserve">or </w:t>
            </w:r>
            <w:r>
              <w:rPr>
                <w:sz w:val="20"/>
                <w:szCs w:val="20"/>
              </w:rPr>
              <w:t>2.8 percent of the amount.</w:t>
            </w:r>
          </w:p>
          <w:p>
            <w:pPr>
              <w:spacing w:after="0" w:line="240" w:lineRule="auto"/>
              <w:ind w:left="338"/>
              <w:jc w:val="both"/>
              <w:rPr>
                <w:rFonts w:eastAsia="Calibri"/>
                <w:sz w:val="20"/>
                <w:szCs w:val="20"/>
                <w:shd w:val="clear" w:color="auto" w:fill="FFFFFF"/>
              </w:rPr>
            </w:pPr>
          </w:p>
          <w:p>
            <w:pPr>
              <w:numPr>
                <w:ilvl w:val="0"/>
                <w:numId w:val="17"/>
              </w:numPr>
              <w:spacing w:after="0" w:line="240" w:lineRule="auto"/>
              <w:ind w:left="609" w:hanging="249"/>
              <w:jc w:val="both"/>
              <w:rPr>
                <w:sz w:val="20"/>
                <w:szCs w:val="20"/>
              </w:rPr>
            </w:pPr>
            <w:r>
              <w:rPr>
                <w:sz w:val="20"/>
                <w:szCs w:val="20"/>
              </w:rPr>
              <w:t xml:space="preserve">Consider in the preparation of the City’s annual plan those qualified PPAs to be funded </w:t>
            </w:r>
            <w:r>
              <w:rPr>
                <w:sz w:val="20"/>
                <w:szCs w:val="20"/>
              </w:rPr>
              <w:lastRenderedPageBreak/>
              <w:t>under the PAGCOR fund to fully achieve the objectives and purposes for which the fund was granted;</w:t>
            </w:r>
          </w:p>
          <w:p>
            <w:pPr>
              <w:spacing w:after="0" w:line="240" w:lineRule="auto"/>
              <w:ind w:left="609"/>
              <w:jc w:val="both"/>
              <w:rPr>
                <w:sz w:val="20"/>
                <w:szCs w:val="20"/>
              </w:rPr>
            </w:pPr>
          </w:p>
          <w:p>
            <w:pPr>
              <w:spacing w:after="0" w:line="240" w:lineRule="auto"/>
              <w:ind w:left="609"/>
              <w:jc w:val="both"/>
              <w:rPr>
                <w:sz w:val="20"/>
                <w:szCs w:val="20"/>
                <w:lang w:val="en-US"/>
              </w:rPr>
            </w:pPr>
          </w:p>
          <w:p>
            <w:pPr>
              <w:spacing w:after="0" w:line="240" w:lineRule="auto"/>
              <w:jc w:val="both"/>
              <w:rPr>
                <w:sz w:val="20"/>
                <w:szCs w:val="20"/>
                <w:lang w:val="en-US"/>
              </w:rPr>
            </w:pPr>
          </w:p>
          <w:p>
            <w:pPr>
              <w:numPr>
                <w:ilvl w:val="0"/>
                <w:numId w:val="17"/>
              </w:numPr>
              <w:spacing w:after="0" w:line="240" w:lineRule="auto"/>
              <w:ind w:left="609" w:hanging="249"/>
              <w:jc w:val="both"/>
              <w:rPr>
                <w:sz w:val="20"/>
                <w:szCs w:val="20"/>
                <w:lang w:val="en-US"/>
              </w:rPr>
            </w:pPr>
            <w:r>
              <w:rPr>
                <w:sz w:val="20"/>
                <w:szCs w:val="20"/>
              </w:rPr>
              <w:t>Consider in the preparation of the City’s annual plan some of the PPAs which could be funded under the PCSO aligned with the intentions/purposes of the fund authorized by the Board of Directors of the said office;</w:t>
            </w:r>
          </w:p>
          <w:p>
            <w:pPr>
              <w:spacing w:after="0" w:line="240" w:lineRule="auto"/>
              <w:ind w:left="609"/>
              <w:jc w:val="both"/>
              <w:rPr>
                <w:sz w:val="20"/>
                <w:szCs w:val="20"/>
                <w:lang w:val="en-US"/>
              </w:rPr>
            </w:pPr>
          </w:p>
          <w:p>
            <w:pPr>
              <w:numPr>
                <w:ilvl w:val="0"/>
                <w:numId w:val="17"/>
              </w:numPr>
              <w:spacing w:after="0" w:line="240" w:lineRule="auto"/>
              <w:ind w:left="609" w:hanging="249"/>
              <w:jc w:val="both"/>
              <w:rPr>
                <w:sz w:val="20"/>
                <w:szCs w:val="20"/>
                <w:lang w:val="en-US"/>
              </w:rPr>
            </w:pPr>
            <w:r>
              <w:rPr>
                <w:sz w:val="20"/>
                <w:szCs w:val="20"/>
              </w:rPr>
              <w:t>Review the previous years’  PCSO donations to hospitals and Manila Health Department to determine if there are restrictions on the said funds otherwise, consolidate them in the GF; and</w:t>
            </w:r>
          </w:p>
          <w:p>
            <w:pPr>
              <w:spacing w:after="0" w:line="240" w:lineRule="auto"/>
              <w:jc w:val="both"/>
              <w:rPr>
                <w:sz w:val="20"/>
                <w:szCs w:val="20"/>
                <w:lang w:val="en-US"/>
              </w:rPr>
            </w:pPr>
          </w:p>
          <w:p>
            <w:pPr>
              <w:numPr>
                <w:ilvl w:val="0"/>
                <w:numId w:val="17"/>
              </w:numPr>
              <w:spacing w:after="0" w:line="240" w:lineRule="auto"/>
              <w:ind w:left="609" w:hanging="249"/>
              <w:jc w:val="both"/>
              <w:rPr>
                <w:sz w:val="20"/>
                <w:szCs w:val="20"/>
                <w:lang w:val="en-US"/>
              </w:rPr>
            </w:pPr>
            <w:r>
              <w:rPr>
                <w:sz w:val="20"/>
                <w:szCs w:val="20"/>
              </w:rPr>
              <w:t>Identify the causes/reason for the non-implementation of the Endowment Fund Program of the city hospitals and the non-maintenance of separate depository account required in M</w:t>
            </w:r>
            <w:r>
              <w:rPr>
                <w:sz w:val="20"/>
                <w:szCs w:val="20"/>
                <w:lang w:val="en-US"/>
              </w:rPr>
              <w:t xml:space="preserve">OA for </w:t>
            </w:r>
            <w:r>
              <w:rPr>
                <w:sz w:val="20"/>
                <w:szCs w:val="20"/>
              </w:rPr>
              <w:t>Sta Ana Hospital</w:t>
            </w:r>
            <w:r>
              <w:rPr>
                <w:sz w:val="20"/>
                <w:szCs w:val="20"/>
                <w:lang w:val="en-US"/>
              </w:rPr>
              <w:t>.</w:t>
            </w:r>
          </w:p>
          <w:p>
            <w:pPr>
              <w:spacing w:after="0" w:line="240" w:lineRule="auto"/>
              <w:jc w:val="both"/>
              <w:rPr>
                <w:sz w:val="20"/>
                <w:szCs w:val="20"/>
                <w:lang w:val="en-US"/>
              </w:rPr>
            </w:pPr>
          </w:p>
          <w:p>
            <w:pPr>
              <w:spacing w:after="0" w:line="240" w:lineRule="auto"/>
              <w:ind w:left="338"/>
              <w:jc w:val="both"/>
              <w:rPr>
                <w:sz w:val="20"/>
                <w:szCs w:val="20"/>
              </w:rPr>
            </w:pPr>
          </w:p>
        </w:tc>
        <w:tc>
          <w:tcPr>
            <w:tcW w:w="1643" w:type="dxa"/>
            <w:tcBorders>
              <w:top w:val="single" w:sz="4" w:space="0" w:color="auto"/>
              <w:left w:val="single" w:sz="4" w:space="0" w:color="auto"/>
              <w:bottom w:val="single" w:sz="4" w:space="0" w:color="auto"/>
              <w:right w:val="single" w:sz="4" w:space="0" w:color="auto"/>
            </w:tcBorders>
          </w:tcPr>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rPr>
                <w:sz w:val="20"/>
                <w:szCs w:val="20"/>
              </w:rPr>
            </w:pPr>
          </w:p>
          <w:p>
            <w:pPr>
              <w:spacing w:after="0" w:line="240" w:lineRule="auto"/>
              <w:jc w:val="center"/>
              <w:rPr>
                <w:sz w:val="20"/>
                <w:szCs w:val="20"/>
                <w:lang w:val="en-US"/>
              </w:rPr>
            </w:pPr>
            <w:r>
              <w:rPr>
                <w:sz w:val="20"/>
                <w:szCs w:val="20"/>
              </w:rPr>
              <w:t>Not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rPr>
                <w:sz w:val="20"/>
                <w:szCs w:val="20"/>
              </w:rPr>
            </w:pPr>
          </w:p>
          <w:p>
            <w:pPr>
              <w:spacing w:after="0" w:line="240" w:lineRule="auto"/>
              <w:jc w:val="center"/>
              <w:rPr>
                <w:sz w:val="20"/>
                <w:szCs w:val="20"/>
              </w:rPr>
            </w:pPr>
          </w:p>
          <w:p>
            <w:pPr>
              <w:spacing w:after="0" w:line="240" w:lineRule="auto"/>
              <w:jc w:val="center"/>
              <w:rPr>
                <w:sz w:val="20"/>
                <w:szCs w:val="20"/>
              </w:rPr>
            </w:pPr>
            <w:r>
              <w:rPr>
                <w:sz w:val="20"/>
                <w:szCs w:val="20"/>
              </w:rPr>
              <w:t>Partially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rPr>
                <w:sz w:val="20"/>
                <w:szCs w:val="20"/>
                <w:lang w:val="en-US"/>
              </w:rPr>
            </w:pPr>
          </w:p>
          <w:p>
            <w:pPr>
              <w:spacing w:after="0" w:line="240" w:lineRule="auto"/>
              <w:jc w:val="center"/>
              <w:rPr>
                <w:sz w:val="20"/>
                <w:szCs w:val="20"/>
                <w:lang w:val="en-US"/>
              </w:rPr>
            </w:pPr>
            <w:r>
              <w:rPr>
                <w:sz w:val="20"/>
                <w:szCs w:val="20"/>
              </w:rPr>
              <w:t>Not Implemented</w:t>
            </w: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spacing w:after="0" w:line="240" w:lineRule="auto"/>
              <w:jc w:val="center"/>
              <w:rPr>
                <w:sz w:val="20"/>
                <w:szCs w:val="20"/>
                <w:lang w:val="en-US"/>
              </w:rPr>
            </w:pPr>
            <w:r>
              <w:rPr>
                <w:sz w:val="20"/>
                <w:szCs w:val="20"/>
              </w:rPr>
              <w:t>Not Implemented</w:t>
            </w:r>
          </w:p>
          <w:p>
            <w:pPr>
              <w:pStyle w:val="ListParagraph"/>
              <w:ind w:left="0"/>
              <w:jc w:val="center"/>
              <w:rPr>
                <w:sz w:val="20"/>
                <w:szCs w:val="20"/>
              </w:rPr>
            </w:pPr>
          </w:p>
        </w:tc>
        <w:tc>
          <w:tcPr>
            <w:tcW w:w="1620" w:type="dxa"/>
            <w:tcBorders>
              <w:top w:val="single" w:sz="4" w:space="0" w:color="auto"/>
              <w:left w:val="single" w:sz="4" w:space="0" w:color="auto"/>
              <w:bottom w:val="single" w:sz="4" w:space="0" w:color="auto"/>
              <w:right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lang w:val="en-US"/>
              </w:rPr>
              <w:t>Out of the</w:t>
            </w:r>
            <w:r>
              <w:rPr>
                <w:sz w:val="20"/>
                <w:szCs w:val="20"/>
              </w:rPr>
              <w:t xml:space="preserve"> PAGCOR fund, P39.332 million </w:t>
            </w:r>
            <w:r>
              <w:rPr>
                <w:sz w:val="20"/>
                <w:szCs w:val="20"/>
              </w:rPr>
              <w:lastRenderedPageBreak/>
              <w:t>was utilized while the balance increased to</w:t>
            </w:r>
          </w:p>
          <w:p>
            <w:pPr>
              <w:spacing w:after="0" w:line="240" w:lineRule="auto"/>
              <w:jc w:val="both"/>
              <w:rPr>
                <w:sz w:val="20"/>
                <w:szCs w:val="20"/>
              </w:rPr>
            </w:pPr>
            <w:r>
              <w:rPr>
                <w:sz w:val="20"/>
                <w:szCs w:val="20"/>
              </w:rPr>
              <w:t xml:space="preserve"> P442.348 million as of 31</w:t>
            </w:r>
            <w:r>
              <w:rPr>
                <w:sz w:val="20"/>
                <w:szCs w:val="20"/>
                <w:lang w:val="en-US"/>
              </w:rPr>
              <w:t>/12/20</w:t>
            </w:r>
            <w:r>
              <w:rPr>
                <w:sz w:val="20"/>
                <w:szCs w:val="20"/>
              </w:rPr>
              <w:t xml:space="preserve">. </w:t>
            </w:r>
          </w:p>
          <w:p>
            <w:pPr>
              <w:spacing w:after="0" w:line="240" w:lineRule="auto"/>
              <w:jc w:val="both"/>
              <w:rPr>
                <w:sz w:val="20"/>
                <w:szCs w:val="20"/>
              </w:rPr>
            </w:pPr>
          </w:p>
          <w:p>
            <w:pPr>
              <w:spacing w:after="0" w:line="240" w:lineRule="auto"/>
              <w:jc w:val="both"/>
              <w:rPr>
                <w:sz w:val="20"/>
                <w:szCs w:val="20"/>
              </w:rPr>
            </w:pPr>
            <w:r>
              <w:rPr>
                <w:sz w:val="20"/>
                <w:szCs w:val="20"/>
              </w:rPr>
              <w:t>None in the Host City Shares received for 2020 was utilized.</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Lack of effective action by the concerned officials.</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Lack of effective action by the concerned officials.</w:t>
            </w:r>
          </w:p>
        </w:tc>
        <w:tc>
          <w:tcPr>
            <w:tcW w:w="1872" w:type="dxa"/>
            <w:tcBorders>
              <w:top w:val="single" w:sz="4" w:space="0" w:color="auto"/>
              <w:left w:val="single" w:sz="4" w:space="0" w:color="auto"/>
              <w:bottom w:val="single" w:sz="4" w:space="0" w:color="auto"/>
              <w:right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 xml:space="preserve">The PAGCOR fund was not yet </w:t>
            </w:r>
            <w:r>
              <w:rPr>
                <w:sz w:val="20"/>
                <w:szCs w:val="20"/>
              </w:rPr>
              <w:lastRenderedPageBreak/>
              <w:t>transferred from the TF to the GF.</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Utilization of the fund for its intended purposes has not been achieved to date.</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Restrictions, if any, has not been established to date.</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Accounting records show that no program under the Endowment Fund Program was implemented to date.</w:t>
            </w:r>
          </w:p>
        </w:tc>
      </w:tr>
      <w:tr>
        <w:trPr>
          <w:trHeight w:val="70"/>
        </w:trPr>
        <w:tc>
          <w:tcPr>
            <w:tcW w:w="1260" w:type="dxa"/>
            <w:tcBorders>
              <w:top w:val="single" w:sz="4" w:space="0" w:color="auto"/>
              <w:left w:val="single" w:sz="4" w:space="0" w:color="auto"/>
              <w:bottom w:val="single" w:sz="4" w:space="0" w:color="auto"/>
              <w:right w:val="single" w:sz="4" w:space="0" w:color="auto"/>
            </w:tcBorders>
          </w:tcPr>
          <w:p>
            <w:pPr>
              <w:pStyle w:val="NoSpacing"/>
              <w:jc w:val="center"/>
              <w:rPr>
                <w:sz w:val="20"/>
                <w:szCs w:val="20"/>
              </w:rPr>
            </w:pPr>
            <w:r>
              <w:rPr>
                <w:sz w:val="20"/>
                <w:szCs w:val="20"/>
              </w:rPr>
              <w:lastRenderedPageBreak/>
              <w:t>Observation No. 12,</w:t>
            </w:r>
          </w:p>
          <w:p>
            <w:pPr>
              <w:pStyle w:val="NoSpacing"/>
              <w:jc w:val="center"/>
              <w:rPr>
                <w:sz w:val="20"/>
                <w:szCs w:val="20"/>
              </w:rPr>
            </w:pPr>
            <w:r>
              <w:rPr>
                <w:sz w:val="20"/>
                <w:szCs w:val="20"/>
              </w:rPr>
              <w:t>Pages 83-84</w:t>
            </w:r>
          </w:p>
          <w:p>
            <w:pPr>
              <w:pStyle w:val="NoSpacing"/>
              <w:jc w:val="center"/>
              <w:rPr>
                <w:sz w:val="20"/>
                <w:szCs w:val="20"/>
              </w:rPr>
            </w:pPr>
          </w:p>
        </w:tc>
        <w:tc>
          <w:tcPr>
            <w:tcW w:w="3330" w:type="dxa"/>
            <w:tcBorders>
              <w:top w:val="single" w:sz="4" w:space="0" w:color="auto"/>
              <w:left w:val="single" w:sz="4" w:space="0" w:color="auto"/>
              <w:bottom w:val="single" w:sz="4" w:space="0" w:color="auto"/>
              <w:right w:val="single" w:sz="4" w:space="0" w:color="auto"/>
            </w:tcBorders>
          </w:tcPr>
          <w:p>
            <w:pPr>
              <w:numPr>
                <w:ilvl w:val="0"/>
                <w:numId w:val="1"/>
              </w:numPr>
              <w:spacing w:after="0" w:line="240" w:lineRule="auto"/>
              <w:ind w:left="338"/>
              <w:jc w:val="both"/>
              <w:rPr>
                <w:sz w:val="20"/>
                <w:szCs w:val="20"/>
                <w:shd w:val="clear" w:color="auto" w:fill="FFFFFF"/>
              </w:rPr>
            </w:pPr>
            <w:r>
              <w:rPr>
                <w:sz w:val="20"/>
                <w:szCs w:val="20"/>
              </w:rPr>
              <w:t>The City’s share from PAGCOR and LCF from the PCSO totaling P185.250 million and P90.886 million, respectively, were erroneously recorded as Inter-Agency Payables (Due to Government-Owned and Controlled Corporation (GOCCs)-PAGCOR/PCSO accounts under the TF instead of Share from PAGCOR/PCSO accounts in the GF books of accounts.</w:t>
            </w:r>
          </w:p>
          <w:p>
            <w:pPr>
              <w:spacing w:after="0" w:line="240" w:lineRule="auto"/>
              <w:ind w:left="338"/>
              <w:jc w:val="both"/>
              <w:rPr>
                <w:sz w:val="20"/>
                <w:szCs w:val="20"/>
                <w:shd w:val="clear" w:color="auto" w:fill="FFFFFF"/>
              </w:rPr>
            </w:pPr>
          </w:p>
          <w:p>
            <w:pPr>
              <w:spacing w:after="0" w:line="240" w:lineRule="auto"/>
              <w:ind w:left="346"/>
              <w:jc w:val="both"/>
              <w:rPr>
                <w:sz w:val="20"/>
                <w:szCs w:val="20"/>
                <w:lang w:val="en-US"/>
              </w:rPr>
            </w:pPr>
            <w:r>
              <w:rPr>
                <w:sz w:val="20"/>
                <w:szCs w:val="20"/>
              </w:rPr>
              <w:t xml:space="preserve">We recommended that the City Treasurer transfer immediately the cash in bank corresponding to the unutilized PCSO LCF from the TF to the GF in order to augment the scarce resources of the GF to be utilized for expenditures aligned </w:t>
            </w:r>
            <w:r>
              <w:rPr>
                <w:sz w:val="20"/>
                <w:szCs w:val="20"/>
              </w:rPr>
              <w:lastRenderedPageBreak/>
              <w:t>with the intentions / purposes of Executive Order No. 357, as amended. Henceforth, maintain a separate record/cashbook of the PAGCOR funds under the GF.</w:t>
            </w:r>
          </w:p>
          <w:p>
            <w:pPr>
              <w:spacing w:after="0" w:line="240" w:lineRule="auto"/>
              <w:ind w:left="609"/>
              <w:jc w:val="both"/>
              <w:rPr>
                <w:sz w:val="20"/>
                <w:szCs w:val="20"/>
              </w:rPr>
            </w:pPr>
          </w:p>
        </w:tc>
        <w:tc>
          <w:tcPr>
            <w:tcW w:w="1643" w:type="dxa"/>
            <w:tcBorders>
              <w:top w:val="single" w:sz="4" w:space="0" w:color="auto"/>
              <w:left w:val="single" w:sz="4" w:space="0" w:color="auto"/>
              <w:bottom w:val="single" w:sz="4" w:space="0" w:color="auto"/>
              <w:right w:val="single" w:sz="4" w:space="0" w:color="auto"/>
            </w:tcBorders>
          </w:tcPr>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pStyle w:val="ListParagraph"/>
              <w:ind w:left="0"/>
              <w:jc w:val="center"/>
              <w:rPr>
                <w:sz w:val="20"/>
                <w:szCs w:val="20"/>
              </w:rPr>
            </w:pPr>
          </w:p>
          <w:p>
            <w:pPr>
              <w:spacing w:after="0" w:line="240" w:lineRule="auto"/>
              <w:jc w:val="center"/>
              <w:rPr>
                <w:sz w:val="20"/>
                <w:szCs w:val="20"/>
                <w:lang w:val="en-US"/>
              </w:rPr>
            </w:pPr>
            <w:r>
              <w:rPr>
                <w:sz w:val="20"/>
                <w:szCs w:val="20"/>
              </w:rPr>
              <w:t>Not Implemented</w:t>
            </w:r>
          </w:p>
          <w:p>
            <w:pPr>
              <w:spacing w:after="0" w:line="240" w:lineRule="auto"/>
              <w:jc w:val="center"/>
              <w:rPr>
                <w:sz w:val="20"/>
                <w:szCs w:val="20"/>
              </w:rPr>
            </w:pPr>
          </w:p>
        </w:tc>
        <w:tc>
          <w:tcPr>
            <w:tcW w:w="1620" w:type="dxa"/>
            <w:tcBorders>
              <w:top w:val="single" w:sz="4" w:space="0" w:color="auto"/>
              <w:left w:val="single" w:sz="4" w:space="0" w:color="auto"/>
              <w:bottom w:val="single" w:sz="4" w:space="0" w:color="auto"/>
              <w:right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 xml:space="preserve">The CTO recognized shares from PAGCOR and PCSO as TF, and maintains a separate </w:t>
            </w:r>
            <w:r>
              <w:rPr>
                <w:sz w:val="20"/>
                <w:szCs w:val="20"/>
              </w:rPr>
              <w:lastRenderedPageBreak/>
              <w:t xml:space="preserve">depository account for PAGCOR </w:t>
            </w:r>
            <w:r>
              <w:rPr>
                <w:sz w:val="20"/>
                <w:szCs w:val="20"/>
                <w:lang w:val="en-US"/>
              </w:rPr>
              <w:t xml:space="preserve">and deposited </w:t>
            </w:r>
            <w:r>
              <w:rPr>
                <w:sz w:val="20"/>
                <w:szCs w:val="20"/>
              </w:rPr>
              <w:t xml:space="preserve">the latter </w:t>
            </w:r>
            <w:r>
              <w:rPr>
                <w:sz w:val="20"/>
                <w:szCs w:val="20"/>
                <w:lang w:val="en-US"/>
              </w:rPr>
              <w:t>in</w:t>
            </w:r>
            <w:r>
              <w:rPr>
                <w:sz w:val="20"/>
                <w:szCs w:val="20"/>
              </w:rPr>
              <w:t xml:space="preserve"> the TF account proper.  The OCAT maintains the SL for each account.</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tc>
        <w:tc>
          <w:tcPr>
            <w:tcW w:w="1872" w:type="dxa"/>
            <w:tcBorders>
              <w:top w:val="single" w:sz="4" w:space="0" w:color="auto"/>
              <w:left w:val="single" w:sz="4" w:space="0" w:color="auto"/>
              <w:bottom w:val="single" w:sz="4" w:space="0" w:color="auto"/>
              <w:right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 xml:space="preserve">The funds were not yet transferred from the TF to the GF and still recorded in Due to GOCCs - PAGCOR and Due </w:t>
            </w:r>
            <w:r>
              <w:rPr>
                <w:sz w:val="20"/>
                <w:szCs w:val="20"/>
              </w:rPr>
              <w:lastRenderedPageBreak/>
              <w:t>to GOCCs - PCSO accounts.</w:t>
            </w:r>
          </w:p>
        </w:tc>
      </w:tr>
      <w:tr>
        <w:trPr>
          <w:trHeight w:val="2592"/>
        </w:trPr>
        <w:tc>
          <w:tcPr>
            <w:tcW w:w="1260" w:type="dxa"/>
            <w:tcBorders>
              <w:top w:val="single" w:sz="4" w:space="0" w:color="auto"/>
              <w:left w:val="single" w:sz="4" w:space="0" w:color="auto"/>
              <w:right w:val="single" w:sz="4" w:space="0" w:color="auto"/>
            </w:tcBorders>
          </w:tcPr>
          <w:p>
            <w:pPr>
              <w:pStyle w:val="NoSpacing"/>
              <w:jc w:val="center"/>
              <w:rPr>
                <w:sz w:val="20"/>
                <w:szCs w:val="20"/>
              </w:rPr>
            </w:pPr>
            <w:r>
              <w:rPr>
                <w:sz w:val="20"/>
                <w:szCs w:val="20"/>
              </w:rPr>
              <w:lastRenderedPageBreak/>
              <w:t>Observation No. 13,</w:t>
            </w:r>
          </w:p>
          <w:p>
            <w:pPr>
              <w:pStyle w:val="NoSpacing"/>
              <w:jc w:val="center"/>
              <w:rPr>
                <w:sz w:val="20"/>
                <w:szCs w:val="20"/>
              </w:rPr>
            </w:pPr>
            <w:r>
              <w:rPr>
                <w:sz w:val="20"/>
                <w:szCs w:val="20"/>
              </w:rPr>
              <w:t>Pages 85-86</w:t>
            </w:r>
          </w:p>
          <w:p>
            <w:pPr>
              <w:pStyle w:val="NoSpacing"/>
              <w:jc w:val="center"/>
              <w:rPr>
                <w:sz w:val="20"/>
                <w:szCs w:val="20"/>
              </w:rPr>
            </w:pPr>
          </w:p>
        </w:tc>
        <w:tc>
          <w:tcPr>
            <w:tcW w:w="3330" w:type="dxa"/>
            <w:tcBorders>
              <w:top w:val="single" w:sz="4" w:space="0" w:color="auto"/>
              <w:left w:val="single" w:sz="4" w:space="0" w:color="auto"/>
              <w:right w:val="single" w:sz="4" w:space="0" w:color="auto"/>
            </w:tcBorders>
          </w:tcPr>
          <w:p>
            <w:pPr>
              <w:numPr>
                <w:ilvl w:val="0"/>
                <w:numId w:val="1"/>
              </w:numPr>
              <w:spacing w:after="0" w:line="240" w:lineRule="auto"/>
              <w:ind w:left="338"/>
              <w:jc w:val="both"/>
              <w:rPr>
                <w:sz w:val="20"/>
                <w:szCs w:val="20"/>
                <w:shd w:val="clear" w:color="auto" w:fill="FFFFFF"/>
              </w:rPr>
            </w:pPr>
            <w:r>
              <w:rPr>
                <w:sz w:val="20"/>
                <w:szCs w:val="20"/>
              </w:rPr>
              <w:t xml:space="preserve">The funds from the LDRRM, PCSO, PhilHealth, Department of Social Welfare and Development, barangay Real Property Tax shares and other sources under the TF were lumped into one bank account and the corresponding interest earned therein in the amount of P45.823 million was recorded as Other Payables-Undistributed Interest. As a result, the cash pertaining to the interest earned for each account held in trust remained idle and was not utilized to finance the </w:t>
            </w:r>
            <w:r>
              <w:rPr>
                <w:sz w:val="20"/>
                <w:szCs w:val="20"/>
                <w:lang w:val="en-US"/>
              </w:rPr>
              <w:t xml:space="preserve">City’s </w:t>
            </w:r>
            <w:r>
              <w:rPr>
                <w:sz w:val="20"/>
                <w:szCs w:val="20"/>
              </w:rPr>
              <w:t>PPAs the undistributed interest included those earned from a DBP bank account without the necessary details and HYSA.</w:t>
            </w:r>
          </w:p>
          <w:p>
            <w:pPr>
              <w:spacing w:after="0" w:line="240" w:lineRule="auto"/>
              <w:ind w:left="338"/>
              <w:jc w:val="both"/>
              <w:rPr>
                <w:sz w:val="20"/>
                <w:szCs w:val="20"/>
                <w:shd w:val="clear" w:color="auto" w:fill="FFFFFF"/>
              </w:rPr>
            </w:pPr>
          </w:p>
          <w:p>
            <w:pPr>
              <w:spacing w:after="0" w:line="240" w:lineRule="auto"/>
              <w:ind w:left="338"/>
              <w:jc w:val="both"/>
              <w:rPr>
                <w:sz w:val="20"/>
                <w:szCs w:val="20"/>
                <w:shd w:val="clear" w:color="auto" w:fill="FFFFFF"/>
              </w:rPr>
            </w:pPr>
          </w:p>
          <w:p>
            <w:pPr>
              <w:spacing w:after="0" w:line="240" w:lineRule="auto"/>
              <w:ind w:left="346"/>
              <w:jc w:val="both"/>
              <w:rPr>
                <w:sz w:val="20"/>
                <w:szCs w:val="20"/>
                <w:lang w:val="en-US"/>
              </w:rPr>
            </w:pPr>
            <w:r>
              <w:rPr>
                <w:sz w:val="20"/>
                <w:szCs w:val="20"/>
              </w:rPr>
              <w:t>We recommended that the City Treasurer cause the immediate transfer of the cash in bank corresponding to the interest earned from the LBP-Proper under the TF to the GF depository account based on the recomputation and identification of the fund source/s, in order to augment or make the funds available for future utilization.</w:t>
            </w:r>
          </w:p>
          <w:p>
            <w:pPr>
              <w:pStyle w:val="NoSpacing"/>
              <w:tabs>
                <w:tab w:val="left" w:pos="2070"/>
              </w:tabs>
              <w:ind w:left="346"/>
              <w:jc w:val="both"/>
              <w:rPr>
                <w:sz w:val="20"/>
                <w:szCs w:val="20"/>
                <w:shd w:val="clear" w:color="auto" w:fill="FFFFFF"/>
              </w:rPr>
            </w:pPr>
          </w:p>
        </w:tc>
        <w:tc>
          <w:tcPr>
            <w:tcW w:w="1643" w:type="dxa"/>
            <w:tcBorders>
              <w:top w:val="single" w:sz="4" w:space="0" w:color="auto"/>
              <w:left w:val="single" w:sz="4" w:space="0" w:color="auto"/>
              <w:right w:val="single" w:sz="4" w:space="0" w:color="auto"/>
            </w:tcBorders>
          </w:tcPr>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spacing w:after="0" w:line="240" w:lineRule="auto"/>
              <w:jc w:val="center"/>
              <w:rPr>
                <w:sz w:val="20"/>
                <w:szCs w:val="20"/>
                <w:lang w:val="en-US"/>
              </w:rPr>
            </w:pPr>
            <w:r>
              <w:rPr>
                <w:sz w:val="20"/>
                <w:szCs w:val="20"/>
              </w:rPr>
              <w:t>Not Implemented</w:t>
            </w:r>
          </w:p>
          <w:p>
            <w:pPr>
              <w:pStyle w:val="ListParagraph"/>
              <w:jc w:val="center"/>
              <w:rPr>
                <w:sz w:val="20"/>
                <w:szCs w:val="20"/>
              </w:rPr>
            </w:pPr>
          </w:p>
        </w:tc>
        <w:tc>
          <w:tcPr>
            <w:tcW w:w="1620" w:type="dxa"/>
            <w:tcBorders>
              <w:top w:val="single" w:sz="4" w:space="0" w:color="auto"/>
              <w:left w:val="single" w:sz="4" w:space="0" w:color="auto"/>
              <w:right w:val="single" w:sz="4" w:space="0" w:color="auto"/>
            </w:tcBorders>
          </w:tcPr>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jc w:val="both"/>
              <w:rPr>
                <w:sz w:val="20"/>
                <w:szCs w:val="20"/>
              </w:rPr>
            </w:pPr>
            <w:bookmarkStart w:id="5" w:name="RANGE!D102"/>
            <w:r>
              <w:rPr>
                <w:sz w:val="20"/>
                <w:szCs w:val="20"/>
                <w:lang w:val="en-US"/>
              </w:rPr>
              <w:t>T</w:t>
            </w:r>
            <w:r>
              <w:rPr>
                <w:sz w:val="20"/>
                <w:szCs w:val="20"/>
              </w:rPr>
              <w:t xml:space="preserve">he CTO maintained one depository account for </w:t>
            </w:r>
            <w:r>
              <w:rPr>
                <w:sz w:val="20"/>
                <w:szCs w:val="20"/>
                <w:lang w:val="en-US"/>
              </w:rPr>
              <w:t>these funds</w:t>
            </w:r>
            <w:r>
              <w:rPr>
                <w:sz w:val="20"/>
                <w:szCs w:val="20"/>
              </w:rPr>
              <w:t xml:space="preserve"> under the TF account proper in good faith</w:t>
            </w:r>
            <w:r>
              <w:rPr>
                <w:sz w:val="20"/>
                <w:szCs w:val="20"/>
                <w:lang w:val="en-US"/>
              </w:rPr>
              <w:t>. I</w:t>
            </w:r>
            <w:r>
              <w:rPr>
                <w:sz w:val="20"/>
                <w:szCs w:val="20"/>
              </w:rPr>
              <w:t xml:space="preserve">nterest earned accruing </w:t>
            </w:r>
            <w:r>
              <w:rPr>
                <w:sz w:val="20"/>
                <w:szCs w:val="20"/>
                <w:lang w:val="en-US"/>
              </w:rPr>
              <w:t xml:space="preserve">to </w:t>
            </w:r>
            <w:r>
              <w:rPr>
                <w:sz w:val="20"/>
                <w:szCs w:val="20"/>
              </w:rPr>
              <w:t>each</w:t>
            </w:r>
            <w:r>
              <w:rPr>
                <w:sz w:val="20"/>
                <w:szCs w:val="20"/>
                <w:lang w:val="en-US"/>
              </w:rPr>
              <w:t xml:space="preserve"> fund</w:t>
            </w:r>
            <w:r>
              <w:rPr>
                <w:sz w:val="20"/>
                <w:szCs w:val="20"/>
              </w:rPr>
              <w:t xml:space="preserve"> was recognized by OCAT per Monthly Bank Statement.</w:t>
            </w:r>
            <w:bookmarkEnd w:id="5"/>
          </w:p>
          <w:p>
            <w:pPr>
              <w:spacing w:after="0" w:line="240" w:lineRule="auto"/>
              <w:jc w:val="both"/>
              <w:rPr>
                <w:sz w:val="20"/>
                <w:szCs w:val="20"/>
              </w:rPr>
            </w:pPr>
          </w:p>
        </w:tc>
        <w:tc>
          <w:tcPr>
            <w:tcW w:w="1872" w:type="dxa"/>
            <w:tcBorders>
              <w:top w:val="single" w:sz="4" w:space="0" w:color="auto"/>
              <w:left w:val="single" w:sz="4" w:space="0" w:color="auto"/>
              <w:right w:val="single" w:sz="4" w:space="0" w:color="auto"/>
            </w:tcBorders>
          </w:tcPr>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jc w:val="both"/>
              <w:rPr>
                <w:sz w:val="20"/>
                <w:szCs w:val="20"/>
              </w:rPr>
            </w:pPr>
            <w:r>
              <w:rPr>
                <w:sz w:val="20"/>
                <w:szCs w:val="20"/>
              </w:rPr>
              <w:t>No transfer to the GF account was made.</w:t>
            </w:r>
          </w:p>
        </w:tc>
      </w:tr>
      <w:tr>
        <w:trPr>
          <w:trHeight w:val="2592"/>
        </w:trPr>
        <w:tc>
          <w:tcPr>
            <w:tcW w:w="1260" w:type="dxa"/>
            <w:tcBorders>
              <w:top w:val="single" w:sz="4" w:space="0" w:color="auto"/>
              <w:left w:val="single" w:sz="4" w:space="0" w:color="auto"/>
              <w:right w:val="single" w:sz="4" w:space="0" w:color="auto"/>
            </w:tcBorders>
          </w:tcPr>
          <w:p>
            <w:pPr>
              <w:pStyle w:val="NoSpacing"/>
              <w:jc w:val="center"/>
              <w:rPr>
                <w:sz w:val="20"/>
                <w:szCs w:val="20"/>
              </w:rPr>
            </w:pPr>
            <w:r>
              <w:rPr>
                <w:sz w:val="20"/>
                <w:szCs w:val="20"/>
              </w:rPr>
              <w:lastRenderedPageBreak/>
              <w:t>Observation No. 15,</w:t>
            </w:r>
          </w:p>
          <w:p>
            <w:pPr>
              <w:pStyle w:val="NoSpacing"/>
              <w:jc w:val="center"/>
              <w:rPr>
                <w:sz w:val="20"/>
                <w:szCs w:val="20"/>
              </w:rPr>
            </w:pPr>
            <w:r>
              <w:rPr>
                <w:sz w:val="20"/>
                <w:szCs w:val="20"/>
              </w:rPr>
              <w:t>Pages 87-94</w:t>
            </w:r>
          </w:p>
          <w:p>
            <w:pPr>
              <w:pStyle w:val="NoSpacing"/>
              <w:jc w:val="center"/>
              <w:rPr>
                <w:sz w:val="20"/>
                <w:szCs w:val="20"/>
              </w:rPr>
            </w:pPr>
          </w:p>
        </w:tc>
        <w:tc>
          <w:tcPr>
            <w:tcW w:w="3330" w:type="dxa"/>
            <w:tcBorders>
              <w:top w:val="single" w:sz="4" w:space="0" w:color="auto"/>
              <w:left w:val="single" w:sz="4" w:space="0" w:color="auto"/>
              <w:right w:val="single" w:sz="4" w:space="0" w:color="auto"/>
            </w:tcBorders>
          </w:tcPr>
          <w:p>
            <w:pPr>
              <w:numPr>
                <w:ilvl w:val="0"/>
                <w:numId w:val="1"/>
              </w:numPr>
              <w:spacing w:after="0" w:line="240" w:lineRule="auto"/>
              <w:ind w:left="338"/>
              <w:jc w:val="both"/>
              <w:rPr>
                <w:sz w:val="20"/>
                <w:szCs w:val="20"/>
              </w:rPr>
            </w:pPr>
            <w:r>
              <w:rPr>
                <w:sz w:val="20"/>
                <w:szCs w:val="20"/>
              </w:rPr>
              <w:t>The release of the quarterly RPT shares for the 896 Barangays of the City for CY 2017 in the amount of P952.225 million was delayed by 56 to 93 days, contrary to Section 271(d) of RA No. 7160. Likewise, the accuracy of the said RPT shares recorded under the Due to Local Government Units (LGUs)-Barangay account could not be ascertained because of the (a) inclusion in the distribution list of 27 non-existent barangays, of which actual release was made to one barangay; (b) unreconciled balances of the reciprocal accounts, Due from LGUs-City of Manila and Due to LGUs-Barangay account for CYs 2015 and 2016; (c) incomplete/non-maintenance of barangay books of accounts for CYs 2015 to 2017; and (d) lack of manpower under the OCAT to handle accounting and bookkeeping functions.</w:t>
            </w:r>
          </w:p>
          <w:p>
            <w:pPr>
              <w:spacing w:after="0" w:line="240" w:lineRule="auto"/>
              <w:ind w:left="346"/>
              <w:jc w:val="both"/>
              <w:rPr>
                <w:sz w:val="20"/>
                <w:szCs w:val="20"/>
              </w:rPr>
            </w:pPr>
          </w:p>
          <w:p>
            <w:pPr>
              <w:spacing w:after="0" w:line="240" w:lineRule="auto"/>
              <w:ind w:left="346"/>
              <w:jc w:val="both"/>
              <w:rPr>
                <w:sz w:val="20"/>
                <w:szCs w:val="20"/>
              </w:rPr>
            </w:pPr>
            <w:r>
              <w:rPr>
                <w:sz w:val="20"/>
                <w:szCs w:val="20"/>
              </w:rPr>
              <w:t>We recommended that:</w:t>
            </w:r>
          </w:p>
          <w:p>
            <w:pPr>
              <w:spacing w:after="0" w:line="240" w:lineRule="auto"/>
              <w:ind w:left="346"/>
              <w:jc w:val="both"/>
              <w:rPr>
                <w:sz w:val="20"/>
                <w:szCs w:val="20"/>
              </w:rPr>
            </w:pPr>
          </w:p>
          <w:p>
            <w:pPr>
              <w:numPr>
                <w:ilvl w:val="0"/>
                <w:numId w:val="18"/>
              </w:numPr>
              <w:spacing w:after="0" w:line="240" w:lineRule="auto"/>
              <w:ind w:left="609" w:hanging="249"/>
              <w:jc w:val="both"/>
              <w:rPr>
                <w:sz w:val="20"/>
                <w:szCs w:val="20"/>
                <w:lang w:val="en-US"/>
              </w:rPr>
            </w:pPr>
            <w:r>
              <w:rPr>
                <w:sz w:val="20"/>
                <w:szCs w:val="20"/>
              </w:rPr>
              <w:t>The OCAT submit promptly the pertinent JEVs, DVs and supporting documents to the CAO pertaining to the barangay RPT shares to facilitate the audit and to avoid the suspension of the transaction/s;</w:t>
            </w:r>
          </w:p>
          <w:p>
            <w:pPr>
              <w:spacing w:after="0" w:line="240" w:lineRule="auto"/>
              <w:ind w:left="609"/>
              <w:jc w:val="both"/>
              <w:rPr>
                <w:sz w:val="20"/>
                <w:szCs w:val="20"/>
                <w:lang w:val="en-US"/>
              </w:rPr>
            </w:pPr>
          </w:p>
          <w:p>
            <w:pPr>
              <w:numPr>
                <w:ilvl w:val="0"/>
                <w:numId w:val="18"/>
              </w:numPr>
              <w:spacing w:after="0" w:line="240" w:lineRule="auto"/>
              <w:ind w:left="609" w:hanging="249"/>
              <w:jc w:val="both"/>
              <w:rPr>
                <w:sz w:val="20"/>
                <w:szCs w:val="20"/>
                <w:lang w:val="en-US"/>
              </w:rPr>
            </w:pPr>
            <w:r>
              <w:rPr>
                <w:sz w:val="20"/>
                <w:szCs w:val="20"/>
              </w:rPr>
              <w:t xml:space="preserve">Management to consider revision of the existing plantilla to include technical positions, such as Certified Public Accountants / accounting graduates, to handle </w:t>
            </w:r>
            <w:r>
              <w:rPr>
                <w:sz w:val="20"/>
                <w:szCs w:val="20"/>
                <w:lang w:val="en-US"/>
              </w:rPr>
              <w:t xml:space="preserve">barangay </w:t>
            </w:r>
            <w:r>
              <w:rPr>
                <w:sz w:val="20"/>
                <w:szCs w:val="20"/>
              </w:rPr>
              <w:t>accounting and bookkeeping functions</w:t>
            </w:r>
            <w:r>
              <w:rPr>
                <w:sz w:val="20"/>
                <w:szCs w:val="20"/>
                <w:lang w:val="en-US"/>
              </w:rPr>
              <w:t>;</w:t>
            </w:r>
          </w:p>
          <w:p>
            <w:pPr>
              <w:spacing w:after="0" w:line="240" w:lineRule="auto"/>
              <w:jc w:val="both"/>
              <w:rPr>
                <w:sz w:val="20"/>
                <w:szCs w:val="20"/>
                <w:lang w:val="en-US"/>
              </w:rPr>
            </w:pPr>
          </w:p>
          <w:p>
            <w:pPr>
              <w:numPr>
                <w:ilvl w:val="0"/>
                <w:numId w:val="18"/>
              </w:numPr>
              <w:spacing w:after="0" w:line="240" w:lineRule="auto"/>
              <w:ind w:left="609" w:hanging="249"/>
              <w:jc w:val="both"/>
              <w:rPr>
                <w:sz w:val="20"/>
                <w:szCs w:val="20"/>
                <w:lang w:val="en-US"/>
              </w:rPr>
            </w:pPr>
            <w:r>
              <w:rPr>
                <w:sz w:val="20"/>
                <w:szCs w:val="20"/>
              </w:rPr>
              <w:t>The BAD fast track the preparation of the books of accounts for CYs 2015 to 2016 for those barangays without FS and related accounting records submitted to the Audit Team.</w:t>
            </w:r>
          </w:p>
          <w:p>
            <w:pPr>
              <w:spacing w:after="0" w:line="240" w:lineRule="auto"/>
              <w:ind w:left="338"/>
              <w:jc w:val="both"/>
              <w:rPr>
                <w:sz w:val="20"/>
                <w:szCs w:val="20"/>
              </w:rPr>
            </w:pPr>
          </w:p>
        </w:tc>
        <w:tc>
          <w:tcPr>
            <w:tcW w:w="1643" w:type="dxa"/>
            <w:tcBorders>
              <w:top w:val="single" w:sz="4" w:space="0" w:color="auto"/>
              <w:left w:val="single" w:sz="4" w:space="0" w:color="auto"/>
              <w:right w:val="single" w:sz="4" w:space="0" w:color="auto"/>
            </w:tcBorders>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r>
              <w:rPr>
                <w:sz w:val="20"/>
                <w:szCs w:val="20"/>
              </w:rPr>
              <w:t>Partially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p>
          <w:p>
            <w:pPr>
              <w:spacing w:after="0" w:line="240" w:lineRule="auto"/>
              <w:jc w:val="center"/>
              <w:rPr>
                <w:sz w:val="20"/>
                <w:szCs w:val="20"/>
              </w:rPr>
            </w:pPr>
            <w:r>
              <w:rPr>
                <w:sz w:val="20"/>
                <w:szCs w:val="20"/>
              </w:rPr>
              <w:t>Fully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p>
          <w:p>
            <w:pPr>
              <w:spacing w:after="0" w:line="240" w:lineRule="auto"/>
              <w:jc w:val="center"/>
              <w:rPr>
                <w:sz w:val="20"/>
                <w:szCs w:val="20"/>
                <w:lang w:val="en-US"/>
              </w:rPr>
            </w:pPr>
            <w:r>
              <w:rPr>
                <w:sz w:val="20"/>
                <w:szCs w:val="20"/>
              </w:rPr>
              <w:t>Partially Implemented</w:t>
            </w:r>
          </w:p>
          <w:p>
            <w:pPr>
              <w:pStyle w:val="ListParagraph"/>
              <w:jc w:val="center"/>
              <w:rPr>
                <w:sz w:val="20"/>
                <w:szCs w:val="20"/>
              </w:rPr>
            </w:pPr>
          </w:p>
        </w:tc>
        <w:tc>
          <w:tcPr>
            <w:tcW w:w="1620" w:type="dxa"/>
            <w:tcBorders>
              <w:top w:val="single" w:sz="4" w:space="0" w:color="auto"/>
              <w:left w:val="single" w:sz="4" w:space="0" w:color="auto"/>
              <w:right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The OCAT is now in the process of fully adhering to such recommendation.</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jc w:val="both"/>
              <w:rPr>
                <w:sz w:val="20"/>
                <w:szCs w:val="20"/>
              </w:rPr>
            </w:pPr>
            <w:r>
              <w:rPr>
                <w:sz w:val="20"/>
                <w:szCs w:val="20"/>
              </w:rPr>
              <w:t>Of the five additional CPAs hired, one was assigned in the Barangay Accounts Division (BAD).</w:t>
            </w:r>
          </w:p>
          <w:p>
            <w:pPr>
              <w:spacing w:after="0" w:line="240" w:lineRule="auto"/>
              <w:rPr>
                <w:sz w:val="20"/>
                <w:szCs w:val="20"/>
              </w:rPr>
            </w:pPr>
            <w:r>
              <w:rPr>
                <w:sz w:val="20"/>
                <w:szCs w:val="20"/>
                <w:lang w:val="en-US"/>
              </w:rPr>
              <w:t xml:space="preserve">Prepared </w:t>
            </w:r>
            <w:r>
              <w:rPr>
                <w:sz w:val="20"/>
                <w:szCs w:val="20"/>
              </w:rPr>
              <w:t>FS and other accounting records</w:t>
            </w:r>
            <w:r>
              <w:rPr>
                <w:sz w:val="20"/>
                <w:szCs w:val="20"/>
                <w:lang w:val="en-US"/>
              </w:rPr>
              <w:t xml:space="preserve">: </w:t>
            </w:r>
            <w:r>
              <w:rPr>
                <w:sz w:val="20"/>
                <w:szCs w:val="20"/>
              </w:rPr>
              <w:t xml:space="preserve">CYs 2015 - </w:t>
            </w:r>
            <w:r>
              <w:rPr>
                <w:sz w:val="20"/>
                <w:szCs w:val="20"/>
                <w:lang w:val="en-US"/>
              </w:rPr>
              <w:t xml:space="preserve">100 percent </w:t>
            </w:r>
            <w:r>
              <w:rPr>
                <w:sz w:val="20"/>
                <w:szCs w:val="20"/>
              </w:rPr>
              <w:t xml:space="preserve">and 2016 </w:t>
            </w:r>
            <w:r>
              <w:rPr>
                <w:sz w:val="20"/>
                <w:szCs w:val="20"/>
                <w:lang w:val="en-US"/>
              </w:rPr>
              <w:t xml:space="preserve">- </w:t>
            </w:r>
            <w:r>
              <w:rPr>
                <w:sz w:val="20"/>
                <w:szCs w:val="20"/>
              </w:rPr>
              <w:t>90 percent</w:t>
            </w:r>
            <w:r>
              <w:rPr>
                <w:sz w:val="20"/>
                <w:szCs w:val="20"/>
                <w:lang w:val="en-US"/>
              </w:rPr>
              <w:t>.</w:t>
            </w:r>
          </w:p>
        </w:tc>
        <w:tc>
          <w:tcPr>
            <w:tcW w:w="1872" w:type="dxa"/>
            <w:tcBorders>
              <w:top w:val="single" w:sz="4" w:space="0" w:color="auto"/>
              <w:left w:val="single" w:sz="4" w:space="0" w:color="auto"/>
              <w:right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t>JEVs, DVs and supporting documents for the fourth quarter CY 2020 remained unsubmitted to date.</w:t>
            </w:r>
          </w:p>
          <w:p>
            <w:pPr>
              <w:spacing w:after="0" w:line="240" w:lineRule="auto"/>
              <w:jc w:val="both"/>
              <w:rPr>
                <w:sz w:val="20"/>
                <w:szCs w:val="20"/>
              </w:rPr>
            </w:pPr>
            <w:r>
              <w:rPr>
                <w:sz w:val="20"/>
                <w:szCs w:val="20"/>
              </w:rPr>
              <w:t>Status of submission as of 12/7/2021</w:t>
            </w:r>
            <w:r>
              <w:rPr>
                <w:sz w:val="20"/>
                <w:szCs w:val="20"/>
                <w:lang w:val="en-US"/>
              </w:rPr>
              <w:t>:</w:t>
            </w:r>
            <w:r>
              <w:rPr>
                <w:sz w:val="20"/>
                <w:szCs w:val="20"/>
              </w:rPr>
              <w:br/>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br/>
              <w:t>2019 - 24 percent</w:t>
            </w:r>
            <w:r>
              <w:rPr>
                <w:sz w:val="20"/>
                <w:szCs w:val="20"/>
              </w:rPr>
              <w:br/>
              <w:t>2018 - 27 percent</w:t>
            </w:r>
            <w:r>
              <w:rPr>
                <w:sz w:val="20"/>
                <w:szCs w:val="20"/>
              </w:rPr>
              <w:br/>
              <w:t>2017 - 64 percent</w:t>
            </w:r>
          </w:p>
          <w:p>
            <w:pPr>
              <w:spacing w:after="0" w:line="240" w:lineRule="auto"/>
              <w:jc w:val="both"/>
              <w:rPr>
                <w:sz w:val="20"/>
                <w:szCs w:val="20"/>
              </w:rPr>
            </w:pPr>
            <w:r>
              <w:rPr>
                <w:sz w:val="20"/>
                <w:szCs w:val="20"/>
              </w:rPr>
              <w:t xml:space="preserve">2016 - 100 percent </w:t>
            </w:r>
            <w:r>
              <w:rPr>
                <w:sz w:val="20"/>
                <w:szCs w:val="20"/>
              </w:rPr>
              <w:br/>
              <w:t>2015 - 91 percent</w:t>
            </w:r>
          </w:p>
          <w:p>
            <w:pPr>
              <w:spacing w:after="0" w:line="240" w:lineRule="auto"/>
              <w:rPr>
                <w:sz w:val="20"/>
                <w:szCs w:val="20"/>
              </w:rPr>
            </w:pPr>
          </w:p>
        </w:tc>
      </w:tr>
      <w:tr>
        <w:trPr>
          <w:trHeight w:val="2592"/>
        </w:trPr>
        <w:tc>
          <w:tcPr>
            <w:tcW w:w="1260" w:type="dxa"/>
            <w:tcBorders>
              <w:top w:val="single" w:sz="4" w:space="0" w:color="auto"/>
              <w:left w:val="single" w:sz="4" w:space="0" w:color="auto"/>
              <w:right w:val="single" w:sz="4" w:space="0" w:color="auto"/>
            </w:tcBorders>
          </w:tcPr>
          <w:p>
            <w:pPr>
              <w:pStyle w:val="NoSpacing"/>
              <w:jc w:val="center"/>
              <w:rPr>
                <w:sz w:val="20"/>
                <w:szCs w:val="20"/>
              </w:rPr>
            </w:pPr>
            <w:r>
              <w:rPr>
                <w:sz w:val="20"/>
                <w:szCs w:val="20"/>
              </w:rPr>
              <w:lastRenderedPageBreak/>
              <w:t>Observation No. 28,</w:t>
            </w:r>
          </w:p>
          <w:p>
            <w:pPr>
              <w:pStyle w:val="NoSpacing"/>
              <w:jc w:val="center"/>
              <w:rPr>
                <w:sz w:val="20"/>
                <w:szCs w:val="20"/>
              </w:rPr>
            </w:pPr>
            <w:r>
              <w:rPr>
                <w:sz w:val="20"/>
                <w:szCs w:val="20"/>
              </w:rPr>
              <w:t xml:space="preserve">Pages </w:t>
            </w:r>
          </w:p>
          <w:p>
            <w:pPr>
              <w:pStyle w:val="NoSpacing"/>
              <w:jc w:val="center"/>
              <w:rPr>
                <w:sz w:val="20"/>
                <w:szCs w:val="20"/>
              </w:rPr>
            </w:pPr>
            <w:r>
              <w:rPr>
                <w:sz w:val="20"/>
                <w:szCs w:val="20"/>
              </w:rPr>
              <w:t>121-125</w:t>
            </w:r>
          </w:p>
          <w:p>
            <w:pPr>
              <w:pStyle w:val="NoSpacing"/>
              <w:jc w:val="center"/>
              <w:rPr>
                <w:sz w:val="20"/>
                <w:szCs w:val="20"/>
              </w:rPr>
            </w:pPr>
          </w:p>
        </w:tc>
        <w:tc>
          <w:tcPr>
            <w:tcW w:w="3330" w:type="dxa"/>
            <w:tcBorders>
              <w:top w:val="single" w:sz="4" w:space="0" w:color="auto"/>
              <w:left w:val="single" w:sz="4" w:space="0" w:color="auto"/>
              <w:right w:val="single" w:sz="4" w:space="0" w:color="auto"/>
            </w:tcBorders>
          </w:tcPr>
          <w:p>
            <w:pPr>
              <w:numPr>
                <w:ilvl w:val="0"/>
                <w:numId w:val="1"/>
              </w:numPr>
              <w:spacing w:after="0" w:line="240" w:lineRule="auto"/>
              <w:ind w:left="338"/>
              <w:jc w:val="both"/>
              <w:rPr>
                <w:sz w:val="20"/>
                <w:szCs w:val="20"/>
                <w:shd w:val="clear" w:color="auto" w:fill="FFFFFF"/>
              </w:rPr>
            </w:pPr>
            <w:r>
              <w:rPr>
                <w:sz w:val="20"/>
                <w:szCs w:val="20"/>
              </w:rPr>
              <w:t>The City Patrimonial Property Office failed to strictly enforce appropriate actions</w:t>
            </w:r>
            <w:r>
              <w:rPr>
                <w:sz w:val="20"/>
                <w:szCs w:val="20"/>
                <w:lang w:val="en-US"/>
              </w:rPr>
              <w:t xml:space="preserve"> in </w:t>
            </w:r>
            <w:r>
              <w:rPr>
                <w:sz w:val="20"/>
                <w:szCs w:val="20"/>
              </w:rPr>
              <w:t>the contracts of sale between the City and condominium</w:t>
            </w:r>
            <w:r>
              <w:rPr>
                <w:sz w:val="20"/>
                <w:szCs w:val="20"/>
                <w:lang w:val="en-US"/>
              </w:rPr>
              <w:t xml:space="preserve"> </w:t>
            </w:r>
            <w:r>
              <w:rPr>
                <w:sz w:val="20"/>
                <w:szCs w:val="20"/>
              </w:rPr>
              <w:t xml:space="preserve">buyers both in Adriatico Gardens and UN Gardens, resulting in the non-compliance of the tenants with the </w:t>
            </w:r>
            <w:r>
              <w:rPr>
                <w:sz w:val="20"/>
                <w:szCs w:val="20"/>
                <w:lang w:val="en-US"/>
              </w:rPr>
              <w:t xml:space="preserve">contract </w:t>
            </w:r>
            <w:r>
              <w:rPr>
                <w:sz w:val="20"/>
                <w:szCs w:val="20"/>
              </w:rPr>
              <w:t xml:space="preserve">provisions and delayed or non-payment of amortization. </w:t>
            </w:r>
            <w:r>
              <w:rPr>
                <w:sz w:val="20"/>
                <w:szCs w:val="20"/>
                <w:lang w:val="en-US"/>
              </w:rPr>
              <w:t>Thirty (</w:t>
            </w:r>
            <w:r>
              <w:rPr>
                <w:sz w:val="20"/>
                <w:szCs w:val="20"/>
              </w:rPr>
              <w:t>30</w:t>
            </w:r>
            <w:r>
              <w:rPr>
                <w:sz w:val="20"/>
                <w:szCs w:val="20"/>
                <w:lang w:val="en-US"/>
              </w:rPr>
              <w:t>)</w:t>
            </w:r>
            <w:r>
              <w:rPr>
                <w:sz w:val="20"/>
                <w:szCs w:val="20"/>
              </w:rPr>
              <w:t xml:space="preserve"> units parking lot</w:t>
            </w:r>
            <w:r>
              <w:rPr>
                <w:sz w:val="20"/>
                <w:szCs w:val="20"/>
                <w:lang w:val="en-US"/>
              </w:rPr>
              <w:t>-</w:t>
            </w:r>
            <w:r>
              <w:rPr>
                <w:sz w:val="20"/>
                <w:szCs w:val="20"/>
              </w:rPr>
              <w:t xml:space="preserve"> share of the City w</w:t>
            </w:r>
            <w:r>
              <w:rPr>
                <w:sz w:val="20"/>
                <w:szCs w:val="20"/>
                <w:lang w:val="en-US"/>
              </w:rPr>
              <w:t xml:space="preserve">ere neither </w:t>
            </w:r>
            <w:r>
              <w:rPr>
                <w:sz w:val="20"/>
                <w:szCs w:val="20"/>
              </w:rPr>
              <w:t xml:space="preserve">taken up in the books </w:t>
            </w:r>
            <w:r>
              <w:rPr>
                <w:sz w:val="20"/>
                <w:szCs w:val="20"/>
                <w:lang w:val="en-US"/>
              </w:rPr>
              <w:t xml:space="preserve">nor </w:t>
            </w:r>
            <w:r>
              <w:rPr>
                <w:sz w:val="20"/>
                <w:szCs w:val="20"/>
              </w:rPr>
              <w:t>offered for sale</w:t>
            </w:r>
            <w:r>
              <w:rPr>
                <w:sz w:val="20"/>
                <w:szCs w:val="20"/>
                <w:lang w:val="en-US"/>
              </w:rPr>
              <w:t>.</w:t>
            </w:r>
          </w:p>
          <w:p>
            <w:pPr>
              <w:spacing w:after="0" w:line="240" w:lineRule="auto"/>
              <w:ind w:left="338"/>
              <w:jc w:val="both"/>
              <w:rPr>
                <w:sz w:val="20"/>
                <w:szCs w:val="20"/>
                <w:shd w:val="clear" w:color="auto" w:fill="FFFFFF"/>
              </w:rPr>
            </w:pPr>
          </w:p>
          <w:p>
            <w:pPr>
              <w:spacing w:after="0" w:line="240" w:lineRule="auto"/>
              <w:ind w:left="338"/>
              <w:jc w:val="both"/>
              <w:rPr>
                <w:sz w:val="20"/>
                <w:szCs w:val="20"/>
                <w:shd w:val="clear" w:color="auto" w:fill="FFFFFF"/>
              </w:rPr>
            </w:pPr>
          </w:p>
          <w:p>
            <w:pPr>
              <w:spacing w:after="0" w:line="240" w:lineRule="auto"/>
              <w:ind w:left="339"/>
              <w:jc w:val="both"/>
              <w:rPr>
                <w:sz w:val="20"/>
                <w:szCs w:val="20"/>
                <w:lang w:val="en-US"/>
              </w:rPr>
            </w:pPr>
            <w:r>
              <w:rPr>
                <w:sz w:val="20"/>
                <w:szCs w:val="20"/>
              </w:rPr>
              <w:t>We recommended that Management offer for sale all of the 30 parking slots to interested and qualified unit owners and require the OCAT to recognize the cost of the parking lots in the books of accounts.</w:t>
            </w:r>
          </w:p>
          <w:p>
            <w:pPr>
              <w:pStyle w:val="NoSpacing"/>
              <w:tabs>
                <w:tab w:val="left" w:pos="2070"/>
              </w:tabs>
              <w:ind w:left="342"/>
              <w:jc w:val="both"/>
              <w:rPr>
                <w:sz w:val="20"/>
                <w:szCs w:val="20"/>
                <w:shd w:val="clear" w:color="auto" w:fill="FFFFFF"/>
              </w:rPr>
            </w:pPr>
          </w:p>
        </w:tc>
        <w:tc>
          <w:tcPr>
            <w:tcW w:w="1643" w:type="dxa"/>
            <w:tcBorders>
              <w:top w:val="single" w:sz="4" w:space="0" w:color="auto"/>
              <w:left w:val="single" w:sz="4" w:space="0" w:color="auto"/>
              <w:right w:val="single" w:sz="4" w:space="0" w:color="auto"/>
            </w:tcBorders>
          </w:tcPr>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pStyle w:val="ListParagraph"/>
              <w:jc w:val="center"/>
              <w:rPr>
                <w:sz w:val="20"/>
                <w:szCs w:val="20"/>
              </w:rPr>
            </w:pPr>
          </w:p>
          <w:p>
            <w:pPr>
              <w:rPr>
                <w:sz w:val="20"/>
                <w:szCs w:val="20"/>
              </w:rPr>
            </w:pPr>
          </w:p>
          <w:p>
            <w:pPr>
              <w:pStyle w:val="ListParagraph"/>
              <w:jc w:val="center"/>
              <w:rPr>
                <w:sz w:val="20"/>
                <w:szCs w:val="20"/>
              </w:rPr>
            </w:pPr>
          </w:p>
          <w:p>
            <w:pPr>
              <w:spacing w:after="0" w:line="240" w:lineRule="auto"/>
              <w:rPr>
                <w:sz w:val="20"/>
                <w:szCs w:val="20"/>
              </w:rPr>
            </w:pPr>
          </w:p>
          <w:p>
            <w:pPr>
              <w:spacing w:after="0" w:line="240" w:lineRule="auto"/>
              <w:rPr>
                <w:sz w:val="20"/>
                <w:szCs w:val="20"/>
              </w:rPr>
            </w:pPr>
          </w:p>
          <w:p>
            <w:pPr>
              <w:pStyle w:val="ListParagraph"/>
              <w:jc w:val="center"/>
              <w:rPr>
                <w:sz w:val="20"/>
                <w:szCs w:val="20"/>
              </w:rPr>
            </w:pPr>
          </w:p>
          <w:p>
            <w:pPr>
              <w:spacing w:after="0" w:line="240" w:lineRule="auto"/>
              <w:jc w:val="center"/>
              <w:rPr>
                <w:sz w:val="20"/>
                <w:szCs w:val="20"/>
                <w:lang w:val="en-US"/>
              </w:rPr>
            </w:pPr>
            <w:r>
              <w:rPr>
                <w:sz w:val="20"/>
                <w:szCs w:val="20"/>
              </w:rPr>
              <w:t>Fully Implemented</w:t>
            </w:r>
          </w:p>
          <w:p>
            <w:pPr>
              <w:pStyle w:val="ListParagraph"/>
              <w:jc w:val="center"/>
              <w:rPr>
                <w:sz w:val="20"/>
                <w:szCs w:val="20"/>
              </w:rPr>
            </w:pPr>
          </w:p>
        </w:tc>
        <w:tc>
          <w:tcPr>
            <w:tcW w:w="1620" w:type="dxa"/>
            <w:tcBorders>
              <w:top w:val="single" w:sz="4" w:space="0" w:color="auto"/>
              <w:left w:val="single" w:sz="4" w:space="0" w:color="auto"/>
              <w:right w:val="single" w:sz="4" w:space="0" w:color="auto"/>
            </w:tcBorders>
          </w:tcPr>
          <w:p>
            <w:pPr>
              <w:rPr>
                <w:sz w:val="20"/>
                <w:szCs w:val="20"/>
              </w:rPr>
            </w:pPr>
          </w:p>
          <w:p>
            <w:pPr>
              <w:rPr>
                <w:sz w:val="20"/>
                <w:szCs w:val="20"/>
              </w:rPr>
            </w:pPr>
          </w:p>
          <w:p>
            <w:pPr>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rPr>
                <w:sz w:val="20"/>
                <w:szCs w:val="20"/>
              </w:rPr>
            </w:pPr>
          </w:p>
          <w:p>
            <w:pPr>
              <w:spacing w:after="0" w:line="240" w:lineRule="auto"/>
              <w:jc w:val="both"/>
              <w:rPr>
                <w:sz w:val="20"/>
                <w:szCs w:val="20"/>
                <w:lang w:val="en-US"/>
              </w:rPr>
            </w:pPr>
            <w:r>
              <w:rPr>
                <w:sz w:val="20"/>
                <w:szCs w:val="20"/>
              </w:rPr>
              <w:t>The OCAT recognized the cost of the parking lots under JEV No. 11051 in the amount of P24 million</w:t>
            </w:r>
            <w:r>
              <w:rPr>
                <w:sz w:val="20"/>
                <w:szCs w:val="20"/>
                <w:lang w:val="en-US"/>
              </w:rPr>
              <w:t xml:space="preserve"> and t</w:t>
            </w:r>
            <w:r>
              <w:rPr>
                <w:sz w:val="20"/>
                <w:szCs w:val="20"/>
              </w:rPr>
              <w:t>he Patrimonial Property Committee to recommend to the City Mayor the sale of the 30 parking slots unit owners.</w:t>
            </w:r>
            <w:r>
              <w:rPr>
                <w:sz w:val="20"/>
                <w:szCs w:val="20"/>
                <w:lang w:val="en-US"/>
              </w:rPr>
              <w:t xml:space="preserve"> </w:t>
            </w:r>
          </w:p>
          <w:p>
            <w:pPr>
              <w:spacing w:after="0" w:line="240" w:lineRule="auto"/>
              <w:jc w:val="both"/>
              <w:rPr>
                <w:sz w:val="20"/>
                <w:szCs w:val="20"/>
              </w:rPr>
            </w:pPr>
          </w:p>
        </w:tc>
        <w:tc>
          <w:tcPr>
            <w:tcW w:w="1872" w:type="dxa"/>
            <w:tcBorders>
              <w:top w:val="single" w:sz="4" w:space="0" w:color="auto"/>
              <w:left w:val="single" w:sz="4" w:space="0" w:color="auto"/>
              <w:right w:val="single" w:sz="4" w:space="0" w:color="auto"/>
            </w:tcBorders>
          </w:tcPr>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tc>
      </w:tr>
      <w:tr>
        <w:trPr>
          <w:trHeight w:val="2592"/>
        </w:trPr>
        <w:tc>
          <w:tcPr>
            <w:tcW w:w="1260" w:type="dxa"/>
            <w:tcBorders>
              <w:top w:val="single" w:sz="4" w:space="0" w:color="auto"/>
              <w:left w:val="single" w:sz="4" w:space="0" w:color="auto"/>
              <w:right w:val="single" w:sz="4" w:space="0" w:color="auto"/>
            </w:tcBorders>
          </w:tcPr>
          <w:p>
            <w:pPr>
              <w:pStyle w:val="NoSpacing"/>
              <w:jc w:val="center"/>
              <w:rPr>
                <w:sz w:val="20"/>
                <w:szCs w:val="20"/>
              </w:rPr>
            </w:pPr>
            <w:r>
              <w:rPr>
                <w:sz w:val="20"/>
                <w:szCs w:val="20"/>
              </w:rPr>
              <w:t>Observation No. 31,</w:t>
            </w:r>
          </w:p>
          <w:p>
            <w:pPr>
              <w:pStyle w:val="NoSpacing"/>
              <w:jc w:val="center"/>
              <w:rPr>
                <w:sz w:val="20"/>
                <w:szCs w:val="20"/>
              </w:rPr>
            </w:pPr>
            <w:r>
              <w:rPr>
                <w:sz w:val="20"/>
                <w:szCs w:val="20"/>
              </w:rPr>
              <w:t xml:space="preserve">Pages </w:t>
            </w:r>
          </w:p>
          <w:p>
            <w:pPr>
              <w:pStyle w:val="NoSpacing"/>
              <w:jc w:val="center"/>
              <w:rPr>
                <w:sz w:val="20"/>
                <w:szCs w:val="20"/>
              </w:rPr>
            </w:pPr>
            <w:r>
              <w:rPr>
                <w:sz w:val="20"/>
                <w:szCs w:val="20"/>
              </w:rPr>
              <w:t>133-138</w:t>
            </w:r>
          </w:p>
          <w:p>
            <w:pPr>
              <w:pStyle w:val="NoSpacing"/>
              <w:jc w:val="center"/>
              <w:rPr>
                <w:sz w:val="20"/>
                <w:szCs w:val="20"/>
              </w:rPr>
            </w:pPr>
          </w:p>
        </w:tc>
        <w:tc>
          <w:tcPr>
            <w:tcW w:w="3330" w:type="dxa"/>
            <w:tcBorders>
              <w:top w:val="single" w:sz="4" w:space="0" w:color="auto"/>
              <w:left w:val="single" w:sz="4" w:space="0" w:color="auto"/>
              <w:right w:val="single" w:sz="4" w:space="0" w:color="auto"/>
            </w:tcBorders>
          </w:tcPr>
          <w:p>
            <w:pPr>
              <w:numPr>
                <w:ilvl w:val="0"/>
                <w:numId w:val="1"/>
              </w:numPr>
              <w:spacing w:after="0" w:line="240" w:lineRule="auto"/>
              <w:ind w:left="338"/>
              <w:jc w:val="both"/>
              <w:rPr>
                <w:sz w:val="20"/>
                <w:szCs w:val="20"/>
                <w:shd w:val="clear" w:color="auto" w:fill="FFFFFF"/>
              </w:rPr>
            </w:pPr>
            <w:r>
              <w:rPr>
                <w:sz w:val="20"/>
                <w:szCs w:val="20"/>
              </w:rPr>
              <w:t>The ultimate goals and objectives of the City in the acquisition of Computerized Total Information Systems Management (CTISM) software and computer hardware amounting to P139.817 million were not attained since the CTISM software remained not fully operational due to (a) the noted glitches in the system that needs to be corrected/repaired; (b) the needed modification of the forms installed in the systems to fit the needs of the end-user offices; and (c) the lack of trained/competent personnel to operate the system.</w:t>
            </w:r>
          </w:p>
          <w:p>
            <w:pPr>
              <w:pStyle w:val="NoSpacing"/>
              <w:tabs>
                <w:tab w:val="left" w:pos="2070"/>
              </w:tabs>
              <w:ind w:left="342"/>
              <w:jc w:val="both"/>
              <w:rPr>
                <w:sz w:val="20"/>
                <w:szCs w:val="20"/>
                <w:shd w:val="clear" w:color="auto" w:fill="FFFFFF"/>
              </w:rPr>
            </w:pPr>
          </w:p>
          <w:p>
            <w:pPr>
              <w:spacing w:after="0" w:line="240" w:lineRule="auto"/>
              <w:ind w:left="346"/>
              <w:jc w:val="both"/>
              <w:rPr>
                <w:sz w:val="20"/>
                <w:szCs w:val="20"/>
              </w:rPr>
            </w:pPr>
            <w:r>
              <w:rPr>
                <w:sz w:val="20"/>
                <w:szCs w:val="20"/>
              </w:rPr>
              <w:t>We recommended that Management:</w:t>
            </w:r>
          </w:p>
          <w:p>
            <w:pPr>
              <w:spacing w:after="0" w:line="240" w:lineRule="auto"/>
              <w:ind w:left="346"/>
              <w:jc w:val="both"/>
              <w:rPr>
                <w:sz w:val="20"/>
                <w:szCs w:val="20"/>
              </w:rPr>
            </w:pPr>
          </w:p>
          <w:p>
            <w:pPr>
              <w:numPr>
                <w:ilvl w:val="0"/>
                <w:numId w:val="19"/>
              </w:numPr>
              <w:spacing w:after="0" w:line="240" w:lineRule="auto"/>
              <w:ind w:left="609" w:hanging="249"/>
              <w:jc w:val="both"/>
              <w:rPr>
                <w:sz w:val="20"/>
                <w:szCs w:val="20"/>
                <w:lang w:val="en-US"/>
              </w:rPr>
            </w:pPr>
            <w:r>
              <w:rPr>
                <w:sz w:val="20"/>
                <w:szCs w:val="20"/>
              </w:rPr>
              <w:lastRenderedPageBreak/>
              <w:t>Require the concerned City officials to coordinate with ICNS for the immediate modification and repair of the CTISM specifically on the eBarangay Computer and eHospital Management Systems to put them in good operating condition for its optimum utilization;</w:t>
            </w:r>
          </w:p>
          <w:p>
            <w:pPr>
              <w:spacing w:after="0" w:line="240" w:lineRule="auto"/>
              <w:ind w:left="609"/>
              <w:jc w:val="both"/>
              <w:rPr>
                <w:sz w:val="20"/>
                <w:szCs w:val="20"/>
                <w:lang w:val="en-US"/>
              </w:rPr>
            </w:pPr>
          </w:p>
          <w:p>
            <w:pPr>
              <w:numPr>
                <w:ilvl w:val="0"/>
                <w:numId w:val="19"/>
              </w:numPr>
              <w:spacing w:after="0" w:line="240" w:lineRule="auto"/>
              <w:ind w:left="609" w:hanging="249"/>
              <w:jc w:val="both"/>
              <w:rPr>
                <w:sz w:val="20"/>
                <w:szCs w:val="20"/>
                <w:lang w:val="en-US"/>
              </w:rPr>
            </w:pPr>
            <w:r>
              <w:rPr>
                <w:sz w:val="20"/>
                <w:szCs w:val="20"/>
              </w:rPr>
              <w:t>Make proper representation with the contractor for the conduct of extensive training for the hospital personnel to educate them in the proper way of operating the System; and</w:t>
            </w:r>
          </w:p>
          <w:p>
            <w:pPr>
              <w:spacing w:after="0" w:line="240" w:lineRule="auto"/>
              <w:ind w:left="609"/>
              <w:jc w:val="both"/>
              <w:rPr>
                <w:sz w:val="20"/>
                <w:szCs w:val="20"/>
                <w:lang w:val="en-US"/>
              </w:rPr>
            </w:pPr>
          </w:p>
          <w:p>
            <w:pPr>
              <w:numPr>
                <w:ilvl w:val="0"/>
                <w:numId w:val="19"/>
              </w:numPr>
              <w:spacing w:after="0" w:line="240" w:lineRule="auto"/>
              <w:ind w:left="609" w:hanging="249"/>
              <w:jc w:val="both"/>
              <w:rPr>
                <w:sz w:val="20"/>
                <w:szCs w:val="20"/>
                <w:lang w:val="en-US"/>
              </w:rPr>
            </w:pPr>
            <w:r>
              <w:rPr>
                <w:sz w:val="20"/>
                <w:szCs w:val="20"/>
              </w:rPr>
              <w:t>Require the Electronic Data Processing (EDP) Office to facilitate the renewal or updating of the firewall’s license for its reconfiguration, as well as, the web server for the new IP address for the immediate realization of the on-line payment of real property and business taxes.</w:t>
            </w:r>
          </w:p>
          <w:p>
            <w:pPr>
              <w:spacing w:after="0" w:line="240" w:lineRule="auto"/>
              <w:ind w:left="338"/>
              <w:jc w:val="both"/>
              <w:rPr>
                <w:sz w:val="20"/>
                <w:szCs w:val="20"/>
              </w:rPr>
            </w:pPr>
          </w:p>
        </w:tc>
        <w:tc>
          <w:tcPr>
            <w:tcW w:w="1643" w:type="dxa"/>
            <w:tcBorders>
              <w:top w:val="single" w:sz="4" w:space="0" w:color="auto"/>
              <w:left w:val="single" w:sz="4" w:space="0" w:color="auto"/>
              <w:right w:val="single" w:sz="4" w:space="0" w:color="auto"/>
            </w:tcBorders>
          </w:tcPr>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lastRenderedPageBreak/>
              <w:t>Not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lang w:val="en-US"/>
              </w:rPr>
            </w:pPr>
            <w:r>
              <w:rPr>
                <w:sz w:val="20"/>
                <w:szCs w:val="20"/>
              </w:rPr>
              <w:t>Not Implemented</w:t>
            </w: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jc w:val="center"/>
              <w:rPr>
                <w:sz w:val="20"/>
                <w:szCs w:val="20"/>
              </w:rPr>
            </w:pPr>
          </w:p>
          <w:p>
            <w:pPr>
              <w:spacing w:after="0" w:line="240" w:lineRule="auto"/>
              <w:rPr>
                <w:sz w:val="20"/>
                <w:szCs w:val="20"/>
              </w:rPr>
            </w:pPr>
          </w:p>
          <w:p>
            <w:pPr>
              <w:spacing w:after="0" w:line="240" w:lineRule="auto"/>
              <w:jc w:val="center"/>
              <w:rPr>
                <w:sz w:val="20"/>
                <w:szCs w:val="20"/>
                <w:lang w:val="en-US"/>
              </w:rPr>
            </w:pPr>
            <w:r>
              <w:rPr>
                <w:sz w:val="20"/>
                <w:szCs w:val="20"/>
              </w:rPr>
              <w:t>Not Implemented</w:t>
            </w:r>
          </w:p>
          <w:p>
            <w:pPr>
              <w:pStyle w:val="ListParagraph"/>
              <w:jc w:val="center"/>
              <w:rPr>
                <w:sz w:val="20"/>
                <w:szCs w:val="20"/>
              </w:rPr>
            </w:pPr>
          </w:p>
        </w:tc>
        <w:tc>
          <w:tcPr>
            <w:tcW w:w="1620" w:type="dxa"/>
            <w:tcBorders>
              <w:top w:val="single" w:sz="4" w:space="0" w:color="auto"/>
              <w:left w:val="single" w:sz="4" w:space="0" w:color="auto"/>
              <w:right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lastRenderedPageBreak/>
              <w:t>Lack of effective action by the concerned officials.</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lang w:val="en-US"/>
              </w:rPr>
            </w:pPr>
          </w:p>
          <w:p>
            <w:pPr>
              <w:spacing w:after="0" w:line="240" w:lineRule="auto"/>
              <w:jc w:val="both"/>
              <w:rPr>
                <w:sz w:val="20"/>
                <w:szCs w:val="20"/>
                <w:lang w:val="en-US"/>
              </w:rPr>
            </w:pPr>
            <w:r>
              <w:rPr>
                <w:sz w:val="20"/>
                <w:szCs w:val="20"/>
              </w:rPr>
              <w:t>Lack of effective action by the concerned officials.</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lang w:val="en-US"/>
              </w:rPr>
            </w:pPr>
            <w:r>
              <w:rPr>
                <w:sz w:val="20"/>
                <w:szCs w:val="20"/>
              </w:rPr>
              <w:t>Lack of effective action by the concerned officials.</w:t>
            </w:r>
          </w:p>
          <w:p>
            <w:pPr>
              <w:rPr>
                <w:sz w:val="20"/>
                <w:szCs w:val="20"/>
              </w:rPr>
            </w:pPr>
          </w:p>
        </w:tc>
        <w:tc>
          <w:tcPr>
            <w:tcW w:w="1872" w:type="dxa"/>
            <w:tcBorders>
              <w:top w:val="single" w:sz="4" w:space="0" w:color="auto"/>
              <w:left w:val="single" w:sz="4" w:space="0" w:color="auto"/>
              <w:right w:val="single" w:sz="4" w:space="0" w:color="auto"/>
            </w:tcBorders>
          </w:tcPr>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r>
              <w:rPr>
                <w:sz w:val="20"/>
                <w:szCs w:val="20"/>
              </w:rPr>
              <w:lastRenderedPageBreak/>
              <w:t>Modification and repair of the CTISM has not been coordinated with the ICNS.</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lang w:val="en-US"/>
              </w:rPr>
            </w:pPr>
          </w:p>
          <w:p>
            <w:pPr>
              <w:spacing w:after="0" w:line="240" w:lineRule="auto"/>
              <w:jc w:val="both"/>
              <w:rPr>
                <w:sz w:val="20"/>
                <w:szCs w:val="20"/>
                <w:lang w:val="en-US"/>
              </w:rPr>
            </w:pPr>
            <w:r>
              <w:rPr>
                <w:sz w:val="20"/>
                <w:szCs w:val="20"/>
              </w:rPr>
              <w:t>Extensive training for the hospital personnel has not been conducted.</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lang w:val="en-US"/>
              </w:rPr>
            </w:pPr>
            <w:r>
              <w:rPr>
                <w:sz w:val="20"/>
                <w:szCs w:val="20"/>
              </w:rPr>
              <w:t>EDP Office has not yet renewed / updated the firewall’s license.</w:t>
            </w:r>
          </w:p>
          <w:p>
            <w:pPr>
              <w:rPr>
                <w:sz w:val="20"/>
                <w:szCs w:val="20"/>
              </w:rPr>
            </w:pPr>
          </w:p>
        </w:tc>
      </w:tr>
      <w:bookmarkEnd w:id="0"/>
      <w:bookmarkEnd w:id="3"/>
    </w:tbl>
    <w:p>
      <w:pPr>
        <w:tabs>
          <w:tab w:val="left" w:pos="1095"/>
        </w:tabs>
        <w:rPr>
          <w:sz w:val="20"/>
          <w:szCs w:val="20"/>
        </w:rPr>
      </w:pPr>
    </w:p>
    <w:sectPr>
      <w:headerReference w:type="default" r:id="rId9"/>
      <w:footerReference w:type="default" r:id="rId10"/>
      <w:pgSz w:w="12240" w:h="15840"/>
      <w:pgMar w:top="1440" w:right="1440" w:bottom="1440" w:left="2160" w:header="720" w:footer="720" w:gutter="0"/>
      <w:pgNumType w:start="89"/>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line="240" w:lineRule="auto"/>
      </w:pPr>
      <w:r>
        <w:separator/>
      </w:r>
    </w:p>
  </w:endnote>
  <w:endnote w:type="continuationSeparator" w:id="0">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Footer"/>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PAGE   \* MERGEFORMAT </w:instrText>
    </w:r>
    <w:r>
      <w:rPr>
        <w:rFonts w:ascii="Arial" w:hAnsi="Arial" w:cs="Arial"/>
        <w:sz w:val="20"/>
        <w:szCs w:val="20"/>
      </w:rPr>
      <w:fldChar w:fldCharType="separate"/>
    </w:r>
    <w:r>
      <w:rPr>
        <w:rFonts w:ascii="Arial" w:hAnsi="Arial" w:cs="Arial"/>
        <w:noProof/>
        <w:sz w:val="20"/>
        <w:szCs w:val="20"/>
        <w:lang w:val="en-US"/>
      </w:rPr>
      <w:t>94</w:t>
    </w:r>
    <w:r>
      <w:rPr>
        <w:rFonts w:ascii="Arial" w:hAnsi="Arial" w:cs="Arial"/>
        <w:sz w:val="20"/>
        <w:szCs w:val="20"/>
        <w:lang w:val="en-US"/>
      </w:rPr>
      <w:fldChar w:fldCharType="end"/>
    </w:r>
  </w:p>
  <w:p>
    <w:pPr>
      <w:pStyle w:val="Footer"/>
      <w:rPr>
        <w:rFonts w:ascii="Arial" w:hAnsi="Arial" w:cs="Arial"/>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Header"/>
      <w:jc w:val="right"/>
      <w:rPr>
        <w:rFonts w:ascii="Arial" w:hAnsi="Arial" w:cs="Arial"/>
        <w:sz w:val="20"/>
        <w:szCs w:val="20"/>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72096"/>
    <w:multiLevelType w:val="multilevel"/>
    <w:tmpl w:val="668E2F56"/>
    <w:lvl w:ilvl="0">
      <w:start w:val="1"/>
      <w:numFmt w:val="lowerLetter"/>
      <w:lvlText w:val="%1."/>
      <w:lvlJc w:val="left"/>
      <w:pPr>
        <w:ind w:left="1146" w:hanging="360"/>
      </w:pPr>
      <w:rPr>
        <w:rFonts w:hint="default"/>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 w15:restartNumberingAfterBreak="0">
    <w:nsid w:val="06755528"/>
    <w:multiLevelType w:val="multilevel"/>
    <w:tmpl w:val="06755528"/>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0FC530B8"/>
    <w:multiLevelType w:val="multilevel"/>
    <w:tmpl w:val="0FC530B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7C4188"/>
    <w:multiLevelType w:val="multilevel"/>
    <w:tmpl w:val="137C4188"/>
    <w:lvl w:ilvl="0">
      <w:start w:val="1"/>
      <w:numFmt w:val="bullet"/>
      <w:lvlText w:val=""/>
      <w:lvlJc w:val="left"/>
      <w:pPr>
        <w:ind w:left="1148" w:hanging="360"/>
      </w:pPr>
      <w:rPr>
        <w:rFonts w:ascii="Symbol" w:hAnsi="Symbol" w:hint="default"/>
      </w:rPr>
    </w:lvl>
    <w:lvl w:ilvl="1">
      <w:start w:val="1"/>
      <w:numFmt w:val="bullet"/>
      <w:lvlText w:val="o"/>
      <w:lvlJc w:val="left"/>
      <w:pPr>
        <w:ind w:left="1868" w:hanging="360"/>
      </w:pPr>
      <w:rPr>
        <w:rFonts w:ascii="Courier New" w:hAnsi="Courier New" w:cs="Courier New" w:hint="default"/>
      </w:rPr>
    </w:lvl>
    <w:lvl w:ilvl="2">
      <w:start w:val="1"/>
      <w:numFmt w:val="bullet"/>
      <w:lvlText w:val=""/>
      <w:lvlJc w:val="left"/>
      <w:pPr>
        <w:ind w:left="2588" w:hanging="360"/>
      </w:pPr>
      <w:rPr>
        <w:rFonts w:ascii="Wingdings" w:hAnsi="Wingdings" w:hint="default"/>
      </w:rPr>
    </w:lvl>
    <w:lvl w:ilvl="3">
      <w:start w:val="1"/>
      <w:numFmt w:val="bullet"/>
      <w:lvlText w:val=""/>
      <w:lvlJc w:val="left"/>
      <w:pPr>
        <w:ind w:left="3308" w:hanging="360"/>
      </w:pPr>
      <w:rPr>
        <w:rFonts w:ascii="Symbol" w:hAnsi="Symbol" w:hint="default"/>
      </w:rPr>
    </w:lvl>
    <w:lvl w:ilvl="4">
      <w:start w:val="1"/>
      <w:numFmt w:val="bullet"/>
      <w:lvlText w:val="o"/>
      <w:lvlJc w:val="left"/>
      <w:pPr>
        <w:ind w:left="4028" w:hanging="360"/>
      </w:pPr>
      <w:rPr>
        <w:rFonts w:ascii="Courier New" w:hAnsi="Courier New" w:cs="Courier New" w:hint="default"/>
      </w:rPr>
    </w:lvl>
    <w:lvl w:ilvl="5">
      <w:start w:val="1"/>
      <w:numFmt w:val="bullet"/>
      <w:lvlText w:val=""/>
      <w:lvlJc w:val="left"/>
      <w:pPr>
        <w:ind w:left="4748" w:hanging="360"/>
      </w:pPr>
      <w:rPr>
        <w:rFonts w:ascii="Wingdings" w:hAnsi="Wingdings" w:hint="default"/>
      </w:rPr>
    </w:lvl>
    <w:lvl w:ilvl="6">
      <w:start w:val="1"/>
      <w:numFmt w:val="bullet"/>
      <w:lvlText w:val=""/>
      <w:lvlJc w:val="left"/>
      <w:pPr>
        <w:ind w:left="5468" w:hanging="360"/>
      </w:pPr>
      <w:rPr>
        <w:rFonts w:ascii="Symbol" w:hAnsi="Symbol" w:hint="default"/>
      </w:rPr>
    </w:lvl>
    <w:lvl w:ilvl="7">
      <w:start w:val="1"/>
      <w:numFmt w:val="bullet"/>
      <w:lvlText w:val="o"/>
      <w:lvlJc w:val="left"/>
      <w:pPr>
        <w:ind w:left="6188" w:hanging="360"/>
      </w:pPr>
      <w:rPr>
        <w:rFonts w:ascii="Courier New" w:hAnsi="Courier New" w:cs="Courier New" w:hint="default"/>
      </w:rPr>
    </w:lvl>
    <w:lvl w:ilvl="8">
      <w:start w:val="1"/>
      <w:numFmt w:val="bullet"/>
      <w:lvlText w:val=""/>
      <w:lvlJc w:val="left"/>
      <w:pPr>
        <w:ind w:left="6908" w:hanging="360"/>
      </w:pPr>
      <w:rPr>
        <w:rFonts w:ascii="Wingdings" w:hAnsi="Wingdings" w:hint="default"/>
      </w:rPr>
    </w:lvl>
  </w:abstractNum>
  <w:abstractNum w:abstractNumId="4" w15:restartNumberingAfterBreak="0">
    <w:nsid w:val="21212BA6"/>
    <w:multiLevelType w:val="multilevel"/>
    <w:tmpl w:val="21212BA6"/>
    <w:lvl w:ilvl="0">
      <w:start w:val="1"/>
      <w:numFmt w:val="lowerLetter"/>
      <w:lvlText w:val="%1."/>
      <w:lvlJc w:val="left"/>
      <w:pPr>
        <w:ind w:left="1146" w:hanging="360"/>
      </w:pPr>
      <w:rPr>
        <w:rFonts w:hint="default"/>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 w15:restartNumberingAfterBreak="0">
    <w:nsid w:val="232A4835"/>
    <w:multiLevelType w:val="multilevel"/>
    <w:tmpl w:val="232A4835"/>
    <w:lvl w:ilvl="0">
      <w:start w:val="1"/>
      <w:numFmt w:val="lowerLetter"/>
      <w:lvlText w:val="%1."/>
      <w:lvlJc w:val="left"/>
      <w:pPr>
        <w:ind w:left="2160" w:hanging="360"/>
      </w:pPr>
      <w:rPr>
        <w:rFonts w:ascii="Times New Roman" w:hAnsi="Times New Roman" w:cs="Times New Roman"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7983E0B"/>
    <w:multiLevelType w:val="multilevel"/>
    <w:tmpl w:val="27983E0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9500EE6"/>
    <w:multiLevelType w:val="multilevel"/>
    <w:tmpl w:val="29500EE6"/>
    <w:lvl w:ilvl="0">
      <w:start w:val="1"/>
      <w:numFmt w:val="lowerLetter"/>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8" w15:restartNumberingAfterBreak="0">
    <w:nsid w:val="33854209"/>
    <w:multiLevelType w:val="multilevel"/>
    <w:tmpl w:val="33854209"/>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9" w15:restartNumberingAfterBreak="0">
    <w:nsid w:val="3DD67FA4"/>
    <w:multiLevelType w:val="multilevel"/>
    <w:tmpl w:val="3DD67FA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1494CEB"/>
    <w:multiLevelType w:val="multilevel"/>
    <w:tmpl w:val="41494CE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7924C45"/>
    <w:multiLevelType w:val="multilevel"/>
    <w:tmpl w:val="57924C45"/>
    <w:lvl w:ilvl="0">
      <w:start w:val="1"/>
      <w:numFmt w:val="bullet"/>
      <w:lvlText w:val=""/>
      <w:lvlJc w:val="left"/>
      <w:pPr>
        <w:ind w:left="1868" w:hanging="360"/>
      </w:pPr>
      <w:rPr>
        <w:rFonts w:ascii="Wingdings" w:hAnsi="Wingdings" w:hint="default"/>
      </w:rPr>
    </w:lvl>
    <w:lvl w:ilvl="1">
      <w:start w:val="1"/>
      <w:numFmt w:val="bullet"/>
      <w:lvlText w:val="o"/>
      <w:lvlJc w:val="left"/>
      <w:pPr>
        <w:ind w:left="2588" w:hanging="360"/>
      </w:pPr>
      <w:rPr>
        <w:rFonts w:ascii="Courier New" w:hAnsi="Courier New" w:cs="Courier New" w:hint="default"/>
      </w:rPr>
    </w:lvl>
    <w:lvl w:ilvl="2">
      <w:start w:val="1"/>
      <w:numFmt w:val="bullet"/>
      <w:lvlText w:val=""/>
      <w:lvlJc w:val="left"/>
      <w:pPr>
        <w:ind w:left="3308" w:hanging="360"/>
      </w:pPr>
      <w:rPr>
        <w:rFonts w:ascii="Wingdings" w:hAnsi="Wingdings" w:hint="default"/>
      </w:rPr>
    </w:lvl>
    <w:lvl w:ilvl="3">
      <w:start w:val="1"/>
      <w:numFmt w:val="bullet"/>
      <w:lvlText w:val=""/>
      <w:lvlJc w:val="left"/>
      <w:pPr>
        <w:ind w:left="4028" w:hanging="360"/>
      </w:pPr>
      <w:rPr>
        <w:rFonts w:ascii="Symbol" w:hAnsi="Symbol" w:hint="default"/>
      </w:rPr>
    </w:lvl>
    <w:lvl w:ilvl="4">
      <w:start w:val="1"/>
      <w:numFmt w:val="bullet"/>
      <w:lvlText w:val="o"/>
      <w:lvlJc w:val="left"/>
      <w:pPr>
        <w:ind w:left="4748" w:hanging="360"/>
      </w:pPr>
      <w:rPr>
        <w:rFonts w:ascii="Courier New" w:hAnsi="Courier New" w:cs="Courier New" w:hint="default"/>
      </w:rPr>
    </w:lvl>
    <w:lvl w:ilvl="5">
      <w:start w:val="1"/>
      <w:numFmt w:val="bullet"/>
      <w:lvlText w:val=""/>
      <w:lvlJc w:val="left"/>
      <w:pPr>
        <w:ind w:left="5468" w:hanging="360"/>
      </w:pPr>
      <w:rPr>
        <w:rFonts w:ascii="Wingdings" w:hAnsi="Wingdings" w:hint="default"/>
      </w:rPr>
    </w:lvl>
    <w:lvl w:ilvl="6">
      <w:start w:val="1"/>
      <w:numFmt w:val="bullet"/>
      <w:lvlText w:val=""/>
      <w:lvlJc w:val="left"/>
      <w:pPr>
        <w:ind w:left="6188" w:hanging="360"/>
      </w:pPr>
      <w:rPr>
        <w:rFonts w:ascii="Symbol" w:hAnsi="Symbol" w:hint="default"/>
      </w:rPr>
    </w:lvl>
    <w:lvl w:ilvl="7">
      <w:start w:val="1"/>
      <w:numFmt w:val="bullet"/>
      <w:lvlText w:val="o"/>
      <w:lvlJc w:val="left"/>
      <w:pPr>
        <w:ind w:left="6908" w:hanging="360"/>
      </w:pPr>
      <w:rPr>
        <w:rFonts w:ascii="Courier New" w:hAnsi="Courier New" w:cs="Courier New" w:hint="default"/>
      </w:rPr>
    </w:lvl>
    <w:lvl w:ilvl="8">
      <w:start w:val="1"/>
      <w:numFmt w:val="bullet"/>
      <w:lvlText w:val=""/>
      <w:lvlJc w:val="left"/>
      <w:pPr>
        <w:ind w:left="7628" w:hanging="360"/>
      </w:pPr>
      <w:rPr>
        <w:rFonts w:ascii="Wingdings" w:hAnsi="Wingdings" w:hint="default"/>
      </w:rPr>
    </w:lvl>
  </w:abstractNum>
  <w:abstractNum w:abstractNumId="12" w15:restartNumberingAfterBreak="0">
    <w:nsid w:val="5B175B80"/>
    <w:multiLevelType w:val="multilevel"/>
    <w:tmpl w:val="5B175B8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B964244"/>
    <w:multiLevelType w:val="multilevel"/>
    <w:tmpl w:val="5B964244"/>
    <w:lvl w:ilvl="0">
      <w:start w:val="1"/>
      <w:numFmt w:val="lowerLetter"/>
      <w:lvlText w:val="%1."/>
      <w:lvlJc w:val="left"/>
      <w:pPr>
        <w:ind w:left="1710" w:hanging="360"/>
      </w:pPr>
      <w:rPr>
        <w:rFonts w:hint="default"/>
      </w:rPr>
    </w:lvl>
    <w:lvl w:ilvl="1">
      <w:start w:val="2"/>
      <w:numFmt w:val="bullet"/>
      <w:lvlText w:val="•"/>
      <w:lvlJc w:val="left"/>
      <w:pPr>
        <w:ind w:left="1418" w:hanging="360"/>
      </w:pPr>
      <w:rPr>
        <w:rFonts w:ascii="Times New Roman" w:eastAsia="SimSun" w:hAnsi="Times New Roman" w:cs="Times New Roman" w:hint="default"/>
      </w:rPr>
    </w:lvl>
    <w:lvl w:ilvl="2">
      <w:start w:val="1"/>
      <w:numFmt w:val="lowerRoman"/>
      <w:lvlText w:val="%3."/>
      <w:lvlJc w:val="right"/>
      <w:pPr>
        <w:ind w:left="2138" w:hanging="180"/>
      </w:pPr>
    </w:lvl>
    <w:lvl w:ilvl="3">
      <w:start w:val="1"/>
      <w:numFmt w:val="decimal"/>
      <w:lvlText w:val="%4."/>
      <w:lvlJc w:val="left"/>
      <w:pPr>
        <w:ind w:left="2858" w:hanging="360"/>
      </w:pPr>
    </w:lvl>
    <w:lvl w:ilvl="4">
      <w:start w:val="1"/>
      <w:numFmt w:val="lowerLetter"/>
      <w:lvlText w:val="%5."/>
      <w:lvlJc w:val="left"/>
      <w:pPr>
        <w:ind w:left="3578" w:hanging="360"/>
      </w:pPr>
    </w:lvl>
    <w:lvl w:ilvl="5">
      <w:start w:val="1"/>
      <w:numFmt w:val="lowerRoman"/>
      <w:lvlText w:val="%6."/>
      <w:lvlJc w:val="right"/>
      <w:pPr>
        <w:ind w:left="4298" w:hanging="180"/>
      </w:pPr>
    </w:lvl>
    <w:lvl w:ilvl="6">
      <w:start w:val="1"/>
      <w:numFmt w:val="decimal"/>
      <w:lvlText w:val="%7."/>
      <w:lvlJc w:val="left"/>
      <w:pPr>
        <w:ind w:left="5018" w:hanging="360"/>
      </w:pPr>
    </w:lvl>
    <w:lvl w:ilvl="7">
      <w:start w:val="1"/>
      <w:numFmt w:val="lowerLetter"/>
      <w:lvlText w:val="%8."/>
      <w:lvlJc w:val="left"/>
      <w:pPr>
        <w:ind w:left="5738" w:hanging="360"/>
      </w:pPr>
    </w:lvl>
    <w:lvl w:ilvl="8">
      <w:start w:val="1"/>
      <w:numFmt w:val="lowerRoman"/>
      <w:lvlText w:val="%9."/>
      <w:lvlJc w:val="right"/>
      <w:pPr>
        <w:ind w:left="6458" w:hanging="180"/>
      </w:pPr>
    </w:lvl>
  </w:abstractNum>
  <w:abstractNum w:abstractNumId="14" w15:restartNumberingAfterBreak="0">
    <w:nsid w:val="61596047"/>
    <w:multiLevelType w:val="multilevel"/>
    <w:tmpl w:val="61596047"/>
    <w:lvl w:ilvl="0">
      <w:start w:val="1"/>
      <w:numFmt w:val="lowerLetter"/>
      <w:lvlText w:val="%1."/>
      <w:lvlJc w:val="left"/>
      <w:pPr>
        <w:ind w:left="1146" w:hanging="360"/>
      </w:pPr>
      <w:rPr>
        <w:rFonts w:hint="default"/>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5" w15:restartNumberingAfterBreak="0">
    <w:nsid w:val="62645830"/>
    <w:multiLevelType w:val="multilevel"/>
    <w:tmpl w:val="6264583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68E2F56"/>
    <w:multiLevelType w:val="multilevel"/>
    <w:tmpl w:val="668E2F56"/>
    <w:lvl w:ilvl="0">
      <w:start w:val="1"/>
      <w:numFmt w:val="lowerLetter"/>
      <w:lvlText w:val="%1."/>
      <w:lvlJc w:val="left"/>
      <w:pPr>
        <w:ind w:left="1146" w:hanging="360"/>
      </w:pPr>
      <w:rPr>
        <w:rFonts w:hint="default"/>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7" w15:restartNumberingAfterBreak="0">
    <w:nsid w:val="66EF2C5B"/>
    <w:multiLevelType w:val="multilevel"/>
    <w:tmpl w:val="66EF2C5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C5B1E95"/>
    <w:multiLevelType w:val="multilevel"/>
    <w:tmpl w:val="6C5B1E95"/>
    <w:lvl w:ilvl="0">
      <w:start w:val="1"/>
      <w:numFmt w:val="lowerLetter"/>
      <w:lvlText w:val="%1."/>
      <w:lvlJc w:val="left"/>
      <w:pPr>
        <w:ind w:left="702" w:hanging="360"/>
      </w:pPr>
      <w:rPr>
        <w:rFonts w:hint="default"/>
      </w:r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abstractNum w:abstractNumId="19" w15:restartNumberingAfterBreak="0">
    <w:nsid w:val="6CAD728E"/>
    <w:multiLevelType w:val="multilevel"/>
    <w:tmpl w:val="6CAD728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2"/>
  </w:num>
  <w:num w:numId="2">
    <w:abstractNumId w:val="8"/>
  </w:num>
  <w:num w:numId="3">
    <w:abstractNumId w:val="3"/>
  </w:num>
  <w:num w:numId="4">
    <w:abstractNumId w:val="11"/>
  </w:num>
  <w:num w:numId="5">
    <w:abstractNumId w:val="14"/>
  </w:num>
  <w:num w:numId="6">
    <w:abstractNumId w:val="4"/>
  </w:num>
  <w:num w:numId="7">
    <w:abstractNumId w:val="16"/>
  </w:num>
  <w:num w:numId="8">
    <w:abstractNumId w:val="10"/>
  </w:num>
  <w:num w:numId="9">
    <w:abstractNumId w:val="13"/>
  </w:num>
  <w:num w:numId="10">
    <w:abstractNumId w:val="7"/>
  </w:num>
  <w:num w:numId="11">
    <w:abstractNumId w:val="17"/>
  </w:num>
  <w:num w:numId="12">
    <w:abstractNumId w:val="18"/>
  </w:num>
  <w:num w:numId="13">
    <w:abstractNumId w:val="1"/>
  </w:num>
  <w:num w:numId="14">
    <w:abstractNumId w:val="5"/>
  </w:num>
  <w:num w:numId="15">
    <w:abstractNumId w:val="6"/>
  </w:num>
  <w:num w:numId="16">
    <w:abstractNumId w:val="2"/>
  </w:num>
  <w:num w:numId="17">
    <w:abstractNumId w:val="9"/>
  </w:num>
  <w:num w:numId="18">
    <w:abstractNumId w:val="19"/>
  </w:num>
  <w:num w:numId="19">
    <w:abstractNumId w:val="1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1" w:cryptProviderType="rsaAES" w:cryptAlgorithmClass="hash" w:cryptAlgorithmType="typeAny" w:cryptAlgorithmSid="14" w:cryptSpinCount="100000" w:hash="F2sm4AImfqw/hzOnNlvdc3hmpPqnDs4Qhng0hTLKGR4c1SwEgHLTfcnmeeiH+4BzqtuHCfTAdCBSfMZcAWbmmw==" w:salt="oVih/I9WKqdPHm412SIu2Q=="/>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D594C9-38A3-43B0-B4D4-30068CD3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PH"/>
    </w:rPr>
  </w:style>
  <w:style w:type="paragraph" w:styleId="Heading2">
    <w:name w:val="heading 2"/>
    <w:basedOn w:val="Normal"/>
    <w:next w:val="Normal"/>
    <w:link w:val="Heading2Char"/>
    <w:qFormat/>
    <w:pPr>
      <w:keepNext/>
      <w:spacing w:after="0" w:line="240" w:lineRule="auto"/>
      <w:jc w:val="center"/>
      <w:outlineLvl w:val="1"/>
    </w:pPr>
    <w:rPr>
      <w:rFonts w:eastAsia="Times New Roman"/>
      <w:b/>
      <w:bCs/>
      <w:sz w:val="40"/>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sz w:val="16"/>
      <w:szCs w:val="16"/>
    </w:rPr>
  </w:style>
  <w:style w:type="paragraph" w:styleId="BodyTextIndent">
    <w:name w:val="Body Text Indent"/>
    <w:basedOn w:val="Normal"/>
    <w:link w:val="BodyTextIndentChar"/>
    <w:qFormat/>
    <w:pPr>
      <w:spacing w:after="0" w:line="240" w:lineRule="auto"/>
      <w:ind w:left="1440" w:hanging="660"/>
      <w:jc w:val="both"/>
    </w:pPr>
    <w:rPr>
      <w:rFonts w:eastAsia="Times New Roman"/>
      <w:sz w:val="24"/>
      <w:szCs w:val="24"/>
      <w:lang w:val="en-GB"/>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unhideWhenUsed/>
    <w:qFormat/>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unhideWhenUsed/>
    <w:qFormat/>
    <w:rPr>
      <w:vertAlign w:val="superscript"/>
    </w:rPr>
  </w:style>
  <w:style w:type="paragraph" w:styleId="FootnoteText">
    <w:name w:val="footnote text"/>
    <w:basedOn w:val="Normal"/>
    <w:uiPriority w:val="99"/>
    <w:unhideWhenUsed/>
    <w:qFormat/>
    <w:pPr>
      <w:snapToGrid w:val="0"/>
    </w:pPr>
    <w:rPr>
      <w:sz w:val="18"/>
      <w:szCs w:val="1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unhideWhenUsed/>
    <w:qFormat/>
    <w:rPr>
      <w:color w:val="0000FF"/>
      <w:u w:val="single"/>
    </w:rPr>
  </w:style>
  <w:style w:type="paragraph" w:styleId="Subtitle">
    <w:name w:val="Subtitle"/>
    <w:basedOn w:val="Normal"/>
    <w:link w:val="SubtitleChar"/>
    <w:qFormat/>
    <w:pPr>
      <w:spacing w:after="0" w:line="240" w:lineRule="auto"/>
      <w:jc w:val="both"/>
    </w:pPr>
    <w:rPr>
      <w:rFonts w:eastAsia="Times New Roman"/>
      <w:b/>
      <w:sz w:val="20"/>
      <w:szCs w:val="20"/>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uiPriority w:val="99"/>
    <w:semiHidden/>
    <w:qFormat/>
    <w:rPr>
      <w:rFonts w:ascii="Tahoma" w:hAnsi="Tahoma" w:cs="Tahoma"/>
      <w:sz w:val="16"/>
      <w:szCs w:val="16"/>
      <w:lang w:eastAsia="en-US"/>
    </w:rPr>
  </w:style>
  <w:style w:type="character" w:customStyle="1" w:styleId="BodyTextIndentChar">
    <w:name w:val="Body Text Indent Char"/>
    <w:link w:val="BodyTextIndent"/>
    <w:qFormat/>
    <w:rPr>
      <w:rFonts w:ascii="Times New Roman" w:eastAsia="Times New Roman" w:hAnsi="Times New Roman"/>
      <w:sz w:val="24"/>
      <w:szCs w:val="24"/>
      <w:lang w:val="en-GB" w:eastAsia="en-US"/>
    </w:rPr>
  </w:style>
  <w:style w:type="character" w:customStyle="1" w:styleId="CommentSubjectChar">
    <w:name w:val="Comment Subject Char"/>
    <w:link w:val="CommentSubject"/>
    <w:uiPriority w:val="99"/>
    <w:semiHidden/>
    <w:qFormat/>
    <w:rPr>
      <w:b/>
      <w:bCs/>
      <w:lang w:val="en-PH"/>
    </w:rPr>
  </w:style>
  <w:style w:type="character" w:customStyle="1" w:styleId="SubtitleChar">
    <w:name w:val="Subtitle Char"/>
    <w:link w:val="Subtitle"/>
    <w:qFormat/>
    <w:rPr>
      <w:rFonts w:ascii="Times New Roman" w:eastAsia="Times New Roman" w:hAnsi="Times New Roman" w:cs="Times New Roman"/>
      <w:b/>
      <w:sz w:val="20"/>
      <w:szCs w:val="20"/>
      <w:lang w:val="en-US"/>
    </w:rPr>
  </w:style>
  <w:style w:type="character" w:customStyle="1" w:styleId="CommentTextChar">
    <w:name w:val="Comment Text Char"/>
    <w:link w:val="CommentText"/>
    <w:uiPriority w:val="99"/>
    <w:semiHidden/>
    <w:qFormat/>
    <w:rPr>
      <w:lang w:val="en-PH"/>
    </w:rPr>
  </w:style>
  <w:style w:type="character" w:customStyle="1" w:styleId="FooterChar">
    <w:name w:val="Footer Char"/>
    <w:link w:val="Footer"/>
    <w:uiPriority w:val="99"/>
    <w:qFormat/>
    <w:rPr>
      <w:sz w:val="22"/>
      <w:szCs w:val="22"/>
      <w:lang w:eastAsia="en-US"/>
    </w:rPr>
  </w:style>
  <w:style w:type="character" w:customStyle="1" w:styleId="NoSpacingChar">
    <w:name w:val="No Spacing Char"/>
    <w:link w:val="NoSpacing"/>
    <w:uiPriority w:val="1"/>
    <w:qFormat/>
    <w:rPr>
      <w:sz w:val="22"/>
      <w:szCs w:val="22"/>
      <w:lang w:val="en-PH" w:bidi="ar-SA"/>
    </w:rPr>
  </w:style>
  <w:style w:type="paragraph" w:styleId="NoSpacing">
    <w:name w:val="No Spacing"/>
    <w:link w:val="NoSpacingChar"/>
    <w:uiPriority w:val="1"/>
    <w:qFormat/>
    <w:rPr>
      <w:sz w:val="22"/>
      <w:szCs w:val="22"/>
      <w:lang w:val="en-PH"/>
    </w:rPr>
  </w:style>
  <w:style w:type="character" w:customStyle="1" w:styleId="Heading2Char">
    <w:name w:val="Heading 2 Char"/>
    <w:link w:val="Heading2"/>
    <w:qFormat/>
    <w:rPr>
      <w:rFonts w:ascii="Times New Roman" w:eastAsia="Times New Roman" w:hAnsi="Times New Roman" w:cs="Times New Roman"/>
      <w:b/>
      <w:bCs/>
      <w:sz w:val="40"/>
      <w:szCs w:val="24"/>
      <w:lang w:val="en-US"/>
    </w:rPr>
  </w:style>
  <w:style w:type="character" w:customStyle="1" w:styleId="HeaderChar">
    <w:name w:val="Header Char"/>
    <w:link w:val="Header"/>
    <w:uiPriority w:val="99"/>
    <w:qFormat/>
    <w:rPr>
      <w:sz w:val="22"/>
      <w:szCs w:val="22"/>
      <w:lang w:eastAsia="en-US"/>
    </w:rPr>
  </w:style>
  <w:style w:type="paragraph" w:styleId="ListParagraph">
    <w:name w:val="List Paragraph"/>
    <w:basedOn w:val="Normal"/>
    <w:uiPriority w:val="34"/>
    <w:qFormat/>
    <w:pPr>
      <w:spacing w:after="0" w:line="240" w:lineRule="auto"/>
      <w:ind w:left="720"/>
      <w:contextualSpacing/>
    </w:pPr>
    <w:rPr>
      <w:rFonts w:eastAsia="Times New Roman"/>
      <w:sz w:val="24"/>
      <w:szCs w:val="24"/>
      <w:lang w:val="en-US"/>
    </w:rPr>
  </w:style>
  <w:style w:type="paragraph" w:customStyle="1" w:styleId="Revision1">
    <w:name w:val="Revision1"/>
    <w:uiPriority w:val="99"/>
    <w:semiHidden/>
    <w:qFormat/>
    <w:rPr>
      <w:sz w:val="22"/>
      <w:szCs w:val="22"/>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1B3F85-083F-465F-AF34-8E5AF5E47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7296</Words>
  <Characters>41593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Status of Implementation of Prior Years' Audit Recommendations</vt:lpstr>
    </vt:vector>
  </TitlesOfParts>
  <Company/>
  <LinksUpToDate>false</LinksUpToDate>
  <CharactersWithSpaces>48792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of Implementation of Prior Years' Audit Recommendations</dc:title>
  <dc:creator>COA - Manila City</dc:creator>
  <cp:lastModifiedBy>Mario B. Bacoco</cp:lastModifiedBy>
  <cp:revision>6</cp:revision>
  <cp:lastPrinted>2021-08-25T06:48:00Z</cp:lastPrinted>
  <dcterms:created xsi:type="dcterms:W3CDTF">2021-08-25T07:27:00Z</dcterms:created>
  <dcterms:modified xsi:type="dcterms:W3CDTF">2021-08-26T00:50:00Z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1033-11.2.0.10224</vt:lpwstr>
  </property>
</Properties>
</file>