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  <w:rPr>
          <w:sz w:val="40"/>
          <w:szCs w:val="40"/>
        </w:rPr>
      </w:pPr>
      <w:bookmarkStart w:id="0" w:name="_GoBack"/>
      <w:bookmarkEnd w:id="0"/>
      <w:r>
        <w:rPr>
          <w:noProof/>
          <w:sz w:val="40"/>
          <w:szCs w:val="40"/>
          <w:lang w:val="en-PH" w:eastAsia="en-PH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0;width:75.5pt;height:75.5pt;z-index:251658240;visibility:visible;mso-wrap-edited:f;mso-position-horizontal:center;mso-position-horizontal-relative:margin;mso-position-vertical:top;mso-position-vertical-relative:margin">
            <v:imagedata r:id="rId6" o:title=""/>
            <w10:wrap type="square" anchorx="margin" anchory="margin"/>
          </v:shape>
        </w:pict>
      </w:r>
    </w:p>
    <w:p>
      <w:pPr>
        <w:jc w:val="center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</w:p>
    <w:p>
      <w:pPr>
        <w:jc w:val="center"/>
        <w:rPr>
          <w:szCs w:val="40"/>
        </w:rPr>
      </w:pPr>
    </w:p>
    <w:p>
      <w:pPr>
        <w:jc w:val="center"/>
        <w:rPr>
          <w:rFonts w:ascii="Arial" w:hAnsi="Arial" w:cs="Arial"/>
          <w:bCs/>
          <w:sz w:val="40"/>
          <w:szCs w:val="40"/>
        </w:rPr>
      </w:pPr>
      <w:r>
        <w:rPr>
          <w:rFonts w:ascii="Arial" w:hAnsi="Arial" w:cs="Arial"/>
          <w:bCs/>
          <w:sz w:val="40"/>
          <w:szCs w:val="40"/>
        </w:rPr>
        <w:t>Republic of the Philippines</w:t>
      </w:r>
    </w:p>
    <w:p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COMMISSION ON AUDIT</w:t>
      </w:r>
    </w:p>
    <w:p>
      <w:pPr>
        <w:jc w:val="center"/>
        <w:rPr>
          <w:rFonts w:ascii="Arial" w:hAnsi="Arial" w:cs="Arial"/>
          <w:bCs/>
          <w:sz w:val="40"/>
          <w:szCs w:val="40"/>
        </w:rPr>
      </w:pPr>
      <w:r>
        <w:rPr>
          <w:rFonts w:ascii="Arial" w:hAnsi="Arial" w:cs="Arial"/>
          <w:bCs/>
          <w:sz w:val="40"/>
          <w:szCs w:val="40"/>
        </w:rPr>
        <w:t>Quezon City</w:t>
      </w: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keepNext/>
        <w:jc w:val="center"/>
        <w:outlineLvl w:val="0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ANNUAL AUDIT REPORT</w:t>
      </w: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on the</w:t>
      </w: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CITY OF MANILA</w:t>
      </w: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For the Year Ended December 31, 2023</w:t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216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d401S6Rwqw3TVdemsOeWLWOoqK2zlFh+gXiiQQWZX9FVmezvs84ZVJPKA2sAjD73BSxBKScKcFC6iD4OMOhm6g==" w:salt="RzrMIehExbltV2j1Kd6hmQ==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5:docId w15:val="{5AECE30F-0DDE-4E7B-A0E9-077C0E69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</vt:lpstr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</dc:title>
  <dc:subject/>
  <dc:creator>COA - Manila City, NCR</dc:creator>
  <cp:keywords/>
  <dc:description/>
  <cp:lastModifiedBy>Ben A. Lazo Jr.</cp:lastModifiedBy>
  <cp:revision>4</cp:revision>
  <cp:lastPrinted>2024-05-30T11:32:00Z</cp:lastPrinted>
  <dcterms:created xsi:type="dcterms:W3CDTF">2022-06-10T05:27:00Z</dcterms:created>
  <dcterms:modified xsi:type="dcterms:W3CDTF">2024-12-12T06:46:00Z</dcterms:modified>
</cp:coreProperties>
</file>