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rPr>
          <w:rFonts w:ascii="Arial" w:hAnsi="Arial" w:cs="Arial"/>
          <w:sz w:val="22"/>
          <w:szCs w:val="22"/>
        </w:rPr>
      </w:pPr>
      <w:bookmarkStart w:id="0" w:name="_GoBack"/>
      <w:bookmarkEnd w:id="0"/>
      <w:r>
        <w:rPr>
          <w:rFonts w:ascii="Arial" w:hAnsi="Arial" w:cs="Arial"/>
          <w:sz w:val="22"/>
          <w:szCs w:val="22"/>
        </w:rPr>
        <w:t>EXECUTIVE SUMMARY</w:t>
      </w:r>
    </w:p>
    <w:p>
      <w:pPr>
        <w:jc w:val="both"/>
        <w:rPr>
          <w:rFonts w:ascii="Arial" w:hAnsi="Arial" w:cs="Arial"/>
          <w:sz w:val="22"/>
          <w:szCs w:val="22"/>
        </w:rPr>
      </w:pPr>
    </w:p>
    <w:p>
      <w:pPr>
        <w:jc w:val="both"/>
        <w:rPr>
          <w:rFonts w:ascii="Arial" w:hAnsi="Arial" w:cs="Arial"/>
          <w:sz w:val="22"/>
          <w:szCs w:val="22"/>
        </w:rPr>
      </w:pPr>
    </w:p>
    <w:p>
      <w:pPr>
        <w:pStyle w:val="ListParagraph"/>
        <w:numPr>
          <w:ilvl w:val="0"/>
          <w:numId w:val="1"/>
        </w:numPr>
        <w:ind w:left="540" w:hanging="540"/>
        <w:jc w:val="both"/>
        <w:rPr>
          <w:rFonts w:ascii="Arial" w:hAnsi="Arial" w:cs="Arial"/>
          <w:b/>
          <w:sz w:val="22"/>
          <w:szCs w:val="22"/>
        </w:rPr>
      </w:pPr>
      <w:r>
        <w:rPr>
          <w:rFonts w:ascii="Arial" w:hAnsi="Arial" w:cs="Arial"/>
          <w:b/>
          <w:sz w:val="22"/>
          <w:szCs w:val="22"/>
        </w:rPr>
        <w:t>Introduction</w:t>
      </w:r>
    </w:p>
    <w:p>
      <w:pPr>
        <w:ind w:left="360"/>
        <w:jc w:val="both"/>
        <w:rPr>
          <w:rFonts w:ascii="Arial" w:hAnsi="Arial" w:cs="Arial"/>
          <w:sz w:val="22"/>
          <w:szCs w:val="22"/>
        </w:rPr>
      </w:pPr>
    </w:p>
    <w:p>
      <w:pPr>
        <w:pStyle w:val="NoSpacing"/>
        <w:ind w:left="540"/>
        <w:jc w:val="both"/>
        <w:rPr>
          <w:rFonts w:ascii="Arial" w:hAnsi="Arial" w:cs="Arial"/>
        </w:rPr>
      </w:pPr>
      <w:r>
        <w:rPr>
          <w:rFonts w:ascii="Arial" w:hAnsi="Arial" w:cs="Arial"/>
        </w:rPr>
        <w:t>The City of Manila was founded on June 24, 1571, as a municipal government</w:t>
      </w:r>
      <w:r>
        <w:rPr>
          <w:rFonts w:ascii="Arial" w:hAnsi="Arial" w:cs="Arial"/>
          <w:lang w:val="en-PH"/>
        </w:rPr>
        <w:t>. I</w:t>
      </w:r>
      <w:r>
        <w:rPr>
          <w:rFonts w:ascii="Arial" w:hAnsi="Arial" w:cs="Arial"/>
        </w:rPr>
        <w:t xml:space="preserve">t became the first chartered City by virtue of the Philippine Commission Act No. 183 on </w:t>
      </w:r>
      <w:r>
        <w:rPr>
          <w:rFonts w:ascii="Arial" w:hAnsi="Arial" w:cs="Arial"/>
        </w:rPr>
        <w:br/>
        <w:t xml:space="preserve">July 31, 1901, and gained autonomy with the passage of Republic Act (RA) No. 409 or the “Revised Charter of the City of Manila” on June 18, 1949. </w:t>
      </w:r>
    </w:p>
    <w:p>
      <w:pPr>
        <w:pStyle w:val="NoSpacing"/>
        <w:ind w:left="450"/>
        <w:jc w:val="both"/>
        <w:rPr>
          <w:rFonts w:ascii="Arial" w:hAnsi="Arial" w:cs="Arial"/>
        </w:rPr>
      </w:pPr>
    </w:p>
    <w:p>
      <w:pPr>
        <w:pStyle w:val="NoSpacing"/>
        <w:ind w:left="540"/>
        <w:jc w:val="both"/>
        <w:rPr>
          <w:rFonts w:ascii="Arial" w:hAnsi="Arial" w:cs="Arial"/>
        </w:rPr>
      </w:pPr>
      <w:r>
        <w:rPr>
          <w:rFonts w:ascii="Arial" w:hAnsi="Arial" w:cs="Arial"/>
        </w:rPr>
        <w:t>The personnel complement of the City in CY 2023 totaled 19,350 composed of the following:</w:t>
      </w:r>
    </w:p>
    <w:p>
      <w:pPr>
        <w:pStyle w:val="NoSpacing"/>
        <w:ind w:left="540"/>
        <w:jc w:val="both"/>
        <w:rPr>
          <w:rFonts w:ascii="Arial" w:hAnsi="Arial" w:cs="Arial"/>
        </w:rPr>
      </w:pPr>
    </w:p>
    <w:tbl>
      <w:tblPr>
        <w:tblW w:w="8460" w:type="dxa"/>
        <w:tblInd w:w="540" w:type="dxa"/>
        <w:tblLook w:val="04A0" w:firstRow="1" w:lastRow="0" w:firstColumn="1" w:lastColumn="0" w:noHBand="0" w:noVBand="1"/>
      </w:tblPr>
      <w:tblGrid>
        <w:gridCol w:w="2610"/>
        <w:gridCol w:w="1980"/>
        <w:gridCol w:w="2070"/>
        <w:gridCol w:w="1800"/>
      </w:tblGrid>
      <w:tr>
        <w:tc>
          <w:tcPr>
            <w:tcW w:w="2610" w:type="dxa"/>
            <w:tcBorders>
              <w:top w:val="single" w:sz="4" w:space="0" w:color="auto"/>
              <w:bottom w:val="single" w:sz="2" w:space="0" w:color="auto"/>
            </w:tcBorders>
            <w:shd w:val="clear" w:color="auto" w:fill="auto"/>
          </w:tcPr>
          <w:p>
            <w:pPr>
              <w:pStyle w:val="NoSpacing"/>
              <w:jc w:val="both"/>
              <w:rPr>
                <w:rFonts w:ascii="Arial" w:eastAsia="Times New Roman" w:hAnsi="Arial" w:cs="Arial"/>
                <w:b/>
                <w:lang w:eastAsia="en-PH"/>
              </w:rPr>
            </w:pPr>
          </w:p>
        </w:tc>
        <w:tc>
          <w:tcPr>
            <w:tcW w:w="1980" w:type="dxa"/>
            <w:tcBorders>
              <w:top w:val="single" w:sz="4" w:space="0" w:color="auto"/>
              <w:bottom w:val="single" w:sz="4" w:space="0" w:color="auto"/>
            </w:tcBorders>
            <w:shd w:val="clear" w:color="auto" w:fill="auto"/>
            <w:vAlign w:val="center"/>
          </w:tcPr>
          <w:p>
            <w:pPr>
              <w:pStyle w:val="NoSpacing"/>
              <w:jc w:val="center"/>
              <w:rPr>
                <w:rFonts w:ascii="Arial" w:eastAsia="Times New Roman" w:hAnsi="Arial" w:cs="Arial"/>
                <w:b/>
                <w:lang w:eastAsia="en-PH"/>
              </w:rPr>
            </w:pPr>
            <w:r>
              <w:rPr>
                <w:rFonts w:ascii="Arial" w:eastAsia="Times New Roman" w:hAnsi="Arial" w:cs="Arial"/>
                <w:b/>
                <w:lang w:eastAsia="en-PH"/>
              </w:rPr>
              <w:t>Executive Office</w:t>
            </w:r>
          </w:p>
        </w:tc>
        <w:tc>
          <w:tcPr>
            <w:tcW w:w="2070" w:type="dxa"/>
            <w:tcBorders>
              <w:top w:val="single" w:sz="4" w:space="0" w:color="auto"/>
              <w:bottom w:val="single" w:sz="2" w:space="0" w:color="auto"/>
            </w:tcBorders>
            <w:shd w:val="clear" w:color="auto" w:fill="auto"/>
            <w:vAlign w:val="center"/>
          </w:tcPr>
          <w:p>
            <w:pPr>
              <w:pStyle w:val="NoSpacing"/>
              <w:jc w:val="center"/>
              <w:rPr>
                <w:rFonts w:ascii="Arial" w:eastAsia="Times New Roman" w:hAnsi="Arial" w:cs="Arial"/>
                <w:b/>
                <w:lang w:eastAsia="en-PH"/>
              </w:rPr>
            </w:pPr>
            <w:r>
              <w:rPr>
                <w:rFonts w:ascii="Arial" w:eastAsia="Times New Roman" w:hAnsi="Arial" w:cs="Arial"/>
                <w:b/>
                <w:lang w:eastAsia="en-PH"/>
              </w:rPr>
              <w:t xml:space="preserve"> City Council</w:t>
            </w:r>
          </w:p>
        </w:tc>
        <w:tc>
          <w:tcPr>
            <w:tcW w:w="1800" w:type="dxa"/>
            <w:tcBorders>
              <w:top w:val="single" w:sz="4" w:space="0" w:color="auto"/>
              <w:bottom w:val="single" w:sz="2" w:space="0" w:color="auto"/>
            </w:tcBorders>
            <w:shd w:val="clear" w:color="auto" w:fill="auto"/>
            <w:vAlign w:val="center"/>
          </w:tcPr>
          <w:p>
            <w:pPr>
              <w:pStyle w:val="NoSpacing"/>
              <w:jc w:val="center"/>
              <w:rPr>
                <w:rFonts w:ascii="Arial" w:eastAsia="Times New Roman" w:hAnsi="Arial" w:cs="Arial"/>
                <w:b/>
                <w:lang w:eastAsia="en-PH"/>
              </w:rPr>
            </w:pPr>
            <w:r>
              <w:rPr>
                <w:rFonts w:ascii="Arial" w:eastAsia="Times New Roman" w:hAnsi="Arial" w:cs="Arial"/>
                <w:b/>
                <w:lang w:eastAsia="en-PH"/>
              </w:rPr>
              <w:t>Total</w:t>
            </w:r>
          </w:p>
        </w:tc>
      </w:tr>
      <w:tr>
        <w:trPr>
          <w:trHeight w:val="188"/>
        </w:trPr>
        <w:tc>
          <w:tcPr>
            <w:tcW w:w="2610" w:type="dxa"/>
            <w:tcBorders>
              <w:top w:val="single" w:sz="2" w:space="0" w:color="auto"/>
            </w:tcBorders>
            <w:shd w:val="clear" w:color="auto" w:fill="auto"/>
          </w:tcPr>
          <w:p>
            <w:pPr>
              <w:pStyle w:val="NoSpacing"/>
              <w:jc w:val="both"/>
              <w:rPr>
                <w:rFonts w:ascii="Arial" w:eastAsia="Times New Roman" w:hAnsi="Arial" w:cs="Arial"/>
                <w:lang w:eastAsia="en-PH"/>
              </w:rPr>
            </w:pPr>
            <w:r>
              <w:rPr>
                <w:rFonts w:ascii="Arial" w:eastAsia="Times New Roman" w:hAnsi="Arial" w:cs="Arial"/>
                <w:lang w:eastAsia="en-PH"/>
              </w:rPr>
              <w:t>Elected</w:t>
            </w:r>
          </w:p>
        </w:tc>
        <w:tc>
          <w:tcPr>
            <w:tcW w:w="1980" w:type="dxa"/>
            <w:tcBorders>
              <w:top w:val="single" w:sz="4" w:space="0" w:color="auto"/>
            </w:tcBorders>
            <w:shd w:val="clear" w:color="auto" w:fill="auto"/>
          </w:tcPr>
          <w:p>
            <w:pPr>
              <w:pStyle w:val="NoSpacing"/>
              <w:ind w:right="720"/>
              <w:jc w:val="right"/>
              <w:rPr>
                <w:rFonts w:ascii="Arial" w:eastAsia="Times New Roman" w:hAnsi="Arial" w:cs="Arial"/>
                <w:lang w:eastAsia="en-PH"/>
              </w:rPr>
            </w:pPr>
            <w:r>
              <w:rPr>
                <w:rFonts w:ascii="Arial" w:eastAsia="Times New Roman" w:hAnsi="Arial" w:cs="Arial"/>
                <w:lang w:eastAsia="en-PH"/>
              </w:rPr>
              <w:t>2</w:t>
            </w:r>
          </w:p>
        </w:tc>
        <w:tc>
          <w:tcPr>
            <w:tcW w:w="2070" w:type="dxa"/>
            <w:tcBorders>
              <w:top w:val="single" w:sz="2" w:space="0" w:color="auto"/>
            </w:tcBorders>
            <w:shd w:val="clear" w:color="auto" w:fill="auto"/>
          </w:tcPr>
          <w:p>
            <w:pPr>
              <w:pStyle w:val="NoSpacing"/>
              <w:ind w:right="720"/>
              <w:jc w:val="right"/>
              <w:rPr>
                <w:rFonts w:ascii="Arial" w:eastAsia="Times New Roman" w:hAnsi="Arial" w:cs="Arial"/>
                <w:highlight w:val="yellow"/>
                <w:lang w:eastAsia="en-PH"/>
              </w:rPr>
            </w:pPr>
            <w:r>
              <w:rPr>
                <w:rFonts w:ascii="Arial" w:hAnsi="Arial" w:cs="Arial"/>
              </w:rPr>
              <w:t>38</w:t>
            </w:r>
          </w:p>
        </w:tc>
        <w:tc>
          <w:tcPr>
            <w:tcW w:w="1800" w:type="dxa"/>
            <w:tcBorders>
              <w:top w:val="single" w:sz="2" w:space="0" w:color="auto"/>
            </w:tcBorders>
            <w:shd w:val="clear" w:color="auto" w:fill="auto"/>
          </w:tcPr>
          <w:p>
            <w:pPr>
              <w:pStyle w:val="NoSpacing"/>
              <w:tabs>
                <w:tab w:val="left" w:pos="947"/>
              </w:tabs>
              <w:ind w:right="541"/>
              <w:jc w:val="right"/>
              <w:rPr>
                <w:rFonts w:ascii="Arial" w:eastAsia="Times New Roman" w:hAnsi="Arial" w:cs="Arial"/>
                <w:highlight w:val="yellow"/>
                <w:lang w:eastAsia="en-PH"/>
              </w:rPr>
            </w:pPr>
            <w:r>
              <w:rPr>
                <w:rFonts w:ascii="Arial" w:hAnsi="Arial" w:cs="Arial"/>
              </w:rPr>
              <w:t>40</w:t>
            </w:r>
          </w:p>
        </w:tc>
      </w:tr>
      <w:tr>
        <w:tc>
          <w:tcPr>
            <w:tcW w:w="2610" w:type="dxa"/>
            <w:shd w:val="clear" w:color="auto" w:fill="auto"/>
          </w:tcPr>
          <w:p>
            <w:pPr>
              <w:pStyle w:val="NoSpacing"/>
              <w:jc w:val="both"/>
              <w:rPr>
                <w:rFonts w:ascii="Arial" w:eastAsia="Times New Roman" w:hAnsi="Arial" w:cs="Arial"/>
                <w:lang w:eastAsia="en-PH"/>
              </w:rPr>
            </w:pPr>
            <w:r>
              <w:rPr>
                <w:rFonts w:ascii="Arial" w:eastAsia="Times New Roman" w:hAnsi="Arial" w:cs="Arial"/>
                <w:lang w:eastAsia="en-PH"/>
              </w:rPr>
              <w:t>Permanent</w:t>
            </w:r>
          </w:p>
        </w:tc>
        <w:tc>
          <w:tcPr>
            <w:tcW w:w="1980" w:type="dxa"/>
            <w:shd w:val="clear" w:color="auto" w:fill="auto"/>
          </w:tcPr>
          <w:p>
            <w:pPr>
              <w:pStyle w:val="NoSpacing"/>
              <w:ind w:right="720"/>
              <w:jc w:val="right"/>
              <w:rPr>
                <w:rFonts w:ascii="Arial" w:eastAsia="Times New Roman" w:hAnsi="Arial" w:cs="Arial"/>
                <w:lang w:eastAsia="en-PH"/>
              </w:rPr>
            </w:pPr>
            <w:r>
              <w:rPr>
                <w:rFonts w:ascii="Arial" w:eastAsia="Times New Roman" w:hAnsi="Arial" w:cs="Arial"/>
                <w:lang w:eastAsia="en-PH"/>
              </w:rPr>
              <w:t>8,156</w:t>
            </w:r>
          </w:p>
        </w:tc>
        <w:tc>
          <w:tcPr>
            <w:tcW w:w="2070" w:type="dxa"/>
            <w:shd w:val="clear" w:color="auto" w:fill="auto"/>
          </w:tcPr>
          <w:p>
            <w:pPr>
              <w:pStyle w:val="NoSpacing"/>
              <w:ind w:right="720"/>
              <w:jc w:val="right"/>
              <w:rPr>
                <w:rFonts w:ascii="Arial" w:eastAsia="Times New Roman" w:hAnsi="Arial" w:cs="Arial"/>
                <w:lang w:eastAsia="en-PH"/>
              </w:rPr>
            </w:pPr>
            <w:r>
              <w:rPr>
                <w:rFonts w:ascii="Arial" w:hAnsi="Arial" w:cs="Arial"/>
              </w:rPr>
              <w:t>122</w:t>
            </w:r>
          </w:p>
        </w:tc>
        <w:tc>
          <w:tcPr>
            <w:tcW w:w="1800" w:type="dxa"/>
            <w:shd w:val="clear" w:color="auto" w:fill="auto"/>
          </w:tcPr>
          <w:p>
            <w:pPr>
              <w:pStyle w:val="NoSpacing"/>
              <w:tabs>
                <w:tab w:val="left" w:pos="947"/>
              </w:tabs>
              <w:ind w:right="541"/>
              <w:jc w:val="right"/>
              <w:rPr>
                <w:rFonts w:ascii="Arial" w:eastAsia="Times New Roman" w:hAnsi="Arial" w:cs="Arial"/>
                <w:lang w:eastAsia="en-PH"/>
              </w:rPr>
            </w:pPr>
            <w:r>
              <w:rPr>
                <w:rFonts w:ascii="Arial" w:hAnsi="Arial" w:cs="Arial"/>
              </w:rPr>
              <w:t>8,278</w:t>
            </w:r>
          </w:p>
        </w:tc>
      </w:tr>
      <w:tr>
        <w:tc>
          <w:tcPr>
            <w:tcW w:w="2610" w:type="dxa"/>
            <w:shd w:val="clear" w:color="auto" w:fill="auto"/>
          </w:tcPr>
          <w:p>
            <w:pPr>
              <w:pStyle w:val="NoSpacing"/>
              <w:jc w:val="both"/>
              <w:rPr>
                <w:rFonts w:ascii="Arial" w:eastAsia="Times New Roman" w:hAnsi="Arial" w:cs="Arial"/>
                <w:lang w:eastAsia="en-PH"/>
              </w:rPr>
            </w:pPr>
            <w:r>
              <w:rPr>
                <w:rFonts w:ascii="Arial" w:eastAsia="Times New Roman" w:hAnsi="Arial" w:cs="Arial"/>
                <w:lang w:eastAsia="en-PH"/>
              </w:rPr>
              <w:t>Co-Terminus</w:t>
            </w:r>
          </w:p>
        </w:tc>
        <w:tc>
          <w:tcPr>
            <w:tcW w:w="1980" w:type="dxa"/>
            <w:shd w:val="clear" w:color="auto" w:fill="auto"/>
          </w:tcPr>
          <w:p>
            <w:pPr>
              <w:pStyle w:val="NoSpacing"/>
              <w:ind w:right="720"/>
              <w:jc w:val="right"/>
              <w:rPr>
                <w:rFonts w:ascii="Arial" w:eastAsia="Times New Roman" w:hAnsi="Arial" w:cs="Arial"/>
                <w:lang w:eastAsia="en-PH"/>
              </w:rPr>
            </w:pPr>
            <w:r>
              <w:rPr>
                <w:rFonts w:ascii="Arial" w:eastAsia="Times New Roman" w:hAnsi="Arial" w:cs="Arial"/>
                <w:lang w:eastAsia="en-PH"/>
              </w:rPr>
              <w:t>-</w:t>
            </w:r>
          </w:p>
        </w:tc>
        <w:tc>
          <w:tcPr>
            <w:tcW w:w="2070" w:type="dxa"/>
            <w:shd w:val="clear" w:color="auto" w:fill="auto"/>
          </w:tcPr>
          <w:p>
            <w:pPr>
              <w:pStyle w:val="NoSpacing"/>
              <w:ind w:right="720"/>
              <w:jc w:val="right"/>
              <w:rPr>
                <w:rFonts w:ascii="Arial" w:eastAsia="Times New Roman" w:hAnsi="Arial" w:cs="Arial"/>
                <w:highlight w:val="yellow"/>
                <w:lang w:eastAsia="en-PH"/>
              </w:rPr>
            </w:pPr>
            <w:r>
              <w:rPr>
                <w:rFonts w:ascii="Arial" w:hAnsi="Arial" w:cs="Arial"/>
              </w:rPr>
              <w:t>465</w:t>
            </w:r>
          </w:p>
        </w:tc>
        <w:tc>
          <w:tcPr>
            <w:tcW w:w="1800" w:type="dxa"/>
            <w:shd w:val="clear" w:color="auto" w:fill="auto"/>
          </w:tcPr>
          <w:p>
            <w:pPr>
              <w:pStyle w:val="NoSpacing"/>
              <w:tabs>
                <w:tab w:val="left" w:pos="947"/>
              </w:tabs>
              <w:ind w:right="541"/>
              <w:jc w:val="right"/>
              <w:rPr>
                <w:rFonts w:ascii="Arial" w:eastAsia="Times New Roman" w:hAnsi="Arial" w:cs="Arial"/>
                <w:lang w:eastAsia="en-PH"/>
              </w:rPr>
            </w:pPr>
            <w:r>
              <w:rPr>
                <w:rFonts w:ascii="Arial" w:hAnsi="Arial" w:cs="Arial"/>
              </w:rPr>
              <w:t>465</w:t>
            </w:r>
          </w:p>
        </w:tc>
      </w:tr>
      <w:tr>
        <w:tc>
          <w:tcPr>
            <w:tcW w:w="2610" w:type="dxa"/>
            <w:shd w:val="clear" w:color="auto" w:fill="auto"/>
          </w:tcPr>
          <w:p>
            <w:pPr>
              <w:pStyle w:val="NoSpacing"/>
              <w:jc w:val="both"/>
              <w:rPr>
                <w:rFonts w:ascii="Arial" w:eastAsia="Times New Roman" w:hAnsi="Arial" w:cs="Arial"/>
                <w:lang w:eastAsia="en-PH"/>
              </w:rPr>
            </w:pPr>
            <w:r>
              <w:rPr>
                <w:rFonts w:ascii="Arial" w:eastAsia="Times New Roman" w:hAnsi="Arial" w:cs="Arial"/>
                <w:lang w:eastAsia="en-PH"/>
              </w:rPr>
              <w:t>Temporary/Casual</w:t>
            </w:r>
          </w:p>
        </w:tc>
        <w:tc>
          <w:tcPr>
            <w:tcW w:w="1980" w:type="dxa"/>
            <w:shd w:val="clear" w:color="auto" w:fill="auto"/>
          </w:tcPr>
          <w:p>
            <w:pPr>
              <w:pStyle w:val="NoSpacing"/>
              <w:ind w:right="720"/>
              <w:jc w:val="right"/>
              <w:rPr>
                <w:rFonts w:ascii="Arial" w:eastAsia="Times New Roman" w:hAnsi="Arial" w:cs="Arial"/>
                <w:lang w:eastAsia="en-PH"/>
              </w:rPr>
            </w:pPr>
            <w:r>
              <w:rPr>
                <w:rFonts w:ascii="Arial" w:eastAsia="Times New Roman" w:hAnsi="Arial" w:cs="Arial"/>
                <w:lang w:eastAsia="en-PH"/>
              </w:rPr>
              <w:t>52</w:t>
            </w:r>
          </w:p>
        </w:tc>
        <w:tc>
          <w:tcPr>
            <w:tcW w:w="2070" w:type="dxa"/>
            <w:shd w:val="clear" w:color="auto" w:fill="auto"/>
          </w:tcPr>
          <w:p>
            <w:pPr>
              <w:pStyle w:val="NoSpacing"/>
              <w:ind w:right="720"/>
              <w:jc w:val="right"/>
              <w:rPr>
                <w:rFonts w:ascii="Arial" w:eastAsia="Times New Roman" w:hAnsi="Arial" w:cs="Arial"/>
                <w:highlight w:val="yellow"/>
                <w:lang w:eastAsia="en-PH"/>
              </w:rPr>
            </w:pPr>
            <w:r>
              <w:rPr>
                <w:rFonts w:ascii="Arial" w:hAnsi="Arial" w:cs="Arial"/>
                <w:lang w:eastAsia="en-PH"/>
              </w:rPr>
              <w:t>-</w:t>
            </w:r>
          </w:p>
        </w:tc>
        <w:tc>
          <w:tcPr>
            <w:tcW w:w="1800" w:type="dxa"/>
            <w:shd w:val="clear" w:color="auto" w:fill="auto"/>
          </w:tcPr>
          <w:p>
            <w:pPr>
              <w:pStyle w:val="NoSpacing"/>
              <w:tabs>
                <w:tab w:val="left" w:pos="947"/>
              </w:tabs>
              <w:ind w:right="541"/>
              <w:jc w:val="right"/>
              <w:rPr>
                <w:rFonts w:ascii="Arial" w:eastAsia="Times New Roman" w:hAnsi="Arial" w:cs="Arial"/>
                <w:lang w:eastAsia="en-PH"/>
              </w:rPr>
            </w:pPr>
            <w:r>
              <w:rPr>
                <w:rFonts w:ascii="Arial" w:hAnsi="Arial" w:cs="Arial"/>
                <w:lang w:eastAsia="en-PH"/>
              </w:rPr>
              <w:t>52</w:t>
            </w:r>
          </w:p>
        </w:tc>
      </w:tr>
      <w:tr>
        <w:tc>
          <w:tcPr>
            <w:tcW w:w="2610" w:type="dxa"/>
            <w:shd w:val="clear" w:color="auto" w:fill="auto"/>
          </w:tcPr>
          <w:p>
            <w:pPr>
              <w:pStyle w:val="NoSpacing"/>
              <w:jc w:val="both"/>
              <w:rPr>
                <w:rFonts w:ascii="Arial" w:eastAsia="Times New Roman" w:hAnsi="Arial" w:cs="Arial"/>
                <w:lang w:eastAsia="en-PH"/>
              </w:rPr>
            </w:pPr>
            <w:r>
              <w:rPr>
                <w:rFonts w:ascii="Arial" w:eastAsia="Times New Roman" w:hAnsi="Arial" w:cs="Arial"/>
                <w:lang w:eastAsia="en-PH"/>
              </w:rPr>
              <w:t>Consultant</w:t>
            </w:r>
          </w:p>
        </w:tc>
        <w:tc>
          <w:tcPr>
            <w:tcW w:w="1980" w:type="dxa"/>
            <w:shd w:val="clear" w:color="auto" w:fill="auto"/>
          </w:tcPr>
          <w:p>
            <w:pPr>
              <w:pStyle w:val="NoSpacing"/>
              <w:ind w:right="720"/>
              <w:jc w:val="right"/>
              <w:rPr>
                <w:rFonts w:ascii="Arial" w:eastAsia="Times New Roman" w:hAnsi="Arial" w:cs="Arial"/>
                <w:lang w:eastAsia="en-PH"/>
              </w:rPr>
            </w:pPr>
            <w:r>
              <w:rPr>
                <w:rFonts w:ascii="Arial" w:eastAsia="Times New Roman" w:hAnsi="Arial" w:cs="Arial"/>
                <w:lang w:eastAsia="en-PH"/>
              </w:rPr>
              <w:t>-</w:t>
            </w:r>
          </w:p>
        </w:tc>
        <w:tc>
          <w:tcPr>
            <w:tcW w:w="2070" w:type="dxa"/>
            <w:shd w:val="clear" w:color="auto" w:fill="auto"/>
          </w:tcPr>
          <w:p>
            <w:pPr>
              <w:pStyle w:val="NoSpacing"/>
              <w:ind w:right="720"/>
              <w:jc w:val="right"/>
              <w:rPr>
                <w:rFonts w:ascii="Arial" w:eastAsia="Times New Roman" w:hAnsi="Arial" w:cs="Arial"/>
                <w:lang w:eastAsia="en-PH"/>
              </w:rPr>
            </w:pPr>
            <w:r>
              <w:rPr>
                <w:rFonts w:ascii="Arial" w:hAnsi="Arial" w:cs="Arial"/>
              </w:rPr>
              <w:t>20</w:t>
            </w:r>
          </w:p>
        </w:tc>
        <w:tc>
          <w:tcPr>
            <w:tcW w:w="1800" w:type="dxa"/>
            <w:shd w:val="clear" w:color="auto" w:fill="auto"/>
          </w:tcPr>
          <w:p>
            <w:pPr>
              <w:pStyle w:val="NoSpacing"/>
              <w:tabs>
                <w:tab w:val="left" w:pos="947"/>
              </w:tabs>
              <w:ind w:right="541"/>
              <w:jc w:val="right"/>
              <w:rPr>
                <w:rFonts w:ascii="Arial" w:eastAsia="Times New Roman" w:hAnsi="Arial" w:cs="Arial"/>
                <w:lang w:eastAsia="en-PH"/>
              </w:rPr>
            </w:pPr>
            <w:r>
              <w:rPr>
                <w:rFonts w:ascii="Arial" w:hAnsi="Arial" w:cs="Arial"/>
              </w:rPr>
              <w:t>20</w:t>
            </w:r>
          </w:p>
        </w:tc>
      </w:tr>
      <w:tr>
        <w:tc>
          <w:tcPr>
            <w:tcW w:w="2610" w:type="dxa"/>
            <w:shd w:val="clear" w:color="auto" w:fill="auto"/>
          </w:tcPr>
          <w:p>
            <w:pPr>
              <w:pStyle w:val="NoSpacing"/>
              <w:jc w:val="both"/>
              <w:rPr>
                <w:rFonts w:ascii="Arial" w:eastAsia="Times New Roman" w:hAnsi="Arial" w:cs="Arial"/>
                <w:lang w:eastAsia="en-PH"/>
              </w:rPr>
            </w:pPr>
            <w:r>
              <w:rPr>
                <w:rFonts w:ascii="Arial" w:eastAsia="Times New Roman" w:hAnsi="Arial" w:cs="Arial"/>
                <w:lang w:eastAsia="en-PH"/>
              </w:rPr>
              <w:t>Contractual</w:t>
            </w:r>
          </w:p>
        </w:tc>
        <w:tc>
          <w:tcPr>
            <w:tcW w:w="1980" w:type="dxa"/>
            <w:shd w:val="clear" w:color="auto" w:fill="auto"/>
          </w:tcPr>
          <w:p>
            <w:pPr>
              <w:pStyle w:val="NoSpacing"/>
              <w:ind w:right="720"/>
              <w:jc w:val="right"/>
              <w:rPr>
                <w:rFonts w:ascii="Arial" w:eastAsia="Times New Roman" w:hAnsi="Arial" w:cs="Arial"/>
                <w:lang w:eastAsia="en-PH"/>
              </w:rPr>
            </w:pPr>
            <w:r>
              <w:rPr>
                <w:rFonts w:ascii="Arial" w:eastAsia="Times New Roman" w:hAnsi="Arial" w:cs="Arial"/>
                <w:lang w:eastAsia="en-PH"/>
              </w:rPr>
              <w:t>1,968</w:t>
            </w:r>
          </w:p>
        </w:tc>
        <w:tc>
          <w:tcPr>
            <w:tcW w:w="2070" w:type="dxa"/>
            <w:shd w:val="clear" w:color="auto" w:fill="auto"/>
          </w:tcPr>
          <w:p>
            <w:pPr>
              <w:pStyle w:val="NoSpacing"/>
              <w:ind w:right="720"/>
              <w:jc w:val="right"/>
              <w:rPr>
                <w:rFonts w:ascii="Arial" w:eastAsia="Times New Roman" w:hAnsi="Arial" w:cs="Arial"/>
                <w:bCs/>
                <w:highlight w:val="yellow"/>
                <w:lang w:eastAsia="en-PH"/>
              </w:rPr>
            </w:pPr>
            <w:r>
              <w:rPr>
                <w:rFonts w:ascii="Arial" w:hAnsi="Arial" w:cs="Arial"/>
              </w:rPr>
              <w:t>5</w:t>
            </w:r>
          </w:p>
        </w:tc>
        <w:tc>
          <w:tcPr>
            <w:tcW w:w="1800" w:type="dxa"/>
            <w:shd w:val="clear" w:color="auto" w:fill="auto"/>
          </w:tcPr>
          <w:p>
            <w:pPr>
              <w:pStyle w:val="NoSpacing"/>
              <w:tabs>
                <w:tab w:val="left" w:pos="947"/>
              </w:tabs>
              <w:ind w:right="541"/>
              <w:jc w:val="right"/>
              <w:rPr>
                <w:rFonts w:ascii="Arial" w:eastAsia="Times New Roman" w:hAnsi="Arial" w:cs="Arial"/>
                <w:b/>
                <w:lang w:eastAsia="en-PH"/>
              </w:rPr>
            </w:pPr>
            <w:r>
              <w:rPr>
                <w:rFonts w:ascii="Arial" w:hAnsi="Arial" w:cs="Arial"/>
              </w:rPr>
              <w:t>1973</w:t>
            </w:r>
          </w:p>
        </w:tc>
      </w:tr>
      <w:tr>
        <w:tc>
          <w:tcPr>
            <w:tcW w:w="2610" w:type="dxa"/>
            <w:shd w:val="clear" w:color="auto" w:fill="auto"/>
          </w:tcPr>
          <w:p>
            <w:pPr>
              <w:pStyle w:val="NoSpacing"/>
              <w:jc w:val="both"/>
              <w:rPr>
                <w:rFonts w:ascii="Arial" w:eastAsia="Times New Roman" w:hAnsi="Arial" w:cs="Arial"/>
                <w:lang w:eastAsia="en-PH"/>
              </w:rPr>
            </w:pPr>
            <w:r>
              <w:rPr>
                <w:rFonts w:ascii="Arial" w:eastAsia="Times New Roman" w:hAnsi="Arial" w:cs="Arial"/>
                <w:lang w:eastAsia="en-PH"/>
              </w:rPr>
              <w:t>Job Order</w:t>
            </w:r>
          </w:p>
        </w:tc>
        <w:tc>
          <w:tcPr>
            <w:tcW w:w="1980" w:type="dxa"/>
            <w:shd w:val="clear" w:color="auto" w:fill="auto"/>
          </w:tcPr>
          <w:p>
            <w:pPr>
              <w:pStyle w:val="NoSpacing"/>
              <w:ind w:right="720"/>
              <w:jc w:val="right"/>
              <w:rPr>
                <w:rFonts w:ascii="Arial" w:eastAsia="Times New Roman" w:hAnsi="Arial" w:cs="Arial"/>
                <w:lang w:eastAsia="en-PH"/>
              </w:rPr>
            </w:pPr>
            <w:r>
              <w:rPr>
                <w:rFonts w:ascii="Arial" w:eastAsia="Times New Roman" w:hAnsi="Arial" w:cs="Arial"/>
                <w:lang w:eastAsia="en-PH"/>
              </w:rPr>
              <w:t>7,232</w:t>
            </w:r>
          </w:p>
        </w:tc>
        <w:tc>
          <w:tcPr>
            <w:tcW w:w="2070" w:type="dxa"/>
            <w:shd w:val="clear" w:color="auto" w:fill="auto"/>
          </w:tcPr>
          <w:p>
            <w:pPr>
              <w:pStyle w:val="NoSpacing"/>
              <w:ind w:right="720"/>
              <w:jc w:val="right"/>
              <w:rPr>
                <w:rFonts w:ascii="Arial" w:eastAsia="Times New Roman" w:hAnsi="Arial" w:cs="Arial"/>
                <w:highlight w:val="yellow"/>
                <w:lang w:eastAsia="en-PH"/>
              </w:rPr>
            </w:pPr>
            <w:r>
              <w:rPr>
                <w:rFonts w:ascii="Arial" w:hAnsi="Arial" w:cs="Arial"/>
              </w:rPr>
              <w:t>1,290</w:t>
            </w:r>
          </w:p>
        </w:tc>
        <w:tc>
          <w:tcPr>
            <w:tcW w:w="1800" w:type="dxa"/>
            <w:shd w:val="clear" w:color="auto" w:fill="auto"/>
          </w:tcPr>
          <w:p>
            <w:pPr>
              <w:pStyle w:val="NoSpacing"/>
              <w:tabs>
                <w:tab w:val="left" w:pos="947"/>
              </w:tabs>
              <w:ind w:right="541"/>
              <w:jc w:val="right"/>
              <w:rPr>
                <w:rFonts w:ascii="Arial" w:eastAsia="Times New Roman" w:hAnsi="Arial" w:cs="Arial"/>
                <w:lang w:eastAsia="en-PH"/>
              </w:rPr>
            </w:pPr>
            <w:r>
              <w:rPr>
                <w:rFonts w:ascii="Arial" w:hAnsi="Arial" w:cs="Arial"/>
              </w:rPr>
              <w:t>8,522</w:t>
            </w:r>
          </w:p>
        </w:tc>
      </w:tr>
      <w:tr>
        <w:tc>
          <w:tcPr>
            <w:tcW w:w="2610" w:type="dxa"/>
            <w:tcBorders>
              <w:top w:val="single" w:sz="2" w:space="0" w:color="auto"/>
              <w:bottom w:val="single" w:sz="2" w:space="0" w:color="auto"/>
            </w:tcBorders>
            <w:shd w:val="clear" w:color="auto" w:fill="auto"/>
          </w:tcPr>
          <w:p>
            <w:pPr>
              <w:pStyle w:val="NoSpacing"/>
              <w:jc w:val="both"/>
              <w:rPr>
                <w:rFonts w:ascii="Arial" w:eastAsia="Times New Roman" w:hAnsi="Arial" w:cs="Arial"/>
                <w:b/>
                <w:lang w:eastAsia="en-PH"/>
              </w:rPr>
            </w:pPr>
            <w:r>
              <w:rPr>
                <w:rFonts w:ascii="Arial" w:eastAsia="Times New Roman" w:hAnsi="Arial" w:cs="Arial"/>
                <w:b/>
                <w:lang w:eastAsia="en-PH"/>
              </w:rPr>
              <w:t xml:space="preserve">         Total</w:t>
            </w:r>
          </w:p>
        </w:tc>
        <w:tc>
          <w:tcPr>
            <w:tcW w:w="1980" w:type="dxa"/>
            <w:tcBorders>
              <w:top w:val="single" w:sz="2" w:space="0" w:color="auto"/>
              <w:bottom w:val="single" w:sz="2" w:space="0" w:color="auto"/>
            </w:tcBorders>
            <w:shd w:val="clear" w:color="auto" w:fill="auto"/>
          </w:tcPr>
          <w:p>
            <w:pPr>
              <w:pStyle w:val="NoSpacing"/>
              <w:ind w:right="720"/>
              <w:jc w:val="right"/>
              <w:rPr>
                <w:rFonts w:ascii="Arial" w:eastAsia="Times New Roman" w:hAnsi="Arial" w:cs="Arial"/>
                <w:b/>
                <w:bCs/>
                <w:highlight w:val="yellow"/>
                <w:lang w:eastAsia="en-PH"/>
              </w:rPr>
            </w:pPr>
            <w:r>
              <w:rPr>
                <w:rFonts w:ascii="Arial" w:eastAsia="Times New Roman" w:hAnsi="Arial" w:cs="Arial"/>
                <w:b/>
                <w:bCs/>
                <w:lang w:eastAsia="en-PH"/>
              </w:rPr>
              <w:t>17,410</w:t>
            </w:r>
          </w:p>
        </w:tc>
        <w:tc>
          <w:tcPr>
            <w:tcW w:w="2070" w:type="dxa"/>
            <w:tcBorders>
              <w:top w:val="single" w:sz="2" w:space="0" w:color="auto"/>
              <w:bottom w:val="single" w:sz="2" w:space="0" w:color="auto"/>
            </w:tcBorders>
            <w:shd w:val="clear" w:color="auto" w:fill="auto"/>
          </w:tcPr>
          <w:p>
            <w:pPr>
              <w:pStyle w:val="NoSpacing"/>
              <w:ind w:right="720"/>
              <w:jc w:val="right"/>
              <w:rPr>
                <w:rFonts w:ascii="Arial" w:eastAsia="Times New Roman" w:hAnsi="Arial" w:cs="Arial"/>
                <w:b/>
                <w:bCs/>
                <w:lang w:eastAsia="en-PH"/>
              </w:rPr>
            </w:pPr>
            <w:r>
              <w:rPr>
                <w:rFonts w:ascii="Arial" w:hAnsi="Arial" w:cs="Arial"/>
                <w:b/>
                <w:bCs/>
              </w:rPr>
              <w:t>1,940</w:t>
            </w:r>
          </w:p>
        </w:tc>
        <w:tc>
          <w:tcPr>
            <w:tcW w:w="1800" w:type="dxa"/>
            <w:tcBorders>
              <w:top w:val="single" w:sz="2" w:space="0" w:color="auto"/>
              <w:bottom w:val="single" w:sz="2" w:space="0" w:color="auto"/>
            </w:tcBorders>
            <w:shd w:val="clear" w:color="auto" w:fill="auto"/>
          </w:tcPr>
          <w:p>
            <w:pPr>
              <w:pStyle w:val="NoSpacing"/>
              <w:tabs>
                <w:tab w:val="left" w:pos="947"/>
              </w:tabs>
              <w:ind w:right="541"/>
              <w:jc w:val="right"/>
              <w:rPr>
                <w:rFonts w:ascii="Arial" w:eastAsia="Times New Roman" w:hAnsi="Arial" w:cs="Arial"/>
                <w:b/>
                <w:bCs/>
                <w:lang w:eastAsia="en-PH"/>
              </w:rPr>
            </w:pPr>
            <w:r>
              <w:rPr>
                <w:rFonts w:ascii="Arial" w:hAnsi="Arial" w:cs="Arial"/>
                <w:b/>
                <w:bCs/>
              </w:rPr>
              <w:t>19,350</w:t>
            </w:r>
          </w:p>
        </w:tc>
      </w:tr>
    </w:tbl>
    <w:p>
      <w:pPr>
        <w:pStyle w:val="NoSpacing"/>
        <w:ind w:left="540"/>
        <w:jc w:val="both"/>
        <w:rPr>
          <w:rFonts w:ascii="Arial" w:hAnsi="Arial" w:cs="Arial"/>
        </w:rPr>
      </w:pPr>
    </w:p>
    <w:p>
      <w:pPr>
        <w:pStyle w:val="NoSpacing"/>
        <w:jc w:val="both"/>
        <w:rPr>
          <w:rFonts w:ascii="Arial" w:hAnsi="Arial" w:cs="Arial"/>
        </w:rPr>
      </w:pPr>
    </w:p>
    <w:p>
      <w:pPr>
        <w:pStyle w:val="ListParagraph"/>
        <w:numPr>
          <w:ilvl w:val="0"/>
          <w:numId w:val="1"/>
        </w:numPr>
        <w:ind w:left="540" w:hanging="540"/>
        <w:jc w:val="both"/>
        <w:rPr>
          <w:rFonts w:ascii="Arial" w:hAnsi="Arial" w:cs="Arial"/>
          <w:b/>
          <w:sz w:val="22"/>
          <w:szCs w:val="22"/>
        </w:rPr>
      </w:pPr>
      <w:r>
        <w:rPr>
          <w:rFonts w:ascii="Arial" w:hAnsi="Arial" w:cs="Arial"/>
          <w:b/>
          <w:sz w:val="22"/>
          <w:szCs w:val="22"/>
        </w:rPr>
        <w:t>Financial Highlights</w:t>
      </w:r>
    </w:p>
    <w:p>
      <w:pPr>
        <w:jc w:val="both"/>
        <w:rPr>
          <w:rFonts w:ascii="Arial" w:hAnsi="Arial" w:cs="Arial"/>
          <w:b/>
          <w:sz w:val="22"/>
          <w:szCs w:val="22"/>
        </w:rPr>
      </w:pPr>
    </w:p>
    <w:tbl>
      <w:tblPr>
        <w:tblW w:w="8460" w:type="dxa"/>
        <w:tblInd w:w="540" w:type="dxa"/>
        <w:tblLayout w:type="fixed"/>
        <w:tblCellMar>
          <w:left w:w="0" w:type="dxa"/>
          <w:right w:w="0" w:type="dxa"/>
        </w:tblCellMar>
        <w:tblLook w:val="04A0" w:firstRow="1" w:lastRow="0" w:firstColumn="1" w:lastColumn="0" w:noHBand="0" w:noVBand="1"/>
      </w:tblPr>
      <w:tblGrid>
        <w:gridCol w:w="2340"/>
        <w:gridCol w:w="1980"/>
        <w:gridCol w:w="2070"/>
        <w:gridCol w:w="2070"/>
      </w:tblGrid>
      <w:tr>
        <w:trPr>
          <w:trHeight w:val="20"/>
        </w:trPr>
        <w:tc>
          <w:tcPr>
            <w:tcW w:w="2340"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sz w:val="20"/>
                <w:szCs w:val="20"/>
              </w:rPr>
              <w:t>Particulars</w:t>
            </w:r>
          </w:p>
        </w:tc>
        <w:tc>
          <w:tcPr>
            <w:tcW w:w="1980"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sz w:val="20"/>
                <w:szCs w:val="20"/>
              </w:rPr>
              <w:t>2023</w:t>
            </w:r>
          </w:p>
        </w:tc>
        <w:tc>
          <w:tcPr>
            <w:tcW w:w="2070" w:type="dxa"/>
            <w:tcBorders>
              <w:top w:val="single" w:sz="4" w:space="0" w:color="auto"/>
              <w:left w:val="nil"/>
              <w:bottom w:val="single" w:sz="4" w:space="0" w:color="auto"/>
              <w:right w:val="nil"/>
            </w:tcBorders>
            <w:vAlign w:val="center"/>
          </w:tcPr>
          <w:p>
            <w:pPr>
              <w:jc w:val="center"/>
              <w:rPr>
                <w:rFonts w:ascii="Arial" w:hAnsi="Arial" w:cs="Arial"/>
                <w:b/>
                <w:bCs/>
                <w:color w:val="000000"/>
                <w:sz w:val="20"/>
                <w:szCs w:val="20"/>
              </w:rPr>
            </w:pPr>
            <w:r>
              <w:rPr>
                <w:rFonts w:ascii="Arial" w:hAnsi="Arial" w:cs="Arial"/>
                <w:b/>
                <w:bCs/>
                <w:color w:val="000000"/>
                <w:sz w:val="20"/>
                <w:szCs w:val="20"/>
              </w:rPr>
              <w:t>2022</w:t>
            </w:r>
          </w:p>
        </w:tc>
        <w:tc>
          <w:tcPr>
            <w:tcW w:w="2070"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sz w:val="20"/>
                <w:szCs w:val="20"/>
              </w:rPr>
              <w:t>Increase/ (Decrease)</w:t>
            </w:r>
          </w:p>
        </w:tc>
      </w:tr>
      <w:tr>
        <w:trPr>
          <w:trHeight w:val="20"/>
        </w:trPr>
        <w:tc>
          <w:tcPr>
            <w:tcW w:w="2340" w:type="dxa"/>
            <w:tcBorders>
              <w:top w:val="nil"/>
              <w:left w:val="nil"/>
              <w:bottom w:val="nil"/>
              <w:right w:val="nil"/>
            </w:tcBorders>
            <w:shd w:val="clear" w:color="auto" w:fill="auto"/>
            <w:vAlign w:val="center"/>
          </w:tcPr>
          <w:p>
            <w:pPr>
              <w:ind w:left="169" w:hanging="169"/>
              <w:jc w:val="both"/>
              <w:rPr>
                <w:rFonts w:ascii="Arial" w:hAnsi="Arial" w:cs="Arial"/>
                <w:color w:val="000000"/>
                <w:sz w:val="20"/>
                <w:szCs w:val="20"/>
              </w:rPr>
            </w:pPr>
            <w:r>
              <w:rPr>
                <w:rFonts w:ascii="Arial" w:hAnsi="Arial" w:cs="Arial"/>
                <w:color w:val="000000"/>
                <w:sz w:val="20"/>
                <w:szCs w:val="20"/>
              </w:rPr>
              <w:t>Assets</w:t>
            </w:r>
          </w:p>
        </w:tc>
        <w:tc>
          <w:tcPr>
            <w:tcW w:w="198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 xml:space="preserve">81,680,431,791.61 </w:t>
            </w:r>
          </w:p>
        </w:tc>
        <w:tc>
          <w:tcPr>
            <w:tcW w:w="2070" w:type="dxa"/>
            <w:tcBorders>
              <w:top w:val="nil"/>
              <w:left w:val="nil"/>
              <w:bottom w:val="nil"/>
              <w:right w:val="nil"/>
            </w:tcBorders>
            <w:vAlign w:val="center"/>
          </w:tcPr>
          <w:p>
            <w:pPr>
              <w:ind w:right="96"/>
              <w:jc w:val="right"/>
              <w:rPr>
                <w:rFonts w:ascii="Arial" w:hAnsi="Arial" w:cs="Arial"/>
                <w:sz w:val="20"/>
                <w:szCs w:val="20"/>
              </w:rPr>
            </w:pPr>
            <w:r>
              <w:rPr>
                <w:rFonts w:ascii="Arial" w:hAnsi="Arial" w:cs="Arial"/>
                <w:color w:val="000000"/>
                <w:sz w:val="20"/>
                <w:szCs w:val="20"/>
              </w:rPr>
              <w:t>73,694,401,449.64</w:t>
            </w:r>
          </w:p>
        </w:tc>
        <w:tc>
          <w:tcPr>
            <w:tcW w:w="207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 xml:space="preserve"> 7,986,030,341.97</w:t>
            </w:r>
          </w:p>
        </w:tc>
      </w:tr>
      <w:tr>
        <w:trPr>
          <w:trHeight w:val="20"/>
        </w:trPr>
        <w:tc>
          <w:tcPr>
            <w:tcW w:w="2340" w:type="dxa"/>
            <w:tcBorders>
              <w:top w:val="nil"/>
              <w:left w:val="nil"/>
              <w:bottom w:val="nil"/>
              <w:right w:val="nil"/>
            </w:tcBorders>
            <w:shd w:val="clear" w:color="auto" w:fill="auto"/>
            <w:vAlign w:val="center"/>
          </w:tcPr>
          <w:p>
            <w:pPr>
              <w:ind w:left="169" w:hanging="169"/>
              <w:jc w:val="both"/>
              <w:rPr>
                <w:rFonts w:ascii="Arial" w:hAnsi="Arial" w:cs="Arial"/>
                <w:color w:val="000000"/>
                <w:sz w:val="20"/>
                <w:szCs w:val="20"/>
              </w:rPr>
            </w:pPr>
            <w:r>
              <w:rPr>
                <w:rFonts w:ascii="Arial" w:hAnsi="Arial" w:cs="Arial"/>
                <w:color w:val="000000"/>
                <w:sz w:val="20"/>
                <w:szCs w:val="20"/>
              </w:rPr>
              <w:t>Liabilities</w:t>
            </w:r>
          </w:p>
        </w:tc>
        <w:tc>
          <w:tcPr>
            <w:tcW w:w="198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31,374,764,902.33</w:t>
            </w:r>
          </w:p>
        </w:tc>
        <w:tc>
          <w:tcPr>
            <w:tcW w:w="2070" w:type="dxa"/>
            <w:tcBorders>
              <w:top w:val="nil"/>
              <w:left w:val="nil"/>
              <w:bottom w:val="nil"/>
              <w:right w:val="nil"/>
            </w:tcBorders>
            <w:vAlign w:val="center"/>
          </w:tcPr>
          <w:p>
            <w:pPr>
              <w:ind w:right="96"/>
              <w:jc w:val="right"/>
              <w:rPr>
                <w:rFonts w:ascii="Arial" w:hAnsi="Arial" w:cs="Arial"/>
                <w:sz w:val="20"/>
                <w:szCs w:val="20"/>
              </w:rPr>
            </w:pPr>
            <w:r>
              <w:rPr>
                <w:rFonts w:ascii="Arial" w:hAnsi="Arial" w:cs="Arial"/>
                <w:color w:val="000000"/>
                <w:sz w:val="20"/>
                <w:szCs w:val="20"/>
              </w:rPr>
              <w:t>26,765,116,831.55</w:t>
            </w:r>
          </w:p>
        </w:tc>
        <w:tc>
          <w:tcPr>
            <w:tcW w:w="207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4,609,648,070.78</w:t>
            </w:r>
          </w:p>
        </w:tc>
      </w:tr>
      <w:tr>
        <w:trPr>
          <w:trHeight w:val="20"/>
        </w:trPr>
        <w:tc>
          <w:tcPr>
            <w:tcW w:w="2340" w:type="dxa"/>
            <w:tcBorders>
              <w:top w:val="nil"/>
              <w:left w:val="nil"/>
              <w:bottom w:val="nil"/>
              <w:right w:val="nil"/>
            </w:tcBorders>
            <w:shd w:val="clear" w:color="auto" w:fill="auto"/>
            <w:vAlign w:val="center"/>
          </w:tcPr>
          <w:p>
            <w:pPr>
              <w:ind w:left="169" w:hanging="169"/>
              <w:jc w:val="both"/>
              <w:rPr>
                <w:rFonts w:ascii="Arial" w:hAnsi="Arial" w:cs="Arial"/>
                <w:color w:val="000000"/>
                <w:sz w:val="20"/>
                <w:szCs w:val="20"/>
              </w:rPr>
            </w:pPr>
            <w:r>
              <w:rPr>
                <w:rFonts w:ascii="Arial" w:hAnsi="Arial" w:cs="Arial"/>
                <w:color w:val="000000"/>
                <w:sz w:val="20"/>
                <w:szCs w:val="20"/>
              </w:rPr>
              <w:t>Equity</w:t>
            </w:r>
          </w:p>
        </w:tc>
        <w:tc>
          <w:tcPr>
            <w:tcW w:w="198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50,305,666,889.28</w:t>
            </w:r>
          </w:p>
        </w:tc>
        <w:tc>
          <w:tcPr>
            <w:tcW w:w="2070" w:type="dxa"/>
            <w:tcBorders>
              <w:top w:val="nil"/>
              <w:left w:val="nil"/>
              <w:bottom w:val="nil"/>
              <w:right w:val="nil"/>
            </w:tcBorders>
            <w:vAlign w:val="center"/>
          </w:tcPr>
          <w:p>
            <w:pPr>
              <w:ind w:right="96"/>
              <w:jc w:val="right"/>
              <w:rPr>
                <w:rFonts w:ascii="Arial" w:hAnsi="Arial" w:cs="Arial"/>
                <w:sz w:val="20"/>
                <w:szCs w:val="20"/>
              </w:rPr>
            </w:pPr>
            <w:r>
              <w:rPr>
                <w:rFonts w:ascii="Arial" w:hAnsi="Arial" w:cs="Arial"/>
                <w:color w:val="000000"/>
                <w:sz w:val="20"/>
                <w:szCs w:val="20"/>
              </w:rPr>
              <w:t>46,929,284,618.09</w:t>
            </w:r>
          </w:p>
        </w:tc>
        <w:tc>
          <w:tcPr>
            <w:tcW w:w="207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3,376,382,271.19</w:t>
            </w:r>
          </w:p>
        </w:tc>
      </w:tr>
      <w:tr>
        <w:trPr>
          <w:trHeight w:val="20"/>
        </w:trPr>
        <w:tc>
          <w:tcPr>
            <w:tcW w:w="2340" w:type="dxa"/>
            <w:tcBorders>
              <w:top w:val="nil"/>
              <w:left w:val="nil"/>
              <w:bottom w:val="nil"/>
              <w:right w:val="nil"/>
            </w:tcBorders>
            <w:shd w:val="clear" w:color="auto" w:fill="auto"/>
            <w:vAlign w:val="center"/>
          </w:tcPr>
          <w:p>
            <w:pPr>
              <w:ind w:left="169" w:hanging="169"/>
              <w:jc w:val="both"/>
              <w:rPr>
                <w:rFonts w:ascii="Arial" w:hAnsi="Arial" w:cs="Arial"/>
                <w:color w:val="000000"/>
                <w:sz w:val="20"/>
                <w:szCs w:val="20"/>
              </w:rPr>
            </w:pPr>
            <w:r>
              <w:rPr>
                <w:rFonts w:ascii="Arial" w:hAnsi="Arial" w:cs="Arial"/>
                <w:color w:val="000000"/>
                <w:sz w:val="20"/>
                <w:szCs w:val="20"/>
              </w:rPr>
              <w:t>Income</w:t>
            </w:r>
          </w:p>
        </w:tc>
        <w:tc>
          <w:tcPr>
            <w:tcW w:w="198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21,289,945,406.93</w:t>
            </w:r>
          </w:p>
        </w:tc>
        <w:tc>
          <w:tcPr>
            <w:tcW w:w="2070" w:type="dxa"/>
            <w:tcBorders>
              <w:top w:val="nil"/>
              <w:left w:val="nil"/>
              <w:bottom w:val="nil"/>
              <w:right w:val="nil"/>
            </w:tcBorders>
            <w:vAlign w:val="bottom"/>
          </w:tcPr>
          <w:p>
            <w:pPr>
              <w:ind w:right="96"/>
              <w:jc w:val="right"/>
              <w:rPr>
                <w:rFonts w:ascii="Arial" w:hAnsi="Arial" w:cs="Arial"/>
                <w:sz w:val="20"/>
                <w:szCs w:val="20"/>
              </w:rPr>
            </w:pPr>
            <w:r>
              <w:rPr>
                <w:rFonts w:ascii="Arial" w:hAnsi="Arial" w:cs="Arial"/>
                <w:color w:val="000000"/>
                <w:sz w:val="20"/>
                <w:szCs w:val="20"/>
              </w:rPr>
              <w:t>19,691,666,908.39</w:t>
            </w:r>
          </w:p>
        </w:tc>
        <w:tc>
          <w:tcPr>
            <w:tcW w:w="207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1,598,278,498.54</w:t>
            </w:r>
          </w:p>
        </w:tc>
      </w:tr>
      <w:tr>
        <w:trPr>
          <w:trHeight w:val="20"/>
        </w:trPr>
        <w:tc>
          <w:tcPr>
            <w:tcW w:w="2340" w:type="dxa"/>
            <w:tcBorders>
              <w:top w:val="nil"/>
              <w:left w:val="nil"/>
              <w:bottom w:val="nil"/>
              <w:right w:val="nil"/>
            </w:tcBorders>
            <w:shd w:val="clear" w:color="auto" w:fill="auto"/>
            <w:vAlign w:val="center"/>
          </w:tcPr>
          <w:p>
            <w:pPr>
              <w:ind w:left="169" w:hanging="169"/>
              <w:jc w:val="both"/>
              <w:rPr>
                <w:rFonts w:ascii="Arial" w:hAnsi="Arial" w:cs="Arial"/>
                <w:color w:val="000000"/>
                <w:sz w:val="20"/>
                <w:szCs w:val="20"/>
              </w:rPr>
            </w:pPr>
            <w:r>
              <w:rPr>
                <w:rFonts w:ascii="Arial" w:hAnsi="Arial" w:cs="Arial"/>
                <w:color w:val="000000"/>
                <w:sz w:val="20"/>
                <w:szCs w:val="20"/>
              </w:rPr>
              <w:t>Expenses</w:t>
            </w:r>
          </w:p>
        </w:tc>
        <w:tc>
          <w:tcPr>
            <w:tcW w:w="198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17,462,230,348.47</w:t>
            </w:r>
          </w:p>
        </w:tc>
        <w:tc>
          <w:tcPr>
            <w:tcW w:w="2070" w:type="dxa"/>
            <w:tcBorders>
              <w:top w:val="nil"/>
              <w:left w:val="nil"/>
              <w:bottom w:val="nil"/>
              <w:right w:val="nil"/>
            </w:tcBorders>
            <w:vAlign w:val="center"/>
          </w:tcPr>
          <w:p>
            <w:pPr>
              <w:ind w:right="96"/>
              <w:jc w:val="right"/>
              <w:rPr>
                <w:rFonts w:ascii="Arial" w:hAnsi="Arial" w:cs="Arial"/>
                <w:sz w:val="20"/>
                <w:szCs w:val="20"/>
              </w:rPr>
            </w:pPr>
            <w:r>
              <w:rPr>
                <w:rFonts w:ascii="Arial" w:hAnsi="Arial" w:cs="Arial"/>
                <w:color w:val="000000"/>
                <w:sz w:val="20"/>
                <w:szCs w:val="20"/>
              </w:rPr>
              <w:t>16,180,950,995.39</w:t>
            </w:r>
          </w:p>
        </w:tc>
        <w:tc>
          <w:tcPr>
            <w:tcW w:w="2070" w:type="dxa"/>
            <w:tcBorders>
              <w:top w:val="nil"/>
              <w:left w:val="nil"/>
              <w:bottom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1,281,279,353.08</w:t>
            </w:r>
          </w:p>
        </w:tc>
      </w:tr>
      <w:tr>
        <w:trPr>
          <w:trHeight w:val="108"/>
        </w:trPr>
        <w:tc>
          <w:tcPr>
            <w:tcW w:w="2340" w:type="dxa"/>
            <w:tcBorders>
              <w:top w:val="nil"/>
              <w:left w:val="nil"/>
              <w:right w:val="nil"/>
            </w:tcBorders>
            <w:shd w:val="clear" w:color="auto" w:fill="auto"/>
            <w:vAlign w:val="center"/>
          </w:tcPr>
          <w:p>
            <w:pPr>
              <w:ind w:left="169" w:hanging="169"/>
              <w:jc w:val="both"/>
              <w:rPr>
                <w:rFonts w:ascii="Arial" w:hAnsi="Arial" w:cs="Arial"/>
                <w:color w:val="000000"/>
                <w:sz w:val="20"/>
                <w:szCs w:val="20"/>
              </w:rPr>
            </w:pPr>
            <w:r>
              <w:rPr>
                <w:rFonts w:ascii="Arial" w:hAnsi="Arial" w:cs="Arial"/>
                <w:color w:val="000000"/>
                <w:sz w:val="20"/>
                <w:szCs w:val="20"/>
              </w:rPr>
              <w:t>Transfers, Assistance and Subsidy From</w:t>
            </w:r>
          </w:p>
        </w:tc>
        <w:tc>
          <w:tcPr>
            <w:tcW w:w="1980" w:type="dxa"/>
            <w:tcBorders>
              <w:top w:val="nil"/>
              <w:left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26,892,809.75</w:t>
            </w:r>
          </w:p>
        </w:tc>
        <w:tc>
          <w:tcPr>
            <w:tcW w:w="2070" w:type="dxa"/>
            <w:tcBorders>
              <w:top w:val="nil"/>
              <w:left w:val="nil"/>
              <w:right w:val="nil"/>
            </w:tcBorders>
          </w:tcPr>
          <w:p>
            <w:pPr>
              <w:ind w:right="96"/>
              <w:jc w:val="right"/>
              <w:rPr>
                <w:rFonts w:ascii="Arial" w:hAnsi="Arial" w:cs="Arial"/>
                <w:color w:val="000000"/>
                <w:sz w:val="20"/>
                <w:szCs w:val="20"/>
              </w:rPr>
            </w:pPr>
            <w:r>
              <w:rPr>
                <w:rFonts w:ascii="Arial" w:hAnsi="Arial" w:cs="Arial"/>
                <w:color w:val="000000"/>
                <w:sz w:val="20"/>
                <w:szCs w:val="20"/>
              </w:rPr>
              <w:t>28,178,905.45</w:t>
            </w:r>
          </w:p>
        </w:tc>
        <w:tc>
          <w:tcPr>
            <w:tcW w:w="2070" w:type="dxa"/>
            <w:tcBorders>
              <w:top w:val="nil"/>
              <w:left w:val="nil"/>
              <w:right w:val="nil"/>
            </w:tcBorders>
            <w:shd w:val="clear" w:color="auto" w:fill="auto"/>
          </w:tcPr>
          <w:p>
            <w:pPr>
              <w:ind w:right="90"/>
              <w:jc w:val="right"/>
              <w:rPr>
                <w:rFonts w:ascii="Arial" w:hAnsi="Arial" w:cs="Arial"/>
                <w:color w:val="000000"/>
                <w:sz w:val="20"/>
                <w:szCs w:val="20"/>
              </w:rPr>
            </w:pPr>
            <w:r>
              <w:rPr>
                <w:rFonts w:ascii="Arial" w:hAnsi="Arial" w:cs="Arial"/>
                <w:color w:val="000000"/>
                <w:sz w:val="20"/>
                <w:szCs w:val="20"/>
              </w:rPr>
              <w:t xml:space="preserve"> (1,286,095.70)</w:t>
            </w:r>
          </w:p>
        </w:tc>
      </w:tr>
      <w:tr>
        <w:trPr>
          <w:trHeight w:val="20"/>
        </w:trPr>
        <w:tc>
          <w:tcPr>
            <w:tcW w:w="2340" w:type="dxa"/>
            <w:tcBorders>
              <w:top w:val="nil"/>
              <w:left w:val="nil"/>
              <w:bottom w:val="single" w:sz="4" w:space="0" w:color="auto"/>
              <w:right w:val="nil"/>
            </w:tcBorders>
            <w:shd w:val="clear" w:color="auto" w:fill="auto"/>
            <w:vAlign w:val="center"/>
          </w:tcPr>
          <w:p>
            <w:pPr>
              <w:ind w:left="169" w:hanging="169"/>
              <w:jc w:val="both"/>
              <w:rPr>
                <w:rFonts w:ascii="Arial" w:hAnsi="Arial" w:cs="Arial"/>
                <w:color w:val="000000"/>
                <w:sz w:val="20"/>
                <w:szCs w:val="20"/>
              </w:rPr>
            </w:pPr>
            <w:r>
              <w:rPr>
                <w:rFonts w:ascii="Arial" w:hAnsi="Arial" w:cs="Arial"/>
                <w:color w:val="000000"/>
                <w:sz w:val="20"/>
                <w:szCs w:val="20"/>
              </w:rPr>
              <w:t>Transfers, Assistance and Subsidy to</w:t>
            </w:r>
          </w:p>
        </w:tc>
        <w:tc>
          <w:tcPr>
            <w:tcW w:w="1980" w:type="dxa"/>
            <w:tcBorders>
              <w:top w:val="nil"/>
              <w:left w:val="nil"/>
              <w:bottom w:val="single" w:sz="4" w:space="0" w:color="auto"/>
              <w:right w:val="nil"/>
            </w:tcBorders>
            <w:shd w:val="clear" w:color="auto" w:fill="auto"/>
          </w:tcPr>
          <w:p>
            <w:pPr>
              <w:ind w:right="90"/>
              <w:jc w:val="right"/>
              <w:rPr>
                <w:rFonts w:ascii="Arial" w:hAnsi="Arial" w:cs="Arial"/>
                <w:color w:val="000000"/>
                <w:sz w:val="20"/>
                <w:szCs w:val="20"/>
              </w:rPr>
            </w:pPr>
            <w:r>
              <w:rPr>
                <w:rFonts w:ascii="Arial" w:hAnsi="Arial" w:cs="Arial"/>
                <w:color w:val="000000"/>
                <w:sz w:val="20"/>
                <w:szCs w:val="20"/>
              </w:rPr>
              <w:t>(851,267,487.40)</w:t>
            </w:r>
          </w:p>
        </w:tc>
        <w:tc>
          <w:tcPr>
            <w:tcW w:w="2070" w:type="dxa"/>
            <w:tcBorders>
              <w:top w:val="nil"/>
              <w:left w:val="nil"/>
              <w:bottom w:val="single" w:sz="4" w:space="0" w:color="auto"/>
              <w:right w:val="nil"/>
            </w:tcBorders>
          </w:tcPr>
          <w:p>
            <w:pPr>
              <w:ind w:right="96"/>
              <w:jc w:val="right"/>
              <w:rPr>
                <w:rFonts w:ascii="Arial" w:hAnsi="Arial" w:cs="Arial"/>
                <w:color w:val="000000"/>
                <w:sz w:val="20"/>
                <w:szCs w:val="20"/>
              </w:rPr>
            </w:pPr>
            <w:r>
              <w:rPr>
                <w:rFonts w:ascii="Arial" w:hAnsi="Arial" w:cs="Arial"/>
                <w:color w:val="000000"/>
                <w:sz w:val="20"/>
                <w:szCs w:val="20"/>
              </w:rPr>
              <w:t xml:space="preserve"> (1,188,404,840.87)</w:t>
            </w:r>
          </w:p>
        </w:tc>
        <w:tc>
          <w:tcPr>
            <w:tcW w:w="2070" w:type="dxa"/>
            <w:tcBorders>
              <w:top w:val="nil"/>
              <w:left w:val="nil"/>
              <w:bottom w:val="single" w:sz="4" w:space="0" w:color="auto"/>
              <w:right w:val="nil"/>
            </w:tcBorders>
            <w:shd w:val="clear" w:color="auto" w:fill="auto"/>
          </w:tcPr>
          <w:p>
            <w:pPr>
              <w:ind w:right="90"/>
              <w:jc w:val="right"/>
              <w:rPr>
                <w:rFonts w:ascii="Arial" w:hAnsi="Arial" w:cs="Arial"/>
                <w:color w:val="000000"/>
                <w:sz w:val="20"/>
                <w:szCs w:val="20"/>
              </w:rPr>
            </w:pPr>
            <w:r>
              <w:rPr>
                <w:rFonts w:ascii="Arial" w:hAnsi="Arial" w:cs="Arial"/>
                <w:color w:val="000000"/>
                <w:sz w:val="20"/>
                <w:szCs w:val="20"/>
              </w:rPr>
              <w:t>337,137,353.47</w:t>
            </w:r>
          </w:p>
        </w:tc>
      </w:tr>
    </w:tbl>
    <w:p>
      <w:pPr>
        <w:jc w:val="both"/>
        <w:rPr>
          <w:rFonts w:ascii="Arial" w:hAnsi="Arial" w:cs="Arial"/>
          <w:sz w:val="22"/>
          <w:szCs w:val="22"/>
        </w:rPr>
      </w:pPr>
    </w:p>
    <w:p>
      <w:pPr>
        <w:pStyle w:val="NoSpacing"/>
        <w:ind w:left="540"/>
        <w:jc w:val="both"/>
        <w:rPr>
          <w:rFonts w:ascii="Arial" w:hAnsi="Arial" w:cs="Arial"/>
        </w:rPr>
      </w:pPr>
      <w:r>
        <w:rPr>
          <w:rFonts w:ascii="Arial" w:hAnsi="Arial" w:cs="Arial"/>
        </w:rPr>
        <w:t>The total appropriations for the General Fund (GF) and Special Education Fund (SEF) of the City for CY 2023 totaled P24.640 billion. The obligations charged against these appropriations amounted to P21.696 billion:</w:t>
      </w:r>
    </w:p>
    <w:p>
      <w:pPr>
        <w:pStyle w:val="NoSpacing"/>
        <w:ind w:left="540"/>
        <w:jc w:val="both"/>
        <w:rPr>
          <w:rFonts w:ascii="Arial" w:hAnsi="Arial" w:cs="Arial"/>
        </w:rPr>
      </w:pPr>
    </w:p>
    <w:tbl>
      <w:tblPr>
        <w:tblW w:w="8438" w:type="dxa"/>
        <w:tblInd w:w="540" w:type="dxa"/>
        <w:tblLayout w:type="fixed"/>
        <w:tblCellMar>
          <w:left w:w="0" w:type="dxa"/>
          <w:right w:w="0" w:type="dxa"/>
        </w:tblCellMar>
        <w:tblLook w:val="04A0" w:firstRow="1" w:lastRow="0" w:firstColumn="1" w:lastColumn="0" w:noHBand="0" w:noVBand="1"/>
      </w:tblPr>
      <w:tblGrid>
        <w:gridCol w:w="2437"/>
        <w:gridCol w:w="1980"/>
        <w:gridCol w:w="1989"/>
        <w:gridCol w:w="2032"/>
      </w:tblGrid>
      <w:tr>
        <w:trPr>
          <w:trHeight w:val="20"/>
        </w:trPr>
        <w:tc>
          <w:tcPr>
            <w:tcW w:w="2437"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themeColor="text1"/>
                <w:sz w:val="20"/>
                <w:szCs w:val="20"/>
              </w:rPr>
              <w:t>Particulars</w:t>
            </w:r>
          </w:p>
        </w:tc>
        <w:tc>
          <w:tcPr>
            <w:tcW w:w="1980"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themeColor="text1"/>
                <w:sz w:val="20"/>
                <w:szCs w:val="20"/>
              </w:rPr>
              <w:t>2023</w:t>
            </w:r>
          </w:p>
        </w:tc>
        <w:tc>
          <w:tcPr>
            <w:tcW w:w="1989"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themeColor="text1"/>
                <w:sz w:val="20"/>
                <w:szCs w:val="20"/>
              </w:rPr>
              <w:t>2022</w:t>
            </w:r>
          </w:p>
        </w:tc>
        <w:tc>
          <w:tcPr>
            <w:tcW w:w="2032"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themeColor="text1"/>
                <w:sz w:val="20"/>
                <w:szCs w:val="20"/>
              </w:rPr>
              <w:t>Increase/ (Decrease)</w:t>
            </w:r>
          </w:p>
        </w:tc>
      </w:tr>
      <w:tr>
        <w:trPr>
          <w:trHeight w:val="20"/>
        </w:trPr>
        <w:tc>
          <w:tcPr>
            <w:tcW w:w="2437" w:type="dxa"/>
            <w:tcBorders>
              <w:top w:val="nil"/>
              <w:left w:val="nil"/>
              <w:right w:val="nil"/>
            </w:tcBorders>
            <w:shd w:val="clear" w:color="auto" w:fill="auto"/>
            <w:vAlign w:val="center"/>
          </w:tcPr>
          <w:p>
            <w:pPr>
              <w:jc w:val="both"/>
              <w:rPr>
                <w:rFonts w:ascii="Arial" w:hAnsi="Arial" w:cs="Arial"/>
                <w:color w:val="000000"/>
                <w:sz w:val="20"/>
                <w:szCs w:val="20"/>
              </w:rPr>
            </w:pPr>
            <w:r>
              <w:rPr>
                <w:rFonts w:ascii="Arial" w:hAnsi="Arial" w:cs="Arial"/>
                <w:color w:val="000000" w:themeColor="text1"/>
                <w:sz w:val="20"/>
                <w:szCs w:val="20"/>
              </w:rPr>
              <w:t>Appropriations</w:t>
            </w:r>
          </w:p>
        </w:tc>
        <w:tc>
          <w:tcPr>
            <w:tcW w:w="1980" w:type="dxa"/>
            <w:tcBorders>
              <w:top w:val="nil"/>
              <w:left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24,640,000,000.00</w:t>
            </w:r>
          </w:p>
        </w:tc>
        <w:tc>
          <w:tcPr>
            <w:tcW w:w="1989" w:type="dxa"/>
            <w:tcBorders>
              <w:top w:val="nil"/>
              <w:left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28,044,664,553.00</w:t>
            </w:r>
          </w:p>
        </w:tc>
        <w:tc>
          <w:tcPr>
            <w:tcW w:w="2032" w:type="dxa"/>
            <w:tcBorders>
              <w:top w:val="nil"/>
              <w:left w:val="nil"/>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(3,404,664,553.00)</w:t>
            </w:r>
          </w:p>
        </w:tc>
      </w:tr>
      <w:tr>
        <w:trPr>
          <w:trHeight w:val="20"/>
        </w:trPr>
        <w:tc>
          <w:tcPr>
            <w:tcW w:w="2437" w:type="dxa"/>
            <w:tcBorders>
              <w:top w:val="nil"/>
              <w:left w:val="nil"/>
              <w:bottom w:val="single" w:sz="4" w:space="0" w:color="auto"/>
              <w:right w:val="nil"/>
            </w:tcBorders>
            <w:shd w:val="clear" w:color="auto" w:fill="auto"/>
            <w:vAlign w:val="center"/>
          </w:tcPr>
          <w:p>
            <w:pPr>
              <w:jc w:val="both"/>
              <w:rPr>
                <w:rFonts w:ascii="Arial" w:hAnsi="Arial" w:cs="Arial"/>
                <w:color w:val="000000"/>
                <w:sz w:val="20"/>
                <w:szCs w:val="20"/>
              </w:rPr>
            </w:pPr>
            <w:r>
              <w:rPr>
                <w:rFonts w:ascii="Arial" w:hAnsi="Arial" w:cs="Arial"/>
                <w:color w:val="000000" w:themeColor="text1"/>
                <w:sz w:val="20"/>
                <w:szCs w:val="20"/>
              </w:rPr>
              <w:t>Obligations</w:t>
            </w:r>
          </w:p>
        </w:tc>
        <w:tc>
          <w:tcPr>
            <w:tcW w:w="1980" w:type="dxa"/>
            <w:tcBorders>
              <w:top w:val="nil"/>
              <w:left w:val="nil"/>
              <w:bottom w:val="single" w:sz="4" w:space="0" w:color="auto"/>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21,695,997,966.03</w:t>
            </w:r>
          </w:p>
        </w:tc>
        <w:tc>
          <w:tcPr>
            <w:tcW w:w="1989" w:type="dxa"/>
            <w:tcBorders>
              <w:top w:val="nil"/>
              <w:left w:val="nil"/>
              <w:bottom w:val="single" w:sz="4" w:space="0" w:color="auto"/>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20,506,127,301.87</w:t>
            </w:r>
          </w:p>
        </w:tc>
        <w:tc>
          <w:tcPr>
            <w:tcW w:w="2032" w:type="dxa"/>
            <w:tcBorders>
              <w:top w:val="nil"/>
              <w:left w:val="nil"/>
              <w:bottom w:val="single" w:sz="4" w:space="0" w:color="auto"/>
              <w:right w:val="nil"/>
            </w:tcBorders>
            <w:shd w:val="clear" w:color="auto" w:fill="auto"/>
            <w:vAlign w:val="center"/>
          </w:tcPr>
          <w:p>
            <w:pPr>
              <w:ind w:right="90"/>
              <w:jc w:val="right"/>
              <w:rPr>
                <w:rFonts w:ascii="Arial" w:hAnsi="Arial" w:cs="Arial"/>
                <w:color w:val="000000"/>
                <w:sz w:val="20"/>
                <w:szCs w:val="20"/>
              </w:rPr>
            </w:pPr>
            <w:r>
              <w:rPr>
                <w:rFonts w:ascii="Arial" w:hAnsi="Arial" w:cs="Arial"/>
                <w:color w:val="000000"/>
                <w:sz w:val="20"/>
                <w:szCs w:val="20"/>
              </w:rPr>
              <w:t>1,189,870,664.16</w:t>
            </w:r>
          </w:p>
        </w:tc>
      </w:tr>
    </w:tbl>
    <w:p>
      <w:pPr>
        <w:pStyle w:val="NoSpacing"/>
        <w:ind w:left="540"/>
        <w:jc w:val="both"/>
        <w:rPr>
          <w:rFonts w:ascii="Arial" w:hAnsi="Arial" w:cs="Arial"/>
        </w:rPr>
      </w:pPr>
    </w:p>
    <w:p>
      <w:pPr>
        <w:pStyle w:val="NoSpacing"/>
        <w:ind w:left="540"/>
        <w:jc w:val="both"/>
        <w:rPr>
          <w:rFonts w:ascii="Arial" w:hAnsi="Arial" w:cs="Arial"/>
        </w:rPr>
      </w:pPr>
      <w:r>
        <w:rPr>
          <w:rFonts w:ascii="Arial" w:hAnsi="Arial" w:cs="Arial"/>
        </w:rPr>
        <w:t>The total income of P21.290 billion collected during the year was sourced from the following:</w:t>
      </w:r>
    </w:p>
    <w:p>
      <w:pPr>
        <w:pStyle w:val="NoSpacing"/>
        <w:ind w:left="540"/>
        <w:jc w:val="both"/>
        <w:rPr>
          <w:rFonts w:ascii="Arial" w:hAnsi="Arial" w:cs="Arial"/>
        </w:rPr>
      </w:pPr>
    </w:p>
    <w:tbl>
      <w:tblPr>
        <w:tblW w:w="8460" w:type="dxa"/>
        <w:tblInd w:w="540" w:type="dxa"/>
        <w:tblLayout w:type="fixed"/>
        <w:tblCellMar>
          <w:left w:w="0" w:type="dxa"/>
          <w:right w:w="0" w:type="dxa"/>
        </w:tblCellMar>
        <w:tblLook w:val="04A0" w:firstRow="1" w:lastRow="0" w:firstColumn="1" w:lastColumn="0" w:noHBand="0" w:noVBand="1"/>
      </w:tblPr>
      <w:tblGrid>
        <w:gridCol w:w="2250"/>
        <w:gridCol w:w="2160"/>
        <w:gridCol w:w="1980"/>
        <w:gridCol w:w="2070"/>
      </w:tblGrid>
      <w:tr>
        <w:trPr>
          <w:trHeight w:val="20"/>
          <w:tblHeader/>
        </w:trPr>
        <w:tc>
          <w:tcPr>
            <w:tcW w:w="2250" w:type="dxa"/>
            <w:tcBorders>
              <w:top w:val="single" w:sz="4" w:space="0" w:color="auto"/>
              <w:left w:val="nil"/>
              <w:bottom w:val="single" w:sz="4" w:space="0" w:color="auto"/>
              <w:right w:val="nil"/>
            </w:tcBorders>
            <w:shd w:val="clear" w:color="auto" w:fill="auto"/>
            <w:noWrap/>
            <w:vAlign w:val="center"/>
          </w:tcPr>
          <w:p>
            <w:pPr>
              <w:jc w:val="center"/>
              <w:rPr>
                <w:rFonts w:ascii="Arial" w:hAnsi="Arial" w:cs="Arial"/>
                <w:b/>
                <w:bCs/>
                <w:color w:val="000000"/>
                <w:sz w:val="20"/>
                <w:szCs w:val="20"/>
              </w:rPr>
            </w:pPr>
            <w:r>
              <w:rPr>
                <w:rFonts w:ascii="Arial" w:hAnsi="Arial" w:cs="Arial"/>
                <w:b/>
                <w:bCs/>
                <w:color w:val="000000"/>
                <w:sz w:val="20"/>
                <w:szCs w:val="20"/>
              </w:rPr>
              <w:t>Particulars</w:t>
            </w:r>
          </w:p>
        </w:tc>
        <w:tc>
          <w:tcPr>
            <w:tcW w:w="2160" w:type="dxa"/>
            <w:tcBorders>
              <w:top w:val="single" w:sz="4" w:space="0" w:color="auto"/>
              <w:left w:val="nil"/>
              <w:bottom w:val="single" w:sz="4" w:space="0" w:color="auto"/>
              <w:right w:val="nil"/>
            </w:tcBorders>
            <w:shd w:val="clear" w:color="auto" w:fill="auto"/>
            <w:noWrap/>
            <w:vAlign w:val="center"/>
          </w:tcPr>
          <w:p>
            <w:pPr>
              <w:jc w:val="center"/>
              <w:rPr>
                <w:rFonts w:ascii="Arial" w:hAnsi="Arial" w:cs="Arial"/>
                <w:b/>
                <w:bCs/>
                <w:color w:val="000000"/>
                <w:sz w:val="20"/>
                <w:szCs w:val="20"/>
              </w:rPr>
            </w:pPr>
            <w:r>
              <w:rPr>
                <w:rFonts w:ascii="Arial" w:hAnsi="Arial" w:cs="Arial"/>
                <w:b/>
                <w:bCs/>
                <w:color w:val="000000"/>
                <w:sz w:val="20"/>
                <w:szCs w:val="20"/>
              </w:rPr>
              <w:t xml:space="preserve"> GF </w:t>
            </w:r>
          </w:p>
        </w:tc>
        <w:tc>
          <w:tcPr>
            <w:tcW w:w="1980"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sz w:val="20"/>
                <w:szCs w:val="20"/>
              </w:rPr>
              <w:t>SEF</w:t>
            </w:r>
          </w:p>
        </w:tc>
        <w:tc>
          <w:tcPr>
            <w:tcW w:w="2070" w:type="dxa"/>
            <w:tcBorders>
              <w:top w:val="single" w:sz="4" w:space="0" w:color="auto"/>
              <w:left w:val="nil"/>
              <w:bottom w:val="single" w:sz="4" w:space="0" w:color="auto"/>
              <w:right w:val="nil"/>
            </w:tcBorders>
            <w:shd w:val="clear" w:color="auto" w:fill="auto"/>
            <w:noWrap/>
            <w:vAlign w:val="center"/>
          </w:tcPr>
          <w:p>
            <w:pPr>
              <w:jc w:val="center"/>
              <w:rPr>
                <w:rFonts w:ascii="Arial" w:hAnsi="Arial" w:cs="Arial"/>
                <w:b/>
                <w:bCs/>
                <w:color w:val="000000"/>
                <w:sz w:val="20"/>
                <w:szCs w:val="20"/>
              </w:rPr>
            </w:pPr>
            <w:r>
              <w:rPr>
                <w:rFonts w:ascii="Arial" w:hAnsi="Arial" w:cs="Arial"/>
                <w:b/>
                <w:bCs/>
                <w:color w:val="000000"/>
                <w:sz w:val="20"/>
                <w:szCs w:val="20"/>
              </w:rPr>
              <w:t xml:space="preserve"> Total </w:t>
            </w:r>
          </w:p>
        </w:tc>
      </w:tr>
      <w:tr>
        <w:trPr>
          <w:trHeight w:val="20"/>
        </w:trPr>
        <w:tc>
          <w:tcPr>
            <w:tcW w:w="2250" w:type="dxa"/>
            <w:tcBorders>
              <w:top w:val="nil"/>
              <w:left w:val="nil"/>
              <w:bottom w:val="nil"/>
              <w:right w:val="nil"/>
            </w:tcBorders>
            <w:shd w:val="clear" w:color="auto" w:fill="auto"/>
          </w:tcPr>
          <w:p>
            <w:pPr>
              <w:ind w:left="169" w:hanging="169"/>
              <w:jc w:val="both"/>
              <w:rPr>
                <w:rFonts w:ascii="Arial" w:hAnsi="Arial" w:cs="Arial"/>
                <w:color w:val="000000"/>
                <w:sz w:val="20"/>
                <w:szCs w:val="20"/>
              </w:rPr>
            </w:pPr>
            <w:r>
              <w:rPr>
                <w:rFonts w:ascii="Arial" w:hAnsi="Arial" w:cs="Arial"/>
                <w:color w:val="000000"/>
                <w:sz w:val="20"/>
                <w:szCs w:val="20"/>
              </w:rPr>
              <w:t>Tax Revenue</w:t>
            </w:r>
          </w:p>
        </w:tc>
        <w:tc>
          <w:tcPr>
            <w:tcW w:w="216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11,917,984,802.80</w:t>
            </w:r>
          </w:p>
        </w:tc>
        <w:tc>
          <w:tcPr>
            <w:tcW w:w="198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3,437,188,557.27</w:t>
            </w:r>
          </w:p>
        </w:tc>
        <w:tc>
          <w:tcPr>
            <w:tcW w:w="207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15,355,173,360.07</w:t>
            </w:r>
          </w:p>
        </w:tc>
      </w:tr>
      <w:tr>
        <w:trPr>
          <w:trHeight w:val="20"/>
        </w:trPr>
        <w:tc>
          <w:tcPr>
            <w:tcW w:w="2250" w:type="dxa"/>
            <w:tcBorders>
              <w:top w:val="nil"/>
              <w:left w:val="nil"/>
              <w:bottom w:val="nil"/>
              <w:right w:val="nil"/>
            </w:tcBorders>
            <w:shd w:val="clear" w:color="auto" w:fill="auto"/>
          </w:tcPr>
          <w:p>
            <w:pPr>
              <w:ind w:left="169" w:hanging="169"/>
              <w:jc w:val="both"/>
              <w:rPr>
                <w:rFonts w:ascii="Arial" w:hAnsi="Arial" w:cs="Arial"/>
                <w:color w:val="000000"/>
                <w:sz w:val="20"/>
                <w:szCs w:val="20"/>
              </w:rPr>
            </w:pPr>
            <w:r>
              <w:rPr>
                <w:rFonts w:ascii="Arial" w:hAnsi="Arial" w:cs="Arial"/>
                <w:color w:val="000000"/>
                <w:sz w:val="20"/>
                <w:szCs w:val="20"/>
              </w:rPr>
              <w:t>Share from Internal Revenue Collections</w:t>
            </w:r>
          </w:p>
        </w:tc>
        <w:tc>
          <w:tcPr>
            <w:tcW w:w="216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4,249,406,041.00</w:t>
            </w:r>
          </w:p>
        </w:tc>
        <w:tc>
          <w:tcPr>
            <w:tcW w:w="198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w:t>
            </w:r>
          </w:p>
        </w:tc>
        <w:tc>
          <w:tcPr>
            <w:tcW w:w="207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4,249,406,041.00</w:t>
            </w:r>
          </w:p>
        </w:tc>
      </w:tr>
      <w:tr>
        <w:trPr>
          <w:trHeight w:val="20"/>
        </w:trPr>
        <w:tc>
          <w:tcPr>
            <w:tcW w:w="2250" w:type="dxa"/>
            <w:tcBorders>
              <w:top w:val="nil"/>
              <w:left w:val="nil"/>
              <w:bottom w:val="nil"/>
              <w:right w:val="nil"/>
            </w:tcBorders>
            <w:shd w:val="clear" w:color="auto" w:fill="auto"/>
          </w:tcPr>
          <w:p>
            <w:pPr>
              <w:ind w:left="169" w:hanging="169"/>
              <w:jc w:val="both"/>
              <w:rPr>
                <w:rFonts w:ascii="Arial" w:hAnsi="Arial" w:cs="Arial"/>
                <w:color w:val="000000"/>
                <w:sz w:val="20"/>
                <w:szCs w:val="20"/>
              </w:rPr>
            </w:pPr>
            <w:r>
              <w:rPr>
                <w:rFonts w:ascii="Arial" w:hAnsi="Arial" w:cs="Arial"/>
                <w:color w:val="000000"/>
                <w:sz w:val="20"/>
                <w:szCs w:val="20"/>
              </w:rPr>
              <w:lastRenderedPageBreak/>
              <w:t>Service and Business Income</w:t>
            </w:r>
          </w:p>
        </w:tc>
        <w:tc>
          <w:tcPr>
            <w:tcW w:w="216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1,579,700,732.00</w:t>
            </w:r>
          </w:p>
        </w:tc>
        <w:tc>
          <w:tcPr>
            <w:tcW w:w="198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16,331,520.28</w:t>
            </w:r>
          </w:p>
        </w:tc>
        <w:tc>
          <w:tcPr>
            <w:tcW w:w="207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1,596,032,252.28</w:t>
            </w:r>
          </w:p>
        </w:tc>
      </w:tr>
      <w:tr>
        <w:trPr>
          <w:trHeight w:val="20"/>
        </w:trPr>
        <w:tc>
          <w:tcPr>
            <w:tcW w:w="2250" w:type="dxa"/>
            <w:tcBorders>
              <w:top w:val="nil"/>
              <w:left w:val="nil"/>
              <w:bottom w:val="nil"/>
              <w:right w:val="nil"/>
            </w:tcBorders>
            <w:shd w:val="clear" w:color="auto" w:fill="auto"/>
          </w:tcPr>
          <w:p>
            <w:pPr>
              <w:ind w:left="169" w:hanging="169"/>
              <w:jc w:val="both"/>
              <w:rPr>
                <w:rFonts w:ascii="Arial" w:hAnsi="Arial" w:cs="Arial"/>
                <w:color w:val="000000"/>
                <w:sz w:val="20"/>
                <w:szCs w:val="20"/>
              </w:rPr>
            </w:pPr>
            <w:r>
              <w:rPr>
                <w:rFonts w:ascii="Arial" w:hAnsi="Arial" w:cs="Arial"/>
                <w:color w:val="000000"/>
                <w:sz w:val="20"/>
                <w:szCs w:val="20"/>
              </w:rPr>
              <w:t>Shares, Grants and Donations</w:t>
            </w:r>
          </w:p>
        </w:tc>
        <w:tc>
          <w:tcPr>
            <w:tcW w:w="216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69,183,724.78</w:t>
            </w:r>
          </w:p>
        </w:tc>
        <w:tc>
          <w:tcPr>
            <w:tcW w:w="198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w:t>
            </w:r>
          </w:p>
        </w:tc>
        <w:tc>
          <w:tcPr>
            <w:tcW w:w="207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69,183,724.78</w:t>
            </w:r>
          </w:p>
        </w:tc>
      </w:tr>
      <w:tr>
        <w:trPr>
          <w:trHeight w:val="20"/>
        </w:trPr>
        <w:tc>
          <w:tcPr>
            <w:tcW w:w="2250" w:type="dxa"/>
            <w:tcBorders>
              <w:top w:val="nil"/>
              <w:left w:val="nil"/>
              <w:bottom w:val="nil"/>
              <w:right w:val="nil"/>
            </w:tcBorders>
            <w:shd w:val="clear" w:color="auto" w:fill="auto"/>
          </w:tcPr>
          <w:p>
            <w:pPr>
              <w:ind w:left="169" w:hanging="169"/>
              <w:jc w:val="both"/>
              <w:rPr>
                <w:rFonts w:ascii="Arial" w:hAnsi="Arial" w:cs="Arial"/>
                <w:color w:val="000000"/>
                <w:sz w:val="20"/>
                <w:szCs w:val="20"/>
              </w:rPr>
            </w:pPr>
            <w:r>
              <w:rPr>
                <w:rFonts w:ascii="Arial" w:hAnsi="Arial" w:cs="Arial"/>
                <w:color w:val="000000"/>
                <w:sz w:val="20"/>
                <w:szCs w:val="20"/>
              </w:rPr>
              <w:t>Gain on Sale of Assets</w:t>
            </w:r>
          </w:p>
        </w:tc>
        <w:tc>
          <w:tcPr>
            <w:tcW w:w="216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14,055,323.94</w:t>
            </w:r>
          </w:p>
        </w:tc>
        <w:tc>
          <w:tcPr>
            <w:tcW w:w="198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w:t>
            </w:r>
          </w:p>
        </w:tc>
        <w:tc>
          <w:tcPr>
            <w:tcW w:w="207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14,055,323.94</w:t>
            </w:r>
          </w:p>
        </w:tc>
      </w:tr>
      <w:tr>
        <w:trPr>
          <w:trHeight w:val="20"/>
        </w:trPr>
        <w:tc>
          <w:tcPr>
            <w:tcW w:w="2250" w:type="dxa"/>
            <w:tcBorders>
              <w:top w:val="nil"/>
              <w:left w:val="nil"/>
              <w:bottom w:val="nil"/>
              <w:right w:val="nil"/>
            </w:tcBorders>
            <w:shd w:val="clear" w:color="auto" w:fill="auto"/>
          </w:tcPr>
          <w:p>
            <w:pPr>
              <w:ind w:left="169" w:hanging="169"/>
              <w:jc w:val="both"/>
              <w:rPr>
                <w:rFonts w:ascii="Arial" w:hAnsi="Arial" w:cs="Arial"/>
                <w:color w:val="000000"/>
                <w:sz w:val="20"/>
                <w:szCs w:val="20"/>
              </w:rPr>
            </w:pPr>
            <w:r>
              <w:rPr>
                <w:rFonts w:ascii="Arial" w:hAnsi="Arial" w:cs="Arial"/>
                <w:color w:val="000000"/>
                <w:sz w:val="20"/>
                <w:szCs w:val="20"/>
              </w:rPr>
              <w:t>Miscellaneous Income</w:t>
            </w:r>
          </w:p>
        </w:tc>
        <w:tc>
          <w:tcPr>
            <w:tcW w:w="216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 xml:space="preserve"> 6,094,704.86 </w:t>
            </w:r>
          </w:p>
        </w:tc>
        <w:tc>
          <w:tcPr>
            <w:tcW w:w="198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w:t>
            </w:r>
          </w:p>
        </w:tc>
        <w:tc>
          <w:tcPr>
            <w:tcW w:w="2070" w:type="dxa"/>
            <w:tcBorders>
              <w:top w:val="nil"/>
              <w:left w:val="nil"/>
              <w:bottom w:val="nil"/>
              <w:right w:val="nil"/>
            </w:tcBorders>
            <w:shd w:val="clear" w:color="auto" w:fill="auto"/>
            <w:noWrap/>
          </w:tcPr>
          <w:p>
            <w:pPr>
              <w:ind w:right="90"/>
              <w:jc w:val="right"/>
              <w:rPr>
                <w:rFonts w:ascii="Arial" w:hAnsi="Arial" w:cs="Arial"/>
                <w:color w:val="000000"/>
                <w:sz w:val="20"/>
                <w:szCs w:val="20"/>
              </w:rPr>
            </w:pPr>
            <w:r>
              <w:rPr>
                <w:rFonts w:ascii="Arial" w:hAnsi="Arial" w:cs="Arial"/>
                <w:color w:val="000000"/>
                <w:sz w:val="20"/>
                <w:szCs w:val="20"/>
              </w:rPr>
              <w:t>6,094,704.86</w:t>
            </w:r>
          </w:p>
        </w:tc>
      </w:tr>
      <w:tr>
        <w:trPr>
          <w:trHeight w:val="20"/>
        </w:trPr>
        <w:tc>
          <w:tcPr>
            <w:tcW w:w="2250" w:type="dxa"/>
            <w:tcBorders>
              <w:top w:val="single" w:sz="4" w:space="0" w:color="auto"/>
              <w:left w:val="nil"/>
              <w:bottom w:val="single" w:sz="4" w:space="0" w:color="auto"/>
              <w:right w:val="nil"/>
            </w:tcBorders>
            <w:shd w:val="clear" w:color="auto" w:fill="auto"/>
            <w:vAlign w:val="center"/>
          </w:tcPr>
          <w:p>
            <w:pPr>
              <w:jc w:val="center"/>
              <w:rPr>
                <w:rFonts w:ascii="Arial" w:hAnsi="Arial" w:cs="Arial"/>
                <w:b/>
                <w:bCs/>
                <w:color w:val="000000"/>
                <w:sz w:val="20"/>
                <w:szCs w:val="20"/>
              </w:rPr>
            </w:pPr>
            <w:r>
              <w:rPr>
                <w:rFonts w:ascii="Arial" w:hAnsi="Arial" w:cs="Arial"/>
                <w:b/>
                <w:bCs/>
                <w:color w:val="000000"/>
                <w:sz w:val="20"/>
                <w:szCs w:val="20"/>
              </w:rPr>
              <w:t>Total</w:t>
            </w:r>
          </w:p>
        </w:tc>
        <w:tc>
          <w:tcPr>
            <w:tcW w:w="2160" w:type="dxa"/>
            <w:tcBorders>
              <w:top w:val="single" w:sz="4" w:space="0" w:color="auto"/>
              <w:left w:val="nil"/>
              <w:bottom w:val="single" w:sz="4" w:space="0" w:color="auto"/>
              <w:right w:val="nil"/>
            </w:tcBorders>
            <w:shd w:val="clear" w:color="auto" w:fill="auto"/>
            <w:noWrap/>
          </w:tcPr>
          <w:p>
            <w:pPr>
              <w:ind w:right="90"/>
              <w:jc w:val="right"/>
              <w:rPr>
                <w:rFonts w:ascii="Arial" w:hAnsi="Arial" w:cs="Arial"/>
                <w:b/>
                <w:bCs/>
                <w:color w:val="000000"/>
                <w:sz w:val="20"/>
                <w:szCs w:val="20"/>
              </w:rPr>
            </w:pPr>
            <w:r>
              <w:rPr>
                <w:rFonts w:ascii="Arial" w:hAnsi="Arial" w:cs="Arial"/>
                <w:b/>
                <w:bCs/>
                <w:color w:val="000000"/>
                <w:sz w:val="20"/>
                <w:szCs w:val="20"/>
              </w:rPr>
              <w:t>17,836,425,329.38</w:t>
            </w:r>
          </w:p>
        </w:tc>
        <w:tc>
          <w:tcPr>
            <w:tcW w:w="1980" w:type="dxa"/>
            <w:tcBorders>
              <w:top w:val="single" w:sz="4" w:space="0" w:color="auto"/>
              <w:left w:val="nil"/>
              <w:bottom w:val="single" w:sz="4" w:space="0" w:color="auto"/>
              <w:right w:val="nil"/>
            </w:tcBorders>
            <w:shd w:val="clear" w:color="auto" w:fill="auto"/>
            <w:noWrap/>
          </w:tcPr>
          <w:p>
            <w:pPr>
              <w:ind w:right="90"/>
              <w:jc w:val="right"/>
              <w:rPr>
                <w:rFonts w:ascii="Arial" w:hAnsi="Arial" w:cs="Arial"/>
                <w:b/>
                <w:bCs/>
                <w:color w:val="000000"/>
                <w:sz w:val="20"/>
                <w:szCs w:val="20"/>
              </w:rPr>
            </w:pPr>
            <w:r>
              <w:rPr>
                <w:rFonts w:ascii="Arial" w:hAnsi="Arial" w:cs="Arial"/>
                <w:b/>
                <w:bCs/>
                <w:color w:val="000000"/>
                <w:sz w:val="20"/>
                <w:szCs w:val="20"/>
              </w:rPr>
              <w:t>3,453,520,077.55</w:t>
            </w:r>
          </w:p>
        </w:tc>
        <w:tc>
          <w:tcPr>
            <w:tcW w:w="2070" w:type="dxa"/>
            <w:tcBorders>
              <w:top w:val="single" w:sz="4" w:space="0" w:color="auto"/>
              <w:left w:val="nil"/>
              <w:bottom w:val="single" w:sz="4" w:space="0" w:color="auto"/>
              <w:right w:val="nil"/>
            </w:tcBorders>
            <w:shd w:val="clear" w:color="auto" w:fill="auto"/>
            <w:noWrap/>
          </w:tcPr>
          <w:p>
            <w:pPr>
              <w:ind w:right="90"/>
              <w:jc w:val="right"/>
              <w:rPr>
                <w:rFonts w:ascii="Arial" w:hAnsi="Arial" w:cs="Arial"/>
                <w:b/>
                <w:bCs/>
                <w:color w:val="000000"/>
                <w:sz w:val="20"/>
                <w:szCs w:val="20"/>
              </w:rPr>
            </w:pPr>
            <w:r>
              <w:rPr>
                <w:rFonts w:ascii="Arial" w:hAnsi="Arial" w:cs="Arial"/>
                <w:b/>
                <w:bCs/>
                <w:color w:val="000000"/>
                <w:sz w:val="20"/>
                <w:szCs w:val="20"/>
              </w:rPr>
              <w:t>21,289,945,406.93</w:t>
            </w:r>
          </w:p>
        </w:tc>
      </w:tr>
    </w:tbl>
    <w:p>
      <w:pPr>
        <w:pStyle w:val="NoSpacing"/>
        <w:ind w:left="540"/>
        <w:jc w:val="both"/>
        <w:rPr>
          <w:rFonts w:ascii="Arial" w:hAnsi="Arial" w:cs="Arial"/>
        </w:rPr>
      </w:pPr>
    </w:p>
    <w:p>
      <w:pPr>
        <w:pStyle w:val="NoSpacing"/>
        <w:ind w:left="450"/>
        <w:jc w:val="both"/>
        <w:rPr>
          <w:rFonts w:ascii="Arial" w:hAnsi="Arial" w:cs="Arial"/>
        </w:rPr>
      </w:pPr>
    </w:p>
    <w:p>
      <w:pPr>
        <w:pStyle w:val="ListParagraph"/>
        <w:numPr>
          <w:ilvl w:val="0"/>
          <w:numId w:val="1"/>
        </w:numPr>
        <w:ind w:left="540" w:hanging="540"/>
        <w:jc w:val="both"/>
        <w:rPr>
          <w:rFonts w:ascii="Arial" w:hAnsi="Arial" w:cs="Arial"/>
          <w:b/>
          <w:sz w:val="22"/>
          <w:szCs w:val="22"/>
        </w:rPr>
      </w:pPr>
      <w:r>
        <w:rPr>
          <w:rFonts w:ascii="Arial" w:hAnsi="Arial" w:cs="Arial"/>
          <w:b/>
          <w:sz w:val="22"/>
          <w:szCs w:val="22"/>
        </w:rPr>
        <w:t>Operational Highlights</w:t>
      </w:r>
    </w:p>
    <w:p>
      <w:pPr>
        <w:pStyle w:val="NoSpacing"/>
        <w:ind w:left="450"/>
        <w:jc w:val="both"/>
        <w:rPr>
          <w:rFonts w:ascii="Arial" w:hAnsi="Arial" w:cs="Arial"/>
        </w:rPr>
      </w:pPr>
    </w:p>
    <w:p>
      <w:pPr>
        <w:pStyle w:val="NoSpacing"/>
        <w:ind w:left="540"/>
        <w:jc w:val="both"/>
        <w:rPr>
          <w:rFonts w:ascii="Arial" w:hAnsi="Arial" w:cs="Arial"/>
        </w:rPr>
      </w:pPr>
      <w:r>
        <w:rPr>
          <w:rFonts w:ascii="Arial" w:hAnsi="Arial" w:cs="Arial"/>
          <w:lang w:val="en-PH"/>
        </w:rPr>
        <w:t xml:space="preserve">The City reported, among others, the following </w:t>
      </w:r>
      <w:r>
        <w:rPr>
          <w:rFonts w:ascii="Arial" w:hAnsi="Arial" w:cs="Arial"/>
        </w:rPr>
        <w:t>significant accomplishments</w:t>
      </w:r>
      <w:r>
        <w:rPr>
          <w:rFonts w:ascii="Arial" w:hAnsi="Arial" w:cs="Arial"/>
          <w:lang w:val="en-PH"/>
        </w:rPr>
        <w:t xml:space="preserve"> in </w:t>
      </w:r>
      <w:r>
        <w:rPr>
          <w:rFonts w:ascii="Arial" w:hAnsi="Arial" w:cs="Arial"/>
          <w:lang w:val="en-PH"/>
        </w:rPr>
        <w:br/>
        <w:t>CY 2023:</w:t>
      </w:r>
    </w:p>
    <w:p>
      <w:pPr>
        <w:pStyle w:val="NoSpacing"/>
        <w:ind w:left="1260"/>
        <w:jc w:val="both"/>
        <w:rPr>
          <w:rFonts w:ascii="Arial" w:hAnsi="Arial" w:cs="Arial"/>
        </w:rPr>
      </w:pPr>
    </w:p>
    <w:p>
      <w:pPr>
        <w:pStyle w:val="NoSpacing"/>
        <w:numPr>
          <w:ilvl w:val="0"/>
          <w:numId w:val="2"/>
        </w:numPr>
        <w:ind w:left="900" w:hanging="360"/>
        <w:jc w:val="both"/>
        <w:rPr>
          <w:rFonts w:ascii="Arial" w:hAnsi="Arial" w:cs="Arial"/>
        </w:rPr>
      </w:pPr>
      <w:r>
        <w:rPr>
          <w:rFonts w:ascii="Arial" w:hAnsi="Arial" w:cs="Arial"/>
        </w:rPr>
        <w:t>Continued mass vaccination at various vaccination centers within the City;</w:t>
      </w:r>
    </w:p>
    <w:p>
      <w:pPr>
        <w:pStyle w:val="NoSpacing"/>
        <w:numPr>
          <w:ilvl w:val="0"/>
          <w:numId w:val="2"/>
        </w:numPr>
        <w:ind w:left="900" w:hanging="360"/>
        <w:jc w:val="both"/>
        <w:rPr>
          <w:rFonts w:ascii="Arial" w:hAnsi="Arial" w:cs="Arial"/>
        </w:rPr>
      </w:pPr>
      <w:r>
        <w:rPr>
          <w:rFonts w:ascii="Arial" w:hAnsi="Arial" w:cs="Arial"/>
        </w:rPr>
        <w:t>Kalinga sa Manila Project to six districts of Manila;</w:t>
      </w:r>
    </w:p>
    <w:p>
      <w:pPr>
        <w:pStyle w:val="NoSpacing"/>
        <w:numPr>
          <w:ilvl w:val="0"/>
          <w:numId w:val="2"/>
        </w:numPr>
        <w:ind w:left="900" w:hanging="360"/>
        <w:jc w:val="both"/>
        <w:rPr>
          <w:rFonts w:ascii="Arial" w:hAnsi="Arial" w:cs="Arial"/>
        </w:rPr>
      </w:pPr>
      <w:r>
        <w:rPr>
          <w:rFonts w:ascii="Arial" w:hAnsi="Arial" w:cs="Arial"/>
        </w:rPr>
        <w:t>Distribution of monetary assistance to families affected by multiple fire incidents;</w:t>
      </w:r>
    </w:p>
    <w:p>
      <w:pPr>
        <w:pStyle w:val="NoSpacing"/>
        <w:numPr>
          <w:ilvl w:val="0"/>
          <w:numId w:val="2"/>
        </w:numPr>
        <w:ind w:left="900" w:hanging="360"/>
        <w:jc w:val="both"/>
        <w:rPr>
          <w:rFonts w:ascii="Arial" w:hAnsi="Arial" w:cs="Arial"/>
        </w:rPr>
      </w:pPr>
      <w:r>
        <w:rPr>
          <w:rFonts w:ascii="Arial" w:hAnsi="Arial" w:cs="Arial"/>
        </w:rPr>
        <w:t>Distribution of Christmas food boxes to six districts of Manila;</w:t>
      </w:r>
    </w:p>
    <w:p>
      <w:pPr>
        <w:pStyle w:val="NoSpacing"/>
        <w:numPr>
          <w:ilvl w:val="0"/>
          <w:numId w:val="2"/>
        </w:numPr>
        <w:ind w:left="900" w:hanging="360"/>
        <w:jc w:val="both"/>
        <w:rPr>
          <w:rFonts w:ascii="Arial" w:hAnsi="Arial" w:cs="Arial"/>
        </w:rPr>
      </w:pPr>
      <w:r>
        <w:rPr>
          <w:rFonts w:ascii="Arial" w:hAnsi="Arial" w:cs="Arial"/>
          <w:lang w:val="en-PH"/>
        </w:rPr>
        <w:t xml:space="preserve">Construction/ </w:t>
      </w:r>
      <w:r>
        <w:rPr>
          <w:rFonts w:ascii="Arial" w:hAnsi="Arial" w:cs="Arial"/>
        </w:rPr>
        <w:t>repair/ rehabilitation/ improvement/ upgrading</w:t>
      </w:r>
      <w:r>
        <w:rPr>
          <w:rFonts w:ascii="Arial" w:hAnsi="Arial" w:cs="Arial"/>
          <w:lang w:val="en-PH"/>
        </w:rPr>
        <w:t>/ installation</w:t>
      </w:r>
      <w:r>
        <w:rPr>
          <w:rFonts w:ascii="Arial" w:hAnsi="Arial" w:cs="Arial"/>
        </w:rPr>
        <w:t xml:space="preserve"> of various structures and facilities</w:t>
      </w:r>
      <w:r>
        <w:rPr>
          <w:rFonts w:ascii="Arial" w:hAnsi="Arial" w:cs="Arial"/>
          <w:lang w:val="en-PH"/>
        </w:rPr>
        <w:t xml:space="preserve">: </w:t>
      </w:r>
    </w:p>
    <w:p>
      <w:pPr>
        <w:pStyle w:val="NoSpacing"/>
        <w:numPr>
          <w:ilvl w:val="0"/>
          <w:numId w:val="3"/>
        </w:numPr>
        <w:jc w:val="both"/>
        <w:rPr>
          <w:rFonts w:ascii="Arial" w:hAnsi="Arial" w:cs="Arial"/>
        </w:rPr>
      </w:pPr>
      <w:r>
        <w:rPr>
          <w:rFonts w:ascii="Arial" w:hAnsi="Arial" w:cs="Arial"/>
        </w:rPr>
        <w:t>Completion of the following major infrastructure projects:</w:t>
      </w:r>
    </w:p>
    <w:p>
      <w:pPr>
        <w:pStyle w:val="NoSpacing"/>
        <w:numPr>
          <w:ilvl w:val="0"/>
          <w:numId w:val="4"/>
        </w:numPr>
        <w:ind w:left="1620"/>
        <w:jc w:val="both"/>
        <w:rPr>
          <w:rFonts w:ascii="Arial" w:hAnsi="Arial" w:cs="Arial"/>
        </w:rPr>
      </w:pPr>
      <w:r>
        <w:rPr>
          <w:rFonts w:ascii="Arial" w:hAnsi="Arial" w:cs="Arial"/>
        </w:rPr>
        <w:t>Construction of Manila Science High School;</w:t>
      </w:r>
    </w:p>
    <w:p>
      <w:pPr>
        <w:pStyle w:val="NoSpacing"/>
        <w:numPr>
          <w:ilvl w:val="0"/>
          <w:numId w:val="4"/>
        </w:numPr>
        <w:ind w:left="1620"/>
        <w:jc w:val="both"/>
        <w:rPr>
          <w:rFonts w:ascii="Arial" w:hAnsi="Arial" w:cs="Arial"/>
        </w:rPr>
      </w:pPr>
      <w:r>
        <w:rPr>
          <w:rFonts w:ascii="Arial" w:hAnsi="Arial" w:cs="Arial"/>
        </w:rPr>
        <w:t>Installations of Solar Studs (Phase 3);</w:t>
      </w:r>
    </w:p>
    <w:p>
      <w:pPr>
        <w:pStyle w:val="NoSpacing"/>
        <w:numPr>
          <w:ilvl w:val="0"/>
          <w:numId w:val="3"/>
        </w:numPr>
        <w:jc w:val="both"/>
        <w:rPr>
          <w:rFonts w:ascii="Arial" w:hAnsi="Arial" w:cs="Arial"/>
        </w:rPr>
      </w:pPr>
      <w:r>
        <w:rPr>
          <w:rFonts w:ascii="Arial" w:hAnsi="Arial" w:cs="Arial"/>
        </w:rPr>
        <w:t>Ongoing construction of the following projects:</w:t>
      </w:r>
    </w:p>
    <w:p>
      <w:pPr>
        <w:pStyle w:val="NoSpacing"/>
        <w:numPr>
          <w:ilvl w:val="0"/>
          <w:numId w:val="5"/>
        </w:numPr>
        <w:ind w:left="1620"/>
        <w:jc w:val="both"/>
        <w:rPr>
          <w:rFonts w:ascii="Arial" w:hAnsi="Arial" w:cs="Arial"/>
        </w:rPr>
      </w:pPr>
      <w:r>
        <w:rPr>
          <w:rFonts w:ascii="Arial" w:hAnsi="Arial" w:cs="Arial"/>
        </w:rPr>
        <w:t>Installation of traffic signal lanterns at various street intersections in the City;</w:t>
      </w:r>
    </w:p>
    <w:p>
      <w:pPr>
        <w:pStyle w:val="NoSpacing"/>
        <w:numPr>
          <w:ilvl w:val="0"/>
          <w:numId w:val="5"/>
        </w:numPr>
        <w:ind w:left="1620"/>
        <w:jc w:val="both"/>
        <w:rPr>
          <w:rFonts w:ascii="Arial" w:hAnsi="Arial" w:cs="Arial"/>
        </w:rPr>
      </w:pPr>
      <w:r>
        <w:rPr>
          <w:rFonts w:ascii="Arial" w:hAnsi="Arial" w:cs="Arial"/>
        </w:rPr>
        <w:t>Construction of Dr. Albert Elementary School;</w:t>
      </w:r>
    </w:p>
    <w:p>
      <w:pPr>
        <w:pStyle w:val="NoSpacing"/>
        <w:numPr>
          <w:ilvl w:val="0"/>
          <w:numId w:val="5"/>
        </w:numPr>
        <w:ind w:left="1620"/>
        <w:jc w:val="both"/>
        <w:rPr>
          <w:rFonts w:ascii="Arial" w:hAnsi="Arial" w:cs="Arial"/>
        </w:rPr>
      </w:pPr>
      <w:r>
        <w:rPr>
          <w:rFonts w:ascii="Arial" w:hAnsi="Arial" w:cs="Arial"/>
        </w:rPr>
        <w:t>Construction of Rosauro Almario Elementary School;</w:t>
      </w:r>
    </w:p>
    <w:p>
      <w:pPr>
        <w:pStyle w:val="NoSpacing"/>
        <w:numPr>
          <w:ilvl w:val="0"/>
          <w:numId w:val="5"/>
        </w:numPr>
        <w:ind w:left="1620"/>
        <w:jc w:val="both"/>
        <w:rPr>
          <w:rFonts w:ascii="Arial" w:hAnsi="Arial" w:cs="Arial"/>
        </w:rPr>
      </w:pPr>
      <w:r>
        <w:rPr>
          <w:rFonts w:ascii="Arial" w:hAnsi="Arial" w:cs="Arial"/>
        </w:rPr>
        <w:t>Construction of San Sebastian Residences;</w:t>
      </w:r>
    </w:p>
    <w:p>
      <w:pPr>
        <w:pStyle w:val="NoSpacing"/>
        <w:numPr>
          <w:ilvl w:val="0"/>
          <w:numId w:val="5"/>
        </w:numPr>
        <w:ind w:left="1620"/>
        <w:jc w:val="both"/>
        <w:rPr>
          <w:rFonts w:ascii="Arial" w:hAnsi="Arial" w:cs="Arial"/>
        </w:rPr>
      </w:pPr>
      <w:r>
        <w:rPr>
          <w:rFonts w:ascii="Arial" w:hAnsi="Arial" w:cs="Arial"/>
        </w:rPr>
        <w:t>Construction of Pedro Gil Residences;</w:t>
      </w:r>
    </w:p>
    <w:p>
      <w:pPr>
        <w:pStyle w:val="NoSpacing"/>
        <w:numPr>
          <w:ilvl w:val="0"/>
          <w:numId w:val="5"/>
        </w:numPr>
        <w:ind w:left="1620"/>
        <w:jc w:val="both"/>
        <w:rPr>
          <w:rFonts w:ascii="Arial" w:hAnsi="Arial" w:cs="Arial"/>
        </w:rPr>
      </w:pPr>
      <w:r>
        <w:rPr>
          <w:rFonts w:ascii="Arial" w:hAnsi="Arial" w:cs="Arial"/>
        </w:rPr>
        <w:t>Construction of San Lazaro Residences;</w:t>
      </w:r>
    </w:p>
    <w:p>
      <w:pPr>
        <w:pStyle w:val="NoSpacing"/>
        <w:numPr>
          <w:ilvl w:val="0"/>
          <w:numId w:val="5"/>
        </w:numPr>
        <w:ind w:left="1620"/>
        <w:jc w:val="both"/>
        <w:rPr>
          <w:rFonts w:ascii="Arial" w:hAnsi="Arial" w:cs="Arial"/>
        </w:rPr>
      </w:pPr>
      <w:r>
        <w:rPr>
          <w:rFonts w:ascii="Arial" w:hAnsi="Arial" w:cs="Arial"/>
        </w:rPr>
        <w:t>Construction of 10-storey, 232 classrooms school building at Ramon Magsaysay High School;</w:t>
      </w:r>
    </w:p>
    <w:p>
      <w:pPr>
        <w:pStyle w:val="NoSpacing"/>
        <w:numPr>
          <w:ilvl w:val="0"/>
          <w:numId w:val="5"/>
        </w:numPr>
        <w:ind w:left="1620"/>
        <w:jc w:val="both"/>
        <w:rPr>
          <w:rFonts w:ascii="Arial" w:hAnsi="Arial" w:cs="Arial"/>
        </w:rPr>
      </w:pPr>
      <w:r>
        <w:rPr>
          <w:rFonts w:ascii="Arial" w:hAnsi="Arial" w:cs="Arial"/>
        </w:rPr>
        <w:t>Installation of solar road studs (Phase 4);</w:t>
      </w:r>
    </w:p>
    <w:p>
      <w:pPr>
        <w:pStyle w:val="NoSpacing"/>
        <w:numPr>
          <w:ilvl w:val="0"/>
          <w:numId w:val="5"/>
        </w:numPr>
        <w:ind w:left="1620"/>
        <w:jc w:val="both"/>
        <w:rPr>
          <w:rFonts w:ascii="Arial" w:hAnsi="Arial" w:cs="Arial"/>
        </w:rPr>
      </w:pPr>
      <w:r>
        <w:rPr>
          <w:rFonts w:ascii="Arial" w:hAnsi="Arial" w:cs="Arial"/>
        </w:rPr>
        <w:t>Construction of six-storey School Building at Emilio Jacinto Elementary School; and</w:t>
      </w:r>
    </w:p>
    <w:p>
      <w:pPr>
        <w:pStyle w:val="NoSpacing"/>
        <w:numPr>
          <w:ilvl w:val="0"/>
          <w:numId w:val="5"/>
        </w:numPr>
        <w:ind w:left="1620"/>
        <w:jc w:val="both"/>
        <w:rPr>
          <w:rFonts w:ascii="Arial" w:hAnsi="Arial" w:cs="Arial"/>
        </w:rPr>
      </w:pPr>
      <w:r>
        <w:rPr>
          <w:rFonts w:ascii="Arial" w:hAnsi="Arial" w:cs="Arial"/>
        </w:rPr>
        <w:t>Construction of six-storey School Building at Aurora A. Quezon Elementary School.</w:t>
      </w:r>
    </w:p>
    <w:p>
      <w:pPr>
        <w:pStyle w:val="NoSpacing"/>
        <w:ind w:left="1260"/>
        <w:jc w:val="both"/>
        <w:rPr>
          <w:rFonts w:ascii="Arial" w:hAnsi="Arial" w:cs="Arial"/>
        </w:rPr>
      </w:pPr>
    </w:p>
    <w:p>
      <w:pPr>
        <w:pStyle w:val="NoSpacing"/>
        <w:ind w:left="540"/>
        <w:jc w:val="both"/>
        <w:rPr>
          <w:rFonts w:ascii="Arial" w:hAnsi="Arial" w:cs="Arial"/>
        </w:rPr>
      </w:pPr>
      <w:r>
        <w:rPr>
          <w:rFonts w:ascii="Arial" w:hAnsi="Arial" w:cs="Arial"/>
          <w:lang w:val="en-PH"/>
        </w:rPr>
        <w:t>In the same year, t</w:t>
      </w:r>
      <w:r>
        <w:rPr>
          <w:rFonts w:ascii="Arial" w:hAnsi="Arial" w:cs="Arial"/>
        </w:rPr>
        <w:t xml:space="preserve">he City </w:t>
      </w:r>
      <w:r>
        <w:rPr>
          <w:rFonts w:ascii="Arial" w:hAnsi="Arial" w:cs="Arial"/>
          <w:lang w:val="en-PH"/>
        </w:rPr>
        <w:t xml:space="preserve">received </w:t>
      </w:r>
      <w:r>
        <w:rPr>
          <w:rFonts w:ascii="Arial" w:hAnsi="Arial" w:cs="Arial"/>
        </w:rPr>
        <w:t>the 2023 I-ACT Magiting na Lingkod Award.</w:t>
      </w:r>
    </w:p>
    <w:p>
      <w:pPr>
        <w:pStyle w:val="NoSpacing"/>
        <w:ind w:left="1260"/>
        <w:jc w:val="both"/>
        <w:rPr>
          <w:rFonts w:ascii="Arial" w:hAnsi="Arial" w:cs="Arial"/>
        </w:rPr>
      </w:pPr>
    </w:p>
    <w:p>
      <w:pPr>
        <w:rPr>
          <w:rFonts w:ascii="Arial" w:eastAsia="Calibri" w:hAnsi="Arial" w:cs="Arial"/>
          <w:sz w:val="22"/>
          <w:szCs w:val="22"/>
        </w:rPr>
      </w:pPr>
    </w:p>
    <w:p>
      <w:pPr>
        <w:pStyle w:val="ListParagraph"/>
        <w:numPr>
          <w:ilvl w:val="0"/>
          <w:numId w:val="1"/>
        </w:numPr>
        <w:ind w:left="540" w:hanging="540"/>
        <w:jc w:val="both"/>
        <w:rPr>
          <w:rFonts w:ascii="Arial" w:hAnsi="Arial" w:cs="Arial"/>
          <w:b/>
          <w:sz w:val="22"/>
          <w:szCs w:val="22"/>
        </w:rPr>
      </w:pPr>
      <w:r>
        <w:rPr>
          <w:rFonts w:ascii="Arial" w:hAnsi="Arial" w:cs="Arial"/>
          <w:b/>
          <w:sz w:val="22"/>
          <w:szCs w:val="22"/>
        </w:rPr>
        <w:t>Scope and Objectives of Audit</w:t>
      </w:r>
    </w:p>
    <w:p>
      <w:pPr>
        <w:pStyle w:val="NoSpacing"/>
        <w:ind w:left="540"/>
        <w:jc w:val="both"/>
        <w:rPr>
          <w:rFonts w:ascii="Arial" w:hAnsi="Arial" w:cs="Arial"/>
        </w:rPr>
      </w:pPr>
    </w:p>
    <w:p>
      <w:pPr>
        <w:ind w:left="540"/>
        <w:jc w:val="both"/>
        <w:rPr>
          <w:rFonts w:ascii="Arial" w:hAnsi="Arial" w:cs="Arial"/>
          <w:sz w:val="22"/>
          <w:szCs w:val="22"/>
        </w:rPr>
      </w:pPr>
      <w:r>
        <w:rPr>
          <w:rFonts w:ascii="Arial" w:hAnsi="Arial" w:cs="Arial"/>
          <w:sz w:val="22"/>
          <w:szCs w:val="22"/>
        </w:rPr>
        <w:t xml:space="preserve">The audit covered the accounts and operations of the City of Manila for the period January 1 to December 31, 2023. The audit </w:t>
      </w:r>
      <w:r>
        <w:rPr>
          <w:rFonts w:ascii="Arial" w:hAnsi="Arial" w:cs="Arial"/>
          <w:sz w:val="22"/>
          <w:szCs w:val="22"/>
          <w:lang w:val="en-PH"/>
        </w:rPr>
        <w:t xml:space="preserve">aimed </w:t>
      </w:r>
      <w:r>
        <w:rPr>
          <w:rFonts w:ascii="Arial" w:hAnsi="Arial" w:cs="Arial"/>
          <w:sz w:val="22"/>
          <w:szCs w:val="22"/>
        </w:rPr>
        <w:t>to: (a) lend credence to Management’s assertions on the financial statements; (b) recommend agency improvement opportunities; (c) determine compliance with existing laws, rules and regulations; and (d) determine the extent of implementation of prior years’ audit recommendations.</w:t>
      </w:r>
    </w:p>
    <w:p>
      <w:pPr>
        <w:ind w:left="540"/>
        <w:jc w:val="both"/>
        <w:rPr>
          <w:rFonts w:ascii="Arial" w:hAnsi="Arial" w:cs="Arial"/>
          <w:sz w:val="22"/>
          <w:szCs w:val="22"/>
        </w:rPr>
      </w:pPr>
    </w:p>
    <w:p>
      <w:pPr>
        <w:pStyle w:val="ListParagraph"/>
        <w:numPr>
          <w:ilvl w:val="0"/>
          <w:numId w:val="1"/>
        </w:numPr>
        <w:ind w:left="540" w:hanging="540"/>
        <w:jc w:val="both"/>
        <w:rPr>
          <w:rFonts w:ascii="Arial" w:hAnsi="Arial" w:cs="Arial"/>
          <w:sz w:val="22"/>
          <w:szCs w:val="22"/>
        </w:rPr>
      </w:pPr>
      <w:r>
        <w:rPr>
          <w:rFonts w:ascii="Arial" w:hAnsi="Arial" w:cs="Arial"/>
          <w:b/>
          <w:sz w:val="22"/>
          <w:szCs w:val="22"/>
        </w:rPr>
        <w:lastRenderedPageBreak/>
        <w:t>Auditor’s Opinion on the Financial Statements</w:t>
      </w:r>
    </w:p>
    <w:p>
      <w:pPr>
        <w:jc w:val="both"/>
        <w:rPr>
          <w:rFonts w:ascii="Arial" w:hAnsi="Arial" w:cs="Arial"/>
          <w:sz w:val="22"/>
          <w:szCs w:val="22"/>
        </w:rPr>
      </w:pPr>
    </w:p>
    <w:p>
      <w:pPr>
        <w:ind w:left="540"/>
        <w:jc w:val="both"/>
        <w:rPr>
          <w:rFonts w:ascii="Arial" w:hAnsi="Arial" w:cs="Arial"/>
          <w:sz w:val="22"/>
          <w:szCs w:val="22"/>
        </w:rPr>
      </w:pPr>
      <w:r>
        <w:rPr>
          <w:rFonts w:ascii="Arial" w:hAnsi="Arial" w:cs="Arial"/>
          <w:sz w:val="22"/>
          <w:szCs w:val="22"/>
        </w:rPr>
        <w:t xml:space="preserve">The Auditor rendered a </w:t>
      </w:r>
      <w:r>
        <w:rPr>
          <w:rFonts w:ascii="Arial" w:hAnsi="Arial" w:cs="Arial"/>
          <w:sz w:val="22"/>
          <w:szCs w:val="22"/>
          <w:lang w:val="en-PH"/>
        </w:rPr>
        <w:t>qualified</w:t>
      </w:r>
      <w:r>
        <w:rPr>
          <w:rFonts w:ascii="Arial" w:hAnsi="Arial" w:cs="Arial"/>
          <w:sz w:val="22"/>
          <w:szCs w:val="22"/>
        </w:rPr>
        <w:t xml:space="preserve"> opinion on the </w:t>
      </w:r>
      <w:bookmarkStart w:id="1" w:name="_Hlk10107470"/>
      <w:r>
        <w:rPr>
          <w:rFonts w:ascii="Arial" w:hAnsi="Arial" w:cs="Arial"/>
          <w:sz w:val="22"/>
          <w:szCs w:val="22"/>
        </w:rPr>
        <w:t>fairness of presentation of the financial statements due to the deficiencies noted in the audit that materially affected the balances/totals of certain accounts, which are discussed in detail in Part II of the report, and summarized as follows:</w:t>
      </w:r>
    </w:p>
    <w:p>
      <w:pPr>
        <w:ind w:left="540"/>
        <w:jc w:val="both"/>
        <w:rPr>
          <w:rFonts w:ascii="Arial" w:hAnsi="Arial" w:cs="Arial"/>
          <w:sz w:val="22"/>
          <w:szCs w:val="22"/>
        </w:rPr>
      </w:pPr>
    </w:p>
    <w:p>
      <w:pPr>
        <w:numPr>
          <w:ilvl w:val="0"/>
          <w:numId w:val="9"/>
        </w:numPr>
        <w:ind w:left="900"/>
        <w:jc w:val="both"/>
        <w:rPr>
          <w:rFonts w:ascii="Arial" w:hAnsi="Arial" w:cs="Arial"/>
          <w:sz w:val="22"/>
          <w:szCs w:val="22"/>
        </w:rPr>
      </w:pPr>
      <w:r>
        <w:rPr>
          <w:rFonts w:ascii="Arial" w:hAnsi="Arial" w:cs="Arial"/>
          <w:sz w:val="22"/>
          <w:szCs w:val="22"/>
        </w:rPr>
        <w:t>The accuracy of the Cash-in-Bank (CiB) accounts balance as of December 31, 2023, amounting to P9.237 billion could not be established due to: 1) unreconciled variance of P106.634 million between books balances and the result of bank confirmations, and 2) accumulated unadjusted book reconciling items for several years totaling P182.123 million, mainly due to lapses in the preparation and submission of Bank Reconciliation Statements (BRS) contrary to Section 74 of Presidential Decree (PD) No. 1445. Thus, affected the fair presentation of the Financial Statements (FS).</w:t>
      </w:r>
    </w:p>
    <w:p>
      <w:pPr>
        <w:ind w:left="810" w:firstLine="90"/>
        <w:jc w:val="both"/>
        <w:rPr>
          <w:rFonts w:ascii="Arial" w:hAnsi="Arial" w:cs="Arial"/>
          <w:sz w:val="22"/>
          <w:szCs w:val="22"/>
        </w:rPr>
      </w:pPr>
    </w:p>
    <w:p>
      <w:pPr>
        <w:ind w:left="851"/>
        <w:jc w:val="both"/>
        <w:rPr>
          <w:rFonts w:ascii="Arial" w:hAnsi="Arial" w:cs="Arial"/>
          <w:sz w:val="22"/>
          <w:szCs w:val="22"/>
        </w:rPr>
      </w:pPr>
      <w:r>
        <w:rPr>
          <w:rFonts w:ascii="Arial" w:hAnsi="Arial" w:cs="Arial"/>
          <w:sz w:val="22"/>
          <w:szCs w:val="22"/>
        </w:rPr>
        <w:t>We recommended and Management agreed that the Office of the City Accountant (OCAT) and the City Treasurer’s Office (CTO):</w:t>
      </w:r>
    </w:p>
    <w:p>
      <w:pPr>
        <w:ind w:left="1276"/>
        <w:jc w:val="both"/>
        <w:rPr>
          <w:rFonts w:ascii="Arial" w:hAnsi="Arial" w:cs="Arial"/>
          <w:color w:val="FF0000"/>
          <w:sz w:val="22"/>
          <w:szCs w:val="22"/>
        </w:rPr>
      </w:pPr>
    </w:p>
    <w:p>
      <w:pPr>
        <w:numPr>
          <w:ilvl w:val="3"/>
          <w:numId w:val="10"/>
        </w:numPr>
        <w:ind w:left="1276"/>
        <w:jc w:val="both"/>
        <w:rPr>
          <w:rFonts w:ascii="Arial" w:hAnsi="Arial" w:cs="Arial"/>
          <w:sz w:val="22"/>
          <w:szCs w:val="22"/>
        </w:rPr>
      </w:pPr>
      <w:r>
        <w:rPr>
          <w:rFonts w:ascii="Arial" w:hAnsi="Arial" w:cs="Arial"/>
          <w:sz w:val="22"/>
          <w:szCs w:val="22"/>
        </w:rPr>
        <w:t xml:space="preserve">Reconcile the variances between the balances per bank confirmations and book balance, and accordingly effect the necessary adjustments to reflect correct ending balances of CiB accounts; </w:t>
      </w:r>
    </w:p>
    <w:p>
      <w:pPr>
        <w:ind w:left="1276"/>
        <w:jc w:val="both"/>
        <w:rPr>
          <w:rFonts w:ascii="Arial" w:hAnsi="Arial" w:cs="Arial"/>
          <w:sz w:val="22"/>
          <w:szCs w:val="22"/>
        </w:rPr>
      </w:pPr>
    </w:p>
    <w:p>
      <w:pPr>
        <w:numPr>
          <w:ilvl w:val="3"/>
          <w:numId w:val="10"/>
        </w:numPr>
        <w:ind w:left="1276"/>
        <w:jc w:val="both"/>
        <w:rPr>
          <w:rFonts w:ascii="Arial" w:hAnsi="Arial" w:cs="Arial"/>
          <w:sz w:val="22"/>
          <w:szCs w:val="22"/>
        </w:rPr>
      </w:pPr>
      <w:r>
        <w:rPr>
          <w:rFonts w:ascii="Arial" w:hAnsi="Arial" w:cs="Arial"/>
          <w:sz w:val="22"/>
          <w:szCs w:val="22"/>
        </w:rPr>
        <w:t xml:space="preserve">Cause the timely preparation and submission of monthly BRS for each bank account pursuant to Section 74 of PD No. 1445; and </w:t>
      </w:r>
    </w:p>
    <w:p>
      <w:pPr>
        <w:ind w:left="1276"/>
        <w:jc w:val="both"/>
        <w:rPr>
          <w:rFonts w:ascii="Arial" w:hAnsi="Arial" w:cs="Arial"/>
          <w:sz w:val="22"/>
          <w:szCs w:val="22"/>
        </w:rPr>
      </w:pPr>
    </w:p>
    <w:p>
      <w:pPr>
        <w:numPr>
          <w:ilvl w:val="3"/>
          <w:numId w:val="10"/>
        </w:numPr>
        <w:ind w:left="1276"/>
        <w:jc w:val="both"/>
        <w:rPr>
          <w:rFonts w:ascii="Arial" w:hAnsi="Arial" w:cs="Arial"/>
          <w:sz w:val="22"/>
          <w:szCs w:val="22"/>
        </w:rPr>
      </w:pPr>
      <w:r>
        <w:rPr>
          <w:rFonts w:ascii="Arial" w:hAnsi="Arial" w:cs="Arial"/>
          <w:sz w:val="22"/>
          <w:szCs w:val="22"/>
        </w:rPr>
        <w:t xml:space="preserve">Formulate a document tracking system to establish accountability for records to provide an effective internal control tool for documentation and recording of the City’s transactions. </w:t>
      </w:r>
    </w:p>
    <w:p>
      <w:pPr>
        <w:pStyle w:val="ListParagraph"/>
        <w:contextualSpacing/>
        <w:jc w:val="both"/>
        <w:rPr>
          <w:rFonts w:ascii="Arial" w:hAnsi="Arial" w:cs="Arial"/>
          <w:b/>
          <w:color w:val="000000" w:themeColor="text1"/>
          <w:sz w:val="22"/>
          <w:szCs w:val="22"/>
        </w:rPr>
      </w:pPr>
      <w:bookmarkStart w:id="2" w:name="_Hlk165993873"/>
    </w:p>
    <w:p>
      <w:pPr>
        <w:numPr>
          <w:ilvl w:val="0"/>
          <w:numId w:val="9"/>
        </w:numPr>
        <w:ind w:left="900"/>
        <w:jc w:val="both"/>
        <w:rPr>
          <w:rFonts w:ascii="Arial" w:hAnsi="Arial" w:cs="Arial"/>
          <w:sz w:val="22"/>
          <w:szCs w:val="22"/>
        </w:rPr>
      </w:pPr>
      <w:r>
        <w:rPr>
          <w:rFonts w:ascii="Arial" w:hAnsi="Arial" w:cs="Arial"/>
          <w:sz w:val="22"/>
          <w:szCs w:val="22"/>
        </w:rPr>
        <w:t>The accuracy, completeness, and reliability of the year-end balance of Accounts Payable (AP) amounting to P4.577 billion could not be determined due to net understatement variance of P525.085 million from confirmation results with contractors/suppliers as against balances per books contrary to Paragraph 27 of International Public Sector Accounting Standard 1. Thus, affecting the fair presentation of the FS.</w:t>
      </w:r>
    </w:p>
    <w:bookmarkEnd w:id="2"/>
    <w:p>
      <w:pPr>
        <w:ind w:left="810" w:firstLine="90"/>
        <w:jc w:val="both"/>
        <w:rPr>
          <w:rFonts w:ascii="Arial" w:hAnsi="Arial" w:cs="Arial"/>
          <w:sz w:val="22"/>
          <w:szCs w:val="22"/>
        </w:rPr>
      </w:pPr>
    </w:p>
    <w:p>
      <w:pPr>
        <w:ind w:left="810" w:firstLine="90"/>
        <w:jc w:val="both"/>
        <w:rPr>
          <w:rFonts w:ascii="Arial" w:hAnsi="Arial" w:cs="Arial"/>
          <w:sz w:val="22"/>
          <w:szCs w:val="22"/>
        </w:rPr>
      </w:pPr>
      <w:r>
        <w:rPr>
          <w:rFonts w:ascii="Arial" w:hAnsi="Arial" w:cs="Arial"/>
          <w:sz w:val="22"/>
          <w:szCs w:val="22"/>
        </w:rPr>
        <w:t>We recommended that Management direct:</w:t>
      </w:r>
    </w:p>
    <w:p>
      <w:pPr>
        <w:ind w:left="2880"/>
        <w:jc w:val="both"/>
        <w:rPr>
          <w:rFonts w:ascii="Arial" w:hAnsi="Arial" w:cs="Arial"/>
          <w:sz w:val="22"/>
          <w:szCs w:val="22"/>
        </w:rPr>
      </w:pPr>
    </w:p>
    <w:p>
      <w:pPr>
        <w:numPr>
          <w:ilvl w:val="0"/>
          <w:numId w:val="17"/>
        </w:numPr>
        <w:ind w:left="1276"/>
        <w:jc w:val="both"/>
        <w:rPr>
          <w:rFonts w:ascii="Arial" w:hAnsi="Arial" w:cs="Arial"/>
          <w:sz w:val="22"/>
          <w:szCs w:val="22"/>
        </w:rPr>
      </w:pPr>
      <w:r>
        <w:rPr>
          <w:rFonts w:ascii="Arial" w:hAnsi="Arial" w:cs="Arial"/>
          <w:sz w:val="22"/>
          <w:szCs w:val="22"/>
        </w:rPr>
        <w:t>The OCAT to:</w:t>
      </w:r>
    </w:p>
    <w:p>
      <w:pPr>
        <w:pStyle w:val="ListParagraph"/>
        <w:ind w:left="1701" w:hanging="279"/>
        <w:rPr>
          <w:rFonts w:ascii="Arial" w:hAnsi="Arial" w:cs="Arial"/>
          <w:b/>
          <w:bCs/>
          <w:sz w:val="22"/>
          <w:szCs w:val="22"/>
        </w:rPr>
      </w:pPr>
    </w:p>
    <w:p>
      <w:pPr>
        <w:pStyle w:val="ListParagraph"/>
        <w:numPr>
          <w:ilvl w:val="3"/>
          <w:numId w:val="16"/>
        </w:numPr>
        <w:ind w:left="1560" w:hanging="279"/>
        <w:contextualSpacing/>
        <w:jc w:val="both"/>
        <w:rPr>
          <w:rFonts w:ascii="Arial" w:hAnsi="Arial" w:cs="Arial"/>
          <w:sz w:val="22"/>
          <w:szCs w:val="22"/>
        </w:rPr>
      </w:pPr>
      <w:r>
        <w:rPr>
          <w:rFonts w:ascii="Arial" w:hAnsi="Arial" w:cs="Arial"/>
          <w:sz w:val="22"/>
          <w:szCs w:val="22"/>
        </w:rPr>
        <w:t>I</w:t>
      </w:r>
      <w:r>
        <w:rPr>
          <w:rFonts w:ascii="Arial" w:hAnsi="Arial" w:cs="Arial"/>
          <w:color w:val="000000" w:themeColor="text1"/>
          <w:sz w:val="22"/>
          <w:szCs w:val="22"/>
        </w:rPr>
        <w:t>dentify the causes of variances between recorded accounts payable and the contractors/suppliers’ confirmed balances and reconcile the same;</w:t>
      </w:r>
    </w:p>
    <w:p>
      <w:pPr>
        <w:pStyle w:val="ListParagraph"/>
        <w:ind w:left="1560" w:hanging="279"/>
        <w:jc w:val="both"/>
        <w:rPr>
          <w:rFonts w:ascii="Arial" w:hAnsi="Arial" w:cs="Arial"/>
          <w:sz w:val="22"/>
          <w:szCs w:val="22"/>
        </w:rPr>
      </w:pPr>
    </w:p>
    <w:p>
      <w:pPr>
        <w:pStyle w:val="ListParagraph"/>
        <w:numPr>
          <w:ilvl w:val="3"/>
          <w:numId w:val="16"/>
        </w:numPr>
        <w:ind w:left="1560" w:hanging="279"/>
        <w:contextualSpacing/>
        <w:jc w:val="both"/>
        <w:rPr>
          <w:rFonts w:ascii="Arial" w:hAnsi="Arial" w:cs="Arial"/>
          <w:sz w:val="22"/>
          <w:szCs w:val="22"/>
        </w:rPr>
      </w:pPr>
      <w:r>
        <w:rPr>
          <w:rFonts w:ascii="Arial" w:hAnsi="Arial" w:cs="Arial"/>
          <w:color w:val="000000" w:themeColor="text1"/>
          <w:sz w:val="22"/>
          <w:szCs w:val="22"/>
        </w:rPr>
        <w:t>Coordinate with the City General Services Office (CGSO) as to status of deliveries of goods and services and recognize the corresponding liability if no payment had been made; and</w:t>
      </w:r>
    </w:p>
    <w:p>
      <w:pPr>
        <w:pStyle w:val="ListParagraph"/>
        <w:ind w:left="1560" w:hanging="279"/>
        <w:rPr>
          <w:rFonts w:ascii="Arial" w:hAnsi="Arial" w:cs="Arial"/>
          <w:sz w:val="22"/>
          <w:szCs w:val="22"/>
        </w:rPr>
      </w:pPr>
    </w:p>
    <w:p>
      <w:pPr>
        <w:pStyle w:val="ListParagraph"/>
        <w:numPr>
          <w:ilvl w:val="3"/>
          <w:numId w:val="16"/>
        </w:numPr>
        <w:ind w:left="1560" w:hanging="279"/>
        <w:contextualSpacing/>
        <w:jc w:val="both"/>
        <w:rPr>
          <w:rFonts w:ascii="Arial" w:hAnsi="Arial" w:cs="Arial"/>
          <w:sz w:val="22"/>
          <w:szCs w:val="22"/>
        </w:rPr>
      </w:pPr>
      <w:r>
        <w:rPr>
          <w:rFonts w:ascii="Arial" w:hAnsi="Arial" w:cs="Arial"/>
          <w:color w:val="000000" w:themeColor="text1"/>
          <w:sz w:val="22"/>
          <w:szCs w:val="22"/>
        </w:rPr>
        <w:t>Maintain a separate Subsidiary Ledger for each contractor/supplier for proper monitoring of each outstanding payable and status of accounts.</w:t>
      </w:r>
    </w:p>
    <w:p>
      <w:pPr>
        <w:pStyle w:val="ListParagraph"/>
        <w:ind w:left="1980" w:hanging="810"/>
        <w:rPr>
          <w:rFonts w:ascii="Arial" w:hAnsi="Arial" w:cs="Arial"/>
          <w:b/>
          <w:bCs/>
          <w:sz w:val="22"/>
          <w:szCs w:val="22"/>
        </w:rPr>
      </w:pPr>
    </w:p>
    <w:p>
      <w:pPr>
        <w:numPr>
          <w:ilvl w:val="0"/>
          <w:numId w:val="17"/>
        </w:numPr>
        <w:ind w:left="1276"/>
        <w:jc w:val="both"/>
        <w:rPr>
          <w:rFonts w:ascii="Arial" w:hAnsi="Arial" w:cs="Arial"/>
          <w:sz w:val="22"/>
          <w:szCs w:val="22"/>
        </w:rPr>
      </w:pPr>
      <w:r>
        <w:rPr>
          <w:rFonts w:ascii="Arial" w:hAnsi="Arial" w:cs="Arial"/>
          <w:sz w:val="22"/>
          <w:szCs w:val="22"/>
        </w:rPr>
        <w:lastRenderedPageBreak/>
        <w:t xml:space="preserve">The CGSO to promptly inform the OCAT of deliveries of procured goods and services and furnish the latter with required documents to support the timely recording of transactions.  </w:t>
      </w:r>
    </w:p>
    <w:p>
      <w:pPr>
        <w:ind w:left="540"/>
        <w:jc w:val="both"/>
        <w:rPr>
          <w:rFonts w:ascii="Arial" w:hAnsi="Arial" w:cs="Arial"/>
          <w:sz w:val="22"/>
          <w:szCs w:val="22"/>
        </w:rPr>
      </w:pPr>
    </w:p>
    <w:p>
      <w:pPr>
        <w:pStyle w:val="ListParagraph"/>
        <w:numPr>
          <w:ilvl w:val="0"/>
          <w:numId w:val="1"/>
        </w:numPr>
        <w:ind w:left="540" w:hanging="540"/>
        <w:jc w:val="both"/>
        <w:rPr>
          <w:rFonts w:ascii="Arial" w:hAnsi="Arial" w:cs="Arial"/>
          <w:b/>
          <w:bCs/>
          <w:sz w:val="22"/>
          <w:szCs w:val="22"/>
        </w:rPr>
      </w:pPr>
      <w:r>
        <w:rPr>
          <w:rFonts w:ascii="Arial" w:hAnsi="Arial" w:cs="Arial"/>
          <w:b/>
          <w:bCs/>
          <w:sz w:val="22"/>
          <w:szCs w:val="22"/>
        </w:rPr>
        <w:t>Significant Audit Observations and Recommendations</w:t>
      </w:r>
    </w:p>
    <w:p>
      <w:pPr>
        <w:pStyle w:val="ListParagraph"/>
        <w:ind w:left="540"/>
        <w:jc w:val="both"/>
        <w:rPr>
          <w:rFonts w:ascii="Arial" w:hAnsi="Arial" w:cs="Arial"/>
          <w:sz w:val="22"/>
          <w:szCs w:val="22"/>
        </w:rPr>
      </w:pPr>
    </w:p>
    <w:p>
      <w:pPr>
        <w:pStyle w:val="ListParagraph"/>
        <w:ind w:left="540"/>
        <w:jc w:val="both"/>
        <w:rPr>
          <w:rFonts w:ascii="Arial" w:hAnsi="Arial" w:cs="Arial"/>
          <w:sz w:val="22"/>
          <w:szCs w:val="22"/>
        </w:rPr>
      </w:pPr>
      <w:r>
        <w:rPr>
          <w:rFonts w:ascii="Arial" w:hAnsi="Arial" w:cs="Arial"/>
          <w:sz w:val="22"/>
          <w:szCs w:val="22"/>
        </w:rPr>
        <w:t>The significant observations and recommendations that need immediate action are as follows:</w:t>
      </w:r>
    </w:p>
    <w:p>
      <w:pPr>
        <w:ind w:left="540"/>
        <w:jc w:val="both"/>
        <w:rPr>
          <w:rFonts w:ascii="Arial" w:hAnsi="Arial" w:cs="Arial"/>
          <w:sz w:val="22"/>
          <w:szCs w:val="22"/>
        </w:rPr>
      </w:pPr>
    </w:p>
    <w:p>
      <w:pPr>
        <w:numPr>
          <w:ilvl w:val="0"/>
          <w:numId w:val="18"/>
        </w:numPr>
        <w:ind w:left="900"/>
        <w:jc w:val="both"/>
        <w:rPr>
          <w:rFonts w:ascii="Arial" w:hAnsi="Arial" w:cs="Arial"/>
        </w:rPr>
      </w:pPr>
      <w:r>
        <w:rPr>
          <w:rFonts w:ascii="Arial" w:hAnsi="Arial" w:cs="Arial"/>
          <w:sz w:val="22"/>
          <w:szCs w:val="22"/>
        </w:rPr>
        <w:t xml:space="preserve">Insufficient imposition of Real Property Tax and Special Education Tax by the City due to: a) </w:t>
      </w:r>
      <w:bookmarkStart w:id="3" w:name="_Hlk167129650"/>
      <w:r>
        <w:rPr>
          <w:rFonts w:ascii="Arial" w:hAnsi="Arial" w:cs="Arial"/>
          <w:sz w:val="22"/>
          <w:szCs w:val="22"/>
        </w:rPr>
        <w:t xml:space="preserve">Misplaced application of the Assessment Levels (ALs) </w:t>
      </w:r>
      <w:bookmarkEnd w:id="3"/>
      <w:r>
        <w:rPr>
          <w:rFonts w:ascii="Arial" w:hAnsi="Arial" w:cs="Arial"/>
          <w:sz w:val="22"/>
          <w:szCs w:val="22"/>
        </w:rPr>
        <w:t>prescribed under Section 12 of Ordinance No. 8331, s. 2013; and b) Omission of 1,130 Real Property Units (RPUs) in the Assessment Rolls (AR) contrary to Section 2, Chapter II, Manual on Real Property Appraisal and Assessment Operations, thereby diminishing the City’s earnings to be utilized to finance its programs/projects/activities.</w:t>
      </w:r>
    </w:p>
    <w:p>
      <w:pPr>
        <w:ind w:left="1080"/>
        <w:jc w:val="both"/>
        <w:rPr>
          <w:rFonts w:ascii="Arial" w:hAnsi="Arial" w:cs="Arial"/>
          <w:sz w:val="22"/>
          <w:szCs w:val="22"/>
        </w:rPr>
      </w:pPr>
    </w:p>
    <w:p>
      <w:pPr>
        <w:ind w:left="810" w:firstLine="90"/>
        <w:jc w:val="both"/>
        <w:rPr>
          <w:rFonts w:ascii="Arial" w:hAnsi="Arial" w:cs="Arial"/>
          <w:sz w:val="22"/>
          <w:szCs w:val="22"/>
        </w:rPr>
      </w:pPr>
      <w:r>
        <w:rPr>
          <w:rFonts w:ascii="Arial" w:hAnsi="Arial" w:cs="Arial"/>
          <w:sz w:val="22"/>
          <w:szCs w:val="22"/>
        </w:rPr>
        <w:t>We recommended and the Management agreed that:</w:t>
      </w:r>
    </w:p>
    <w:p>
      <w:pPr>
        <w:ind w:left="2880"/>
        <w:jc w:val="both"/>
        <w:rPr>
          <w:rFonts w:ascii="Arial" w:hAnsi="Arial" w:cs="Arial"/>
          <w:sz w:val="22"/>
          <w:szCs w:val="22"/>
        </w:rPr>
      </w:pPr>
    </w:p>
    <w:p>
      <w:pPr>
        <w:numPr>
          <w:ilvl w:val="0"/>
          <w:numId w:val="21"/>
        </w:numPr>
        <w:ind w:left="1276"/>
        <w:jc w:val="both"/>
        <w:rPr>
          <w:rFonts w:ascii="Arial" w:hAnsi="Arial" w:cs="Arial"/>
          <w:sz w:val="22"/>
          <w:szCs w:val="22"/>
        </w:rPr>
      </w:pPr>
      <w:r>
        <w:rPr>
          <w:rFonts w:ascii="Arial" w:hAnsi="Arial" w:cs="Arial"/>
          <w:sz w:val="22"/>
          <w:szCs w:val="22"/>
        </w:rPr>
        <w:t>The Office of the City Assessor –</w:t>
      </w:r>
    </w:p>
    <w:p>
      <w:pPr>
        <w:tabs>
          <w:tab w:val="left" w:pos="1800"/>
        </w:tabs>
        <w:spacing w:line="259" w:lineRule="auto"/>
        <w:ind w:left="1080"/>
        <w:contextualSpacing/>
        <w:jc w:val="both"/>
        <w:rPr>
          <w:rFonts w:ascii="Arial" w:hAnsi="Arial" w:cs="Arial"/>
          <w:b/>
          <w:bCs/>
          <w:sz w:val="22"/>
          <w:szCs w:val="22"/>
        </w:rPr>
      </w:pPr>
    </w:p>
    <w:p>
      <w:pPr>
        <w:numPr>
          <w:ilvl w:val="3"/>
          <w:numId w:val="20"/>
        </w:numPr>
        <w:spacing w:line="259" w:lineRule="auto"/>
        <w:ind w:left="1701"/>
        <w:contextualSpacing/>
        <w:jc w:val="both"/>
        <w:rPr>
          <w:rFonts w:ascii="Arial" w:hAnsi="Arial" w:cs="Arial"/>
          <w:sz w:val="22"/>
          <w:szCs w:val="22"/>
        </w:rPr>
      </w:pPr>
      <w:r>
        <w:rPr>
          <w:rFonts w:ascii="Arial" w:hAnsi="Arial" w:cs="Arial"/>
          <w:sz w:val="22"/>
          <w:szCs w:val="22"/>
        </w:rPr>
        <w:t>Ensure that Assessment Levels and Assessed Values are accurately computed and provided;</w:t>
      </w:r>
    </w:p>
    <w:p>
      <w:pPr>
        <w:spacing w:line="259" w:lineRule="auto"/>
        <w:ind w:left="1701"/>
        <w:contextualSpacing/>
        <w:jc w:val="both"/>
        <w:rPr>
          <w:rFonts w:ascii="Arial" w:hAnsi="Arial" w:cs="Arial"/>
          <w:sz w:val="22"/>
          <w:szCs w:val="22"/>
        </w:rPr>
      </w:pPr>
    </w:p>
    <w:p>
      <w:pPr>
        <w:numPr>
          <w:ilvl w:val="3"/>
          <w:numId w:val="20"/>
        </w:numPr>
        <w:spacing w:line="259" w:lineRule="auto"/>
        <w:ind w:left="1701"/>
        <w:contextualSpacing/>
        <w:jc w:val="both"/>
        <w:rPr>
          <w:rFonts w:ascii="Arial" w:hAnsi="Arial" w:cs="Arial"/>
          <w:sz w:val="22"/>
          <w:szCs w:val="22"/>
        </w:rPr>
      </w:pPr>
      <w:r>
        <w:rPr>
          <w:rFonts w:ascii="Arial" w:hAnsi="Arial" w:cs="Arial"/>
          <w:sz w:val="22"/>
          <w:szCs w:val="22"/>
        </w:rPr>
        <w:t xml:space="preserve">Submit to the Auditor’s Office the updated copies of Tax Declaration as proof of corrections/updates made to the 452 RPUs; </w:t>
      </w:r>
    </w:p>
    <w:p>
      <w:pPr>
        <w:spacing w:line="259" w:lineRule="auto"/>
        <w:ind w:left="1701"/>
        <w:contextualSpacing/>
        <w:jc w:val="both"/>
        <w:rPr>
          <w:rFonts w:ascii="Arial" w:hAnsi="Arial" w:cs="Arial"/>
          <w:sz w:val="22"/>
          <w:szCs w:val="22"/>
        </w:rPr>
      </w:pPr>
    </w:p>
    <w:p>
      <w:pPr>
        <w:numPr>
          <w:ilvl w:val="3"/>
          <w:numId w:val="20"/>
        </w:numPr>
        <w:spacing w:line="259" w:lineRule="auto"/>
        <w:ind w:left="1701"/>
        <w:contextualSpacing/>
        <w:jc w:val="both"/>
        <w:rPr>
          <w:rFonts w:ascii="Arial" w:hAnsi="Arial" w:cs="Arial"/>
          <w:sz w:val="22"/>
          <w:szCs w:val="22"/>
        </w:rPr>
      </w:pPr>
      <w:r>
        <w:rPr>
          <w:rFonts w:ascii="Arial" w:hAnsi="Arial" w:cs="Arial"/>
          <w:sz w:val="22"/>
          <w:szCs w:val="22"/>
        </w:rPr>
        <w:t>Appraise and assess the RPUs not included in the Assessment Roll and submit copies of tax declaration as proof appraisal and assessment;</w:t>
      </w:r>
    </w:p>
    <w:p>
      <w:pPr>
        <w:spacing w:line="259" w:lineRule="auto"/>
        <w:ind w:left="1701"/>
        <w:contextualSpacing/>
        <w:jc w:val="both"/>
        <w:rPr>
          <w:rFonts w:ascii="Arial" w:hAnsi="Arial" w:cs="Arial"/>
          <w:sz w:val="22"/>
          <w:szCs w:val="22"/>
        </w:rPr>
      </w:pPr>
    </w:p>
    <w:p>
      <w:pPr>
        <w:numPr>
          <w:ilvl w:val="3"/>
          <w:numId w:val="20"/>
        </w:numPr>
        <w:spacing w:line="259" w:lineRule="auto"/>
        <w:ind w:left="1701"/>
        <w:contextualSpacing/>
        <w:jc w:val="both"/>
        <w:rPr>
          <w:rFonts w:ascii="Arial" w:hAnsi="Arial" w:cs="Arial"/>
          <w:sz w:val="22"/>
          <w:szCs w:val="22"/>
        </w:rPr>
      </w:pPr>
      <w:r>
        <w:rPr>
          <w:rFonts w:ascii="Arial" w:hAnsi="Arial" w:cs="Arial"/>
          <w:sz w:val="22"/>
          <w:szCs w:val="22"/>
        </w:rPr>
        <w:t>Review other tax maps not included in the sample to ensure that RPUs inscribed therein are included in the AR;</w:t>
      </w:r>
    </w:p>
    <w:p>
      <w:pPr>
        <w:pStyle w:val="ListParagraph"/>
        <w:ind w:left="1701"/>
        <w:rPr>
          <w:rFonts w:ascii="Arial" w:hAnsi="Arial" w:cs="Arial"/>
          <w:sz w:val="22"/>
          <w:szCs w:val="22"/>
        </w:rPr>
      </w:pPr>
    </w:p>
    <w:p>
      <w:pPr>
        <w:numPr>
          <w:ilvl w:val="3"/>
          <w:numId w:val="20"/>
        </w:numPr>
        <w:spacing w:line="259" w:lineRule="auto"/>
        <w:ind w:left="1701"/>
        <w:contextualSpacing/>
        <w:jc w:val="both"/>
        <w:rPr>
          <w:rFonts w:ascii="Arial" w:hAnsi="Arial" w:cs="Arial"/>
          <w:sz w:val="22"/>
          <w:szCs w:val="22"/>
        </w:rPr>
      </w:pPr>
      <w:r>
        <w:rPr>
          <w:rFonts w:ascii="Arial" w:hAnsi="Arial" w:cs="Arial"/>
          <w:sz w:val="22"/>
          <w:szCs w:val="22"/>
        </w:rPr>
        <w:t>Henceforth, ascertain that RPUs in the tax maps are included in the AR; and</w:t>
      </w:r>
    </w:p>
    <w:p>
      <w:pPr>
        <w:pStyle w:val="ListParagraph"/>
        <w:ind w:left="1843"/>
        <w:jc w:val="both"/>
        <w:rPr>
          <w:rFonts w:ascii="Arial" w:hAnsi="Arial" w:cs="Arial"/>
          <w:b/>
          <w:bCs/>
          <w:sz w:val="22"/>
          <w:szCs w:val="22"/>
        </w:rPr>
      </w:pPr>
    </w:p>
    <w:p>
      <w:pPr>
        <w:numPr>
          <w:ilvl w:val="0"/>
          <w:numId w:val="21"/>
        </w:numPr>
        <w:ind w:left="1276"/>
        <w:jc w:val="both"/>
        <w:rPr>
          <w:rFonts w:ascii="Arial" w:hAnsi="Arial" w:cs="Arial"/>
          <w:sz w:val="22"/>
          <w:szCs w:val="22"/>
        </w:rPr>
      </w:pPr>
      <w:r>
        <w:rPr>
          <w:rFonts w:ascii="Arial" w:hAnsi="Arial" w:cs="Arial"/>
          <w:sz w:val="22"/>
          <w:szCs w:val="22"/>
        </w:rPr>
        <w:t>The CTO charge and collect from taxpayers the amount of P3,336,539.51 that were under imposed in CY 2023 due to erroneous application of the Assessment Level, and henceforth, ensure that correct amount of taxes is imposed/collected.</w:t>
      </w:r>
    </w:p>
    <w:p>
      <w:pPr>
        <w:ind w:left="810" w:firstLine="90"/>
        <w:jc w:val="both"/>
        <w:rPr>
          <w:rFonts w:ascii="Arial" w:hAnsi="Arial" w:cs="Arial"/>
          <w:color w:val="FF0000"/>
          <w:sz w:val="22"/>
          <w:szCs w:val="22"/>
        </w:rPr>
      </w:pPr>
    </w:p>
    <w:p>
      <w:pPr>
        <w:numPr>
          <w:ilvl w:val="0"/>
          <w:numId w:val="18"/>
        </w:numPr>
        <w:ind w:left="900"/>
        <w:jc w:val="both"/>
        <w:rPr>
          <w:rFonts w:ascii="Arial" w:hAnsi="Arial" w:cs="Arial"/>
          <w:sz w:val="22"/>
          <w:szCs w:val="22"/>
        </w:rPr>
      </w:pPr>
      <w:r>
        <w:rPr>
          <w:rFonts w:ascii="Arial" w:hAnsi="Arial" w:cs="Arial"/>
          <w:sz w:val="22"/>
          <w:szCs w:val="22"/>
        </w:rPr>
        <w:t xml:space="preserve">A total of P472.416 million withheld for CY 2023 remittances to the BIR, GSIS, </w:t>
      </w:r>
      <w:r>
        <w:rPr>
          <w:rFonts w:ascii="Arial" w:hAnsi="Arial" w:cs="Arial"/>
          <w:sz w:val="22"/>
          <w:szCs w:val="22"/>
        </w:rPr>
        <w:br/>
        <w:t>Pag-IBIG and PhilHealth have not been remitted by the City contrary to existing rules and regulations.</w:t>
      </w:r>
    </w:p>
    <w:p>
      <w:pPr>
        <w:ind w:left="900" w:hanging="360"/>
        <w:jc w:val="both"/>
        <w:rPr>
          <w:rFonts w:ascii="Arial" w:hAnsi="Arial" w:cs="Arial"/>
          <w:sz w:val="22"/>
          <w:szCs w:val="22"/>
        </w:rPr>
      </w:pPr>
    </w:p>
    <w:p>
      <w:pPr>
        <w:ind w:left="900"/>
        <w:jc w:val="both"/>
        <w:rPr>
          <w:rFonts w:ascii="Arial" w:hAnsi="Arial" w:cs="Arial"/>
          <w:bCs/>
          <w:sz w:val="22"/>
          <w:szCs w:val="22"/>
        </w:rPr>
      </w:pPr>
      <w:r>
        <w:rPr>
          <w:rFonts w:ascii="Arial" w:hAnsi="Arial" w:cs="Arial"/>
          <w:bCs/>
          <w:sz w:val="22"/>
          <w:szCs w:val="22"/>
        </w:rPr>
        <w:t xml:space="preserve">We recommended and Management agreed to ensure prompt and full remittance of all withholding taxes, contributions, premium payments, loan amortization and other amounts due to the BIR, GSIS, Pag-IBIG and PhilHealth pursuant to the </w:t>
      </w:r>
      <w:r>
        <w:rPr>
          <w:rFonts w:ascii="Arial" w:hAnsi="Arial" w:cs="Arial"/>
          <w:bCs/>
          <w:sz w:val="22"/>
          <w:szCs w:val="22"/>
        </w:rPr>
        <w:br/>
        <w:t>above-mentioned regulations.</w:t>
      </w:r>
    </w:p>
    <w:p>
      <w:pPr>
        <w:ind w:left="900"/>
        <w:jc w:val="both"/>
        <w:rPr>
          <w:rFonts w:ascii="Arial" w:hAnsi="Arial" w:cs="Arial"/>
          <w:color w:val="FF0000"/>
          <w:sz w:val="22"/>
          <w:szCs w:val="22"/>
        </w:rPr>
      </w:pPr>
    </w:p>
    <w:p>
      <w:pPr>
        <w:ind w:left="540"/>
        <w:jc w:val="both"/>
        <w:rPr>
          <w:rFonts w:ascii="Arial" w:hAnsi="Arial" w:cs="Arial"/>
          <w:sz w:val="22"/>
          <w:szCs w:val="22"/>
        </w:rPr>
      </w:pPr>
    </w:p>
    <w:bookmarkEnd w:id="1"/>
    <w:p>
      <w:pPr>
        <w:ind w:left="540"/>
        <w:jc w:val="both"/>
        <w:rPr>
          <w:rFonts w:ascii="Arial" w:hAnsi="Arial" w:cs="Arial"/>
          <w:sz w:val="22"/>
          <w:szCs w:val="22"/>
        </w:rPr>
      </w:pPr>
      <w:r>
        <w:rPr>
          <w:rFonts w:ascii="Arial" w:hAnsi="Arial" w:cs="Arial"/>
          <w:sz w:val="22"/>
          <w:szCs w:val="22"/>
        </w:rPr>
        <w:lastRenderedPageBreak/>
        <w:t xml:space="preserve">The aforementioned observations together with the corresponding recommendations were discussed with Management officials concerned during the exit conference on </w:t>
      </w:r>
      <w:r>
        <w:rPr>
          <w:rFonts w:ascii="Arial" w:hAnsi="Arial" w:cs="Arial"/>
          <w:sz w:val="22"/>
          <w:szCs w:val="22"/>
        </w:rPr>
        <w:br/>
      </w:r>
      <w:r>
        <w:rPr>
          <w:rFonts w:ascii="Arial" w:hAnsi="Arial" w:cs="Arial"/>
          <w:sz w:val="22"/>
          <w:szCs w:val="22"/>
          <w:lang w:val="en-PH"/>
        </w:rPr>
        <w:t>April 30, 2024</w:t>
      </w:r>
      <w:r>
        <w:rPr>
          <w:rFonts w:ascii="Arial" w:hAnsi="Arial" w:cs="Arial"/>
          <w:sz w:val="22"/>
          <w:szCs w:val="22"/>
        </w:rPr>
        <w:t xml:space="preserve">. Management views and comments were incorporated in the report, where appropriate. </w:t>
      </w:r>
    </w:p>
    <w:p>
      <w:pPr>
        <w:pStyle w:val="ListParagraph"/>
        <w:widowControl w:val="0"/>
        <w:tabs>
          <w:tab w:val="left" w:pos="2235"/>
          <w:tab w:val="left" w:pos="6075"/>
        </w:tabs>
        <w:overflowPunct w:val="0"/>
        <w:autoSpaceDE w:val="0"/>
        <w:autoSpaceDN w:val="0"/>
        <w:adjustRightInd w:val="0"/>
        <w:ind w:left="1260"/>
        <w:contextualSpacing/>
        <w:jc w:val="both"/>
        <w:rPr>
          <w:rFonts w:ascii="Arial" w:hAnsi="Arial" w:cs="Arial"/>
          <w:sz w:val="22"/>
          <w:szCs w:val="22"/>
          <w:shd w:val="clear" w:color="auto" w:fill="FFFFFF"/>
        </w:rPr>
      </w:pPr>
      <w:r>
        <w:rPr>
          <w:rFonts w:ascii="Arial" w:hAnsi="Arial" w:cs="Arial"/>
          <w:sz w:val="22"/>
          <w:szCs w:val="22"/>
          <w:shd w:val="clear" w:color="auto" w:fill="FFFFFF"/>
        </w:rPr>
        <w:tab/>
      </w:r>
      <w:r>
        <w:rPr>
          <w:rFonts w:ascii="Arial" w:hAnsi="Arial" w:cs="Arial"/>
          <w:sz w:val="22"/>
          <w:szCs w:val="22"/>
          <w:shd w:val="clear" w:color="auto" w:fill="FFFFFF"/>
        </w:rPr>
        <w:tab/>
      </w:r>
    </w:p>
    <w:p>
      <w:pPr>
        <w:pStyle w:val="ListParagraph"/>
        <w:widowControl w:val="0"/>
        <w:tabs>
          <w:tab w:val="left" w:pos="6075"/>
        </w:tabs>
        <w:overflowPunct w:val="0"/>
        <w:autoSpaceDE w:val="0"/>
        <w:autoSpaceDN w:val="0"/>
        <w:adjustRightInd w:val="0"/>
        <w:ind w:left="1260"/>
        <w:contextualSpacing/>
        <w:jc w:val="both"/>
        <w:rPr>
          <w:rFonts w:ascii="Arial" w:hAnsi="Arial" w:cs="Arial"/>
          <w:sz w:val="22"/>
          <w:szCs w:val="22"/>
          <w:shd w:val="clear" w:color="auto" w:fill="FFFFFF"/>
        </w:rPr>
      </w:pPr>
    </w:p>
    <w:p>
      <w:pPr>
        <w:pStyle w:val="ListParagraph"/>
        <w:numPr>
          <w:ilvl w:val="0"/>
          <w:numId w:val="1"/>
        </w:numPr>
        <w:ind w:left="540" w:hanging="540"/>
        <w:jc w:val="both"/>
        <w:rPr>
          <w:rFonts w:ascii="Arial" w:hAnsi="Arial" w:cs="Arial"/>
          <w:b/>
        </w:rPr>
      </w:pPr>
      <w:r>
        <w:rPr>
          <w:rFonts w:ascii="Arial" w:hAnsi="Arial" w:cs="Arial"/>
          <w:b/>
        </w:rPr>
        <w:t>Summary of Suspensions, Disallowances and Charges as of Year-end</w:t>
      </w:r>
    </w:p>
    <w:p>
      <w:pPr>
        <w:ind w:left="540" w:hanging="540"/>
        <w:rPr>
          <w:rFonts w:ascii="Arial" w:hAnsi="Arial" w:cs="Arial"/>
          <w:b/>
          <w:i/>
          <w:sz w:val="22"/>
          <w:szCs w:val="22"/>
        </w:rPr>
      </w:pPr>
    </w:p>
    <w:p>
      <w:pPr>
        <w:ind w:left="540"/>
        <w:jc w:val="both"/>
        <w:rPr>
          <w:rFonts w:ascii="Arial" w:hAnsi="Arial" w:cs="Arial"/>
          <w:sz w:val="22"/>
          <w:szCs w:val="22"/>
        </w:rPr>
      </w:pPr>
      <w:r>
        <w:rPr>
          <w:rFonts w:ascii="Arial" w:hAnsi="Arial" w:cs="Arial"/>
          <w:sz w:val="22"/>
          <w:szCs w:val="22"/>
        </w:rPr>
        <w:t xml:space="preserve">The audit suspensions, disallowances and charges amounting to P42,538,364.47, P67,199,797.90 and P33,046,763.65, respectively, remained unsettled by the concerned officers/employees and third parties determined to be liable thereto due to the inability of the Management to fully enforce settlement of the same as required under </w:t>
      </w:r>
      <w:r>
        <w:rPr>
          <w:rFonts w:ascii="Arial" w:hAnsi="Arial" w:cs="Arial"/>
          <w:sz w:val="22"/>
          <w:szCs w:val="22"/>
        </w:rPr>
        <w:br/>
        <w:t>Section 7.1.1 of COA Circular No. 2009-006 dated</w:t>
      </w:r>
      <w:r>
        <w:rPr>
          <w:rFonts w:ascii="Arial" w:hAnsi="Arial" w:cs="Arial"/>
          <w:sz w:val="22"/>
          <w:szCs w:val="22"/>
          <w:lang w:val="en-PH"/>
        </w:rPr>
        <w:t xml:space="preserve"> </w:t>
      </w:r>
      <w:r>
        <w:rPr>
          <w:rFonts w:ascii="Arial" w:hAnsi="Arial" w:cs="Arial"/>
          <w:sz w:val="22"/>
          <w:szCs w:val="22"/>
        </w:rPr>
        <w:t>September 15, 2009.</w:t>
      </w:r>
    </w:p>
    <w:p>
      <w:pPr>
        <w:rPr>
          <w:rFonts w:ascii="Arial" w:hAnsi="Arial" w:cs="Arial"/>
          <w:b/>
          <w:sz w:val="22"/>
          <w:szCs w:val="22"/>
        </w:rPr>
      </w:pPr>
    </w:p>
    <w:p>
      <w:pPr>
        <w:rPr>
          <w:rFonts w:ascii="Arial" w:hAnsi="Arial" w:cs="Arial"/>
          <w:b/>
          <w:sz w:val="22"/>
          <w:szCs w:val="22"/>
        </w:rPr>
      </w:pPr>
    </w:p>
    <w:p>
      <w:pPr>
        <w:pStyle w:val="NoSpacing"/>
        <w:numPr>
          <w:ilvl w:val="0"/>
          <w:numId w:val="1"/>
        </w:numPr>
        <w:ind w:left="540" w:hanging="540"/>
        <w:jc w:val="both"/>
        <w:rPr>
          <w:rFonts w:ascii="Arial" w:hAnsi="Arial" w:cs="Arial"/>
          <w:b/>
        </w:rPr>
      </w:pPr>
      <w:r>
        <w:rPr>
          <w:rFonts w:ascii="Arial" w:hAnsi="Arial" w:cs="Arial"/>
          <w:b/>
        </w:rPr>
        <w:t>Status of Implementation of Prior Years’ Audit Recommendations</w:t>
      </w:r>
    </w:p>
    <w:p>
      <w:pPr>
        <w:tabs>
          <w:tab w:val="left" w:pos="360"/>
        </w:tabs>
        <w:rPr>
          <w:rFonts w:ascii="Arial" w:hAnsi="Arial" w:cs="Arial"/>
          <w:b/>
          <w:sz w:val="22"/>
          <w:szCs w:val="22"/>
        </w:rPr>
      </w:pPr>
    </w:p>
    <w:p>
      <w:pPr>
        <w:ind w:left="540"/>
        <w:jc w:val="both"/>
        <w:rPr>
          <w:rFonts w:ascii="Arial" w:hAnsi="Arial" w:cs="Arial"/>
          <w:sz w:val="22"/>
          <w:szCs w:val="22"/>
        </w:rPr>
      </w:pPr>
      <w:r>
        <w:rPr>
          <w:rFonts w:ascii="Arial" w:hAnsi="Arial" w:cs="Arial"/>
          <w:sz w:val="22"/>
          <w:szCs w:val="22"/>
        </w:rPr>
        <w:t>Of the 53 prior years’ audit recommendations contained in the CYs 2017, 2018, 2019, 2020, 2021 and 2022 Annual Audit Reports, 44 or 83.12 percent were implemented, and nine or 16.98 percent were unimplemented.</w:t>
      </w:r>
    </w:p>
    <w:p>
      <w:pPr>
        <w:ind w:left="540"/>
        <w:jc w:val="both"/>
        <w:rPr>
          <w:rFonts w:ascii="Arial" w:hAnsi="Arial" w:cs="Arial"/>
          <w:sz w:val="22"/>
          <w:szCs w:val="22"/>
        </w:rPr>
      </w:pPr>
    </w:p>
    <w:p>
      <w:pPr>
        <w:ind w:left="540"/>
        <w:jc w:val="both"/>
        <w:rPr>
          <w:rFonts w:ascii="Arial" w:hAnsi="Arial" w:cs="Arial"/>
          <w:sz w:val="22"/>
          <w:szCs w:val="22"/>
        </w:rPr>
      </w:pPr>
    </w:p>
    <w:p>
      <w:pPr>
        <w:rPr>
          <w:rFonts w:ascii="Arial" w:hAnsi="Arial" w:cs="Arial"/>
          <w:sz w:val="22"/>
          <w:szCs w:val="22"/>
        </w:rPr>
      </w:pPr>
    </w:p>
    <w:sectPr>
      <w:footerReference w:type="even" r:id="rId7"/>
      <w:footerReference w:type="default" r:id="rId8"/>
      <w:pgSz w:w="12240" w:h="15840"/>
      <w:pgMar w:top="1440" w:right="144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4</w:t>
    </w:r>
    <w:r>
      <w:rPr>
        <w:rStyle w:val="PageNumber"/>
      </w:rPr>
      <w:fldChar w:fldCharType="end"/>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sz w:val="20"/>
        <w:szCs w:val="20"/>
      </w:rPr>
      <w:t>i</w:t>
    </w:r>
    <w:r>
      <w:rPr>
        <w:rFonts w:ascii="Arial" w:hAnsi="Arial" w:cs="Arial"/>
        <w:sz w:val="20"/>
        <w:szCs w:val="20"/>
      </w:rPr>
      <w:fldChar w:fldCharType="end"/>
    </w:r>
  </w:p>
  <w:p>
    <w:pPr>
      <w:pStyle w:val="Footer"/>
      <w:jc w:val="center"/>
      <w:rPr>
        <w:rFonts w:ascii="Arial" w:hAnsi="Arial" w:cs="Arial"/>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5553A"/>
    <w:multiLevelType w:val="hybridMultilevel"/>
    <w:tmpl w:val="824E86A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19">
      <w:start w:val="1"/>
      <w:numFmt w:val="lowerLetter"/>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F656FC"/>
    <w:multiLevelType w:val="hybridMultilevel"/>
    <w:tmpl w:val="90C20C84"/>
    <w:lvl w:ilvl="0" w:tplc="34090019">
      <w:start w:val="1"/>
      <w:numFmt w:val="lowerLetter"/>
      <w:lvlText w:val="%1."/>
      <w:lvlJc w:val="lef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2" w15:restartNumberingAfterBreak="0">
    <w:nsid w:val="0E19128F"/>
    <w:multiLevelType w:val="multilevel"/>
    <w:tmpl w:val="0E19128F"/>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3" w15:restartNumberingAfterBreak="0">
    <w:nsid w:val="14D56396"/>
    <w:multiLevelType w:val="hybridMultilevel"/>
    <w:tmpl w:val="13C85572"/>
    <w:lvl w:ilvl="0" w:tplc="FFFFFFFF">
      <w:start w:val="1"/>
      <w:numFmt w:val="decimal"/>
      <w:lvlText w:val="%1."/>
      <w:lvlJc w:val="left"/>
      <w:pPr>
        <w:ind w:left="360" w:hanging="360"/>
      </w:pPr>
      <w:rPr>
        <w:rFonts w:ascii="Arial" w:hAnsi="Arial" w:cs="Arial"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A376ED1"/>
    <w:multiLevelType w:val="multilevel"/>
    <w:tmpl w:val="D284B58A"/>
    <w:lvl w:ilvl="0">
      <w:start w:val="1"/>
      <w:numFmt w:val="decimal"/>
      <w:lvlText w:val="%1."/>
      <w:lvlJc w:val="left"/>
      <w:pPr>
        <w:ind w:left="720" w:hanging="360"/>
      </w:pPr>
      <w:rPr>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decimal"/>
      <w:isLgl/>
      <w:lvlText w:val="%1.%2.%3."/>
      <w:lvlJc w:val="left"/>
      <w:pPr>
        <w:ind w:left="1080" w:hanging="720"/>
      </w:pPr>
      <w:rPr>
        <w:rFonts w:ascii="Arial" w:hAnsi="Arial" w:cs="Arial" w:hint="default"/>
        <w:sz w:val="22"/>
      </w:r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5" w15:restartNumberingAfterBreak="0">
    <w:nsid w:val="224271F5"/>
    <w:multiLevelType w:val="multilevel"/>
    <w:tmpl w:val="224271F5"/>
    <w:lvl w:ilvl="0">
      <w:start w:val="1"/>
      <w:numFmt w:val="bullet"/>
      <w:lvlText w:val=""/>
      <w:lvlJc w:val="left"/>
      <w:pPr>
        <w:ind w:left="1260" w:hanging="360"/>
      </w:pPr>
      <w:rPr>
        <w:rFonts w:ascii="Symbol" w:hAnsi="Symbol"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AA75F1"/>
    <w:multiLevelType w:val="multilevel"/>
    <w:tmpl w:val="BB1CB3F2"/>
    <w:lvl w:ilvl="0">
      <w:start w:val="1"/>
      <w:numFmt w:val="decimal"/>
      <w:lvlText w:val="%1."/>
      <w:lvlJc w:val="left"/>
      <w:pPr>
        <w:ind w:left="720" w:hanging="360"/>
      </w:pPr>
      <w:rPr>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lowerLetter"/>
      <w:lvlText w:val="%3."/>
      <w:lvlJc w:val="left"/>
      <w:pPr>
        <w:ind w:left="720" w:hanging="360"/>
      </w:p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7" w15:restartNumberingAfterBreak="0">
    <w:nsid w:val="281A259E"/>
    <w:multiLevelType w:val="multilevel"/>
    <w:tmpl w:val="211479AC"/>
    <w:lvl w:ilvl="0">
      <w:start w:val="1"/>
      <w:numFmt w:val="decimal"/>
      <w:lvlText w:val="%1."/>
      <w:lvlJc w:val="left"/>
      <w:pPr>
        <w:ind w:left="720" w:hanging="360"/>
      </w:pPr>
      <w:rPr>
        <w:b/>
        <w:bCs/>
      </w:rPr>
    </w:lvl>
    <w:lvl w:ilvl="1">
      <w:start w:val="1"/>
      <w:numFmt w:val="decimal"/>
      <w:isLgl/>
      <w:lvlText w:val="%1.%2."/>
      <w:lvlJc w:val="left"/>
      <w:pPr>
        <w:ind w:left="1080" w:hanging="360"/>
      </w:pPr>
      <w:rPr>
        <w:rFonts w:ascii="Arial" w:hAnsi="Arial" w:cs="Arial" w:hint="default"/>
        <w:b w:val="0"/>
        <w:bCs w:val="0"/>
        <w:sz w:val="22"/>
        <w:szCs w:val="22"/>
      </w:rPr>
    </w:lvl>
    <w:lvl w:ilvl="2">
      <w:start w:val="1"/>
      <w:numFmt w:val="lowerLetter"/>
      <w:lvlText w:val="%3."/>
      <w:lvlJc w:val="left"/>
      <w:pPr>
        <w:ind w:left="720" w:hanging="360"/>
      </w:pPr>
    </w:lvl>
    <w:lvl w:ilvl="3">
      <w:start w:val="1"/>
      <w:numFmt w:val="decimal"/>
      <w:isLgl/>
      <w:lvlText w:val="%1.%2.%3.%4."/>
      <w:lvlJc w:val="left"/>
      <w:pPr>
        <w:ind w:left="1080" w:hanging="720"/>
      </w:pPr>
      <w:rPr>
        <w:rFonts w:ascii="Arial" w:hAnsi="Arial" w:cs="Arial" w:hint="default"/>
        <w:sz w:val="22"/>
      </w:rPr>
    </w:lvl>
    <w:lvl w:ilvl="4">
      <w:start w:val="1"/>
      <w:numFmt w:val="decimal"/>
      <w:isLgl/>
      <w:lvlText w:val="%1.%2.%3.%4.%5."/>
      <w:lvlJc w:val="left"/>
      <w:pPr>
        <w:ind w:left="1440" w:hanging="1080"/>
      </w:pPr>
      <w:rPr>
        <w:rFonts w:ascii="Arial" w:hAnsi="Arial" w:cs="Arial" w:hint="default"/>
        <w:sz w:val="22"/>
      </w:rPr>
    </w:lvl>
    <w:lvl w:ilvl="5">
      <w:start w:val="1"/>
      <w:numFmt w:val="decimal"/>
      <w:isLgl/>
      <w:lvlText w:val="%1.%2.%3.%4.%5.%6."/>
      <w:lvlJc w:val="left"/>
      <w:pPr>
        <w:ind w:left="1440" w:hanging="1080"/>
      </w:pPr>
      <w:rPr>
        <w:rFonts w:ascii="Arial" w:hAnsi="Arial" w:cs="Arial" w:hint="default"/>
        <w:sz w:val="22"/>
      </w:rPr>
    </w:lvl>
    <w:lvl w:ilvl="6">
      <w:start w:val="1"/>
      <w:numFmt w:val="decimal"/>
      <w:isLgl/>
      <w:lvlText w:val="%1.%2.%3.%4.%5.%6.%7."/>
      <w:lvlJc w:val="left"/>
      <w:pPr>
        <w:ind w:left="1800" w:hanging="1440"/>
      </w:pPr>
      <w:rPr>
        <w:rFonts w:ascii="Arial" w:hAnsi="Arial" w:cs="Arial" w:hint="default"/>
        <w:sz w:val="22"/>
      </w:rPr>
    </w:lvl>
    <w:lvl w:ilvl="7">
      <w:start w:val="1"/>
      <w:numFmt w:val="decimal"/>
      <w:isLgl/>
      <w:lvlText w:val="%1.%2.%3.%4.%5.%6.%7.%8."/>
      <w:lvlJc w:val="left"/>
      <w:pPr>
        <w:ind w:left="1800" w:hanging="1440"/>
      </w:pPr>
      <w:rPr>
        <w:rFonts w:ascii="Arial" w:hAnsi="Arial" w:cs="Arial" w:hint="default"/>
        <w:sz w:val="22"/>
      </w:rPr>
    </w:lvl>
    <w:lvl w:ilvl="8">
      <w:start w:val="1"/>
      <w:numFmt w:val="decimal"/>
      <w:isLgl/>
      <w:lvlText w:val="%1.%2.%3.%4.%5.%6.%7.%8.%9."/>
      <w:lvlJc w:val="left"/>
      <w:pPr>
        <w:ind w:left="2160" w:hanging="1800"/>
      </w:pPr>
      <w:rPr>
        <w:rFonts w:ascii="Arial" w:hAnsi="Arial" w:cs="Arial" w:hint="default"/>
        <w:sz w:val="22"/>
      </w:rPr>
    </w:lvl>
  </w:abstractNum>
  <w:abstractNum w:abstractNumId="8" w15:restartNumberingAfterBreak="0">
    <w:nsid w:val="34C47D6B"/>
    <w:multiLevelType w:val="hybridMultilevel"/>
    <w:tmpl w:val="13C85572"/>
    <w:lvl w:ilvl="0" w:tplc="8AE88028">
      <w:start w:val="1"/>
      <w:numFmt w:val="decimal"/>
      <w:lvlText w:val="%1."/>
      <w:lvlJc w:val="left"/>
      <w:pPr>
        <w:ind w:left="360" w:hanging="360"/>
      </w:pPr>
      <w:rPr>
        <w:rFonts w:ascii="Arial" w:hAnsi="Arial" w:cs="Arial" w:hint="default"/>
        <w:sz w:val="22"/>
        <w:szCs w:val="22"/>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38205D34"/>
    <w:multiLevelType w:val="multilevel"/>
    <w:tmpl w:val="38205D34"/>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0" w15:restartNumberingAfterBreak="0">
    <w:nsid w:val="38320DAD"/>
    <w:multiLevelType w:val="multilevel"/>
    <w:tmpl w:val="38320DAD"/>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1" w15:restartNumberingAfterBreak="0">
    <w:nsid w:val="3D69142D"/>
    <w:multiLevelType w:val="multilevel"/>
    <w:tmpl w:val="3D69142D"/>
    <w:lvl w:ilvl="0">
      <w:start w:val="1"/>
      <w:numFmt w:val="upperLetter"/>
      <w:lvlText w:val="%1."/>
      <w:lvlJc w:val="left"/>
      <w:pPr>
        <w:ind w:left="720" w:hanging="360"/>
      </w:pPr>
      <w:rPr>
        <w:rFonts w:ascii="Arial" w:hAnsi="Arial" w:cs="Arial" w:hint="default"/>
        <w:b/>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27D7118"/>
    <w:multiLevelType w:val="hybridMultilevel"/>
    <w:tmpl w:val="90C20C84"/>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3" w15:restartNumberingAfterBreak="0">
    <w:nsid w:val="45127BE9"/>
    <w:multiLevelType w:val="multilevel"/>
    <w:tmpl w:val="45127BE9"/>
    <w:lvl w:ilvl="0">
      <w:start w:val="1"/>
      <w:numFmt w:val="lowerLetter"/>
      <w:lvlText w:val="%1."/>
      <w:lvlJc w:val="left"/>
      <w:pPr>
        <w:ind w:left="555" w:hanging="15"/>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4" w15:restartNumberingAfterBreak="0">
    <w:nsid w:val="49726353"/>
    <w:multiLevelType w:val="multilevel"/>
    <w:tmpl w:val="49726353"/>
    <w:lvl w:ilvl="0">
      <w:start w:val="1"/>
      <w:numFmt w:val="decimal"/>
      <w:lvlText w:val="%1."/>
      <w:lvlJc w:val="left"/>
      <w:pPr>
        <w:ind w:left="2160" w:hanging="360"/>
      </w:pPr>
    </w:lvl>
    <w:lvl w:ilvl="1">
      <w:start w:val="1"/>
      <w:numFmt w:val="lowerLetter"/>
      <w:lvlText w:val="%2."/>
      <w:lvlJc w:val="left"/>
      <w:pPr>
        <w:ind w:left="2880" w:hanging="360"/>
      </w:pPr>
      <w:rPr>
        <w:rFonts w:ascii="Arial" w:hAnsi="Arial" w:cs="Arial" w:hint="default"/>
        <w:sz w:val="22"/>
        <w:szCs w:val="22"/>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5" w15:restartNumberingAfterBreak="0">
    <w:nsid w:val="59FE3BFE"/>
    <w:multiLevelType w:val="hybridMultilevel"/>
    <w:tmpl w:val="5A222B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DC75E1B"/>
    <w:multiLevelType w:val="multilevel"/>
    <w:tmpl w:val="5DC75E1B"/>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7" w15:restartNumberingAfterBreak="0">
    <w:nsid w:val="628146D1"/>
    <w:multiLevelType w:val="hybridMultilevel"/>
    <w:tmpl w:val="00121E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4E307F2"/>
    <w:multiLevelType w:val="hybridMultilevel"/>
    <w:tmpl w:val="10F01A7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1"/>
  </w:num>
  <w:num w:numId="2">
    <w:abstractNumId w:val="13"/>
  </w:num>
  <w:num w:numId="3">
    <w:abstractNumId w:val="5"/>
  </w:num>
  <w:num w:numId="4">
    <w:abstractNumId w:val="10"/>
  </w:num>
  <w:num w:numId="5">
    <w:abstractNumId w:val="2"/>
  </w:num>
  <w:num w:numId="6">
    <w:abstractNumId w:val="9"/>
  </w:num>
  <w:num w:numId="7">
    <w:abstractNumId w:val="14"/>
  </w:num>
  <w:num w:numId="8">
    <w:abstractNumId w:val="16"/>
  </w:num>
  <w:num w:numId="9">
    <w:abstractNumId w:val="8"/>
  </w:num>
  <w:num w:numId="10">
    <w:abstractNumId w:val="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1080" w:hanging="360"/>
        </w:pPr>
        <w:rPr>
          <w:rFonts w:ascii="Arial" w:hAnsi="Arial" w:cs="Arial" w:hint="default"/>
          <w:b/>
          <w:bCs w:val="0"/>
          <w:i w:val="0"/>
          <w:sz w:val="22"/>
          <w:szCs w:val="22"/>
        </w:rPr>
      </w:lvl>
    </w:lvlOverride>
    <w:lvlOverride w:ilvl="2">
      <w:lvl w:ilvl="2">
        <w:start w:val="1"/>
        <w:numFmt w:val="decimal"/>
        <w:isLgl/>
        <w:lvlText w:val="%1.%2.%3."/>
        <w:lvlJc w:val="left"/>
        <w:pPr>
          <w:ind w:left="1080" w:hanging="720"/>
        </w:pPr>
        <w:rPr>
          <w:rFonts w:ascii="Arial" w:hAnsi="Arial" w:cs="Arial" w:hint="default"/>
          <w:sz w:val="22"/>
        </w:rPr>
      </w:lvl>
    </w:lvlOverride>
    <w:lvlOverride w:ilvl="3">
      <w:lvl w:ilvl="3">
        <w:start w:val="1"/>
        <w:numFmt w:val="decimal"/>
        <w:isLgl/>
        <w:lvlText w:val="%1.%2.%3.%4."/>
        <w:lvlJc w:val="left"/>
        <w:pPr>
          <w:ind w:left="1080" w:hanging="720"/>
        </w:pPr>
        <w:rPr>
          <w:rFonts w:ascii="Arial" w:hAnsi="Arial" w:cs="Arial" w:hint="default"/>
          <w:sz w:val="22"/>
        </w:rPr>
      </w:lvl>
    </w:lvlOverride>
    <w:lvlOverride w:ilvl="4">
      <w:lvl w:ilvl="4">
        <w:start w:val="1"/>
        <w:numFmt w:val="decimal"/>
        <w:isLgl/>
        <w:lvlText w:val="%1.%2.%3.%4.%5."/>
        <w:lvlJc w:val="left"/>
        <w:pPr>
          <w:ind w:left="1440" w:hanging="1080"/>
        </w:pPr>
        <w:rPr>
          <w:rFonts w:ascii="Arial" w:hAnsi="Arial" w:cs="Arial" w:hint="default"/>
          <w:sz w:val="22"/>
        </w:rPr>
      </w:lvl>
    </w:lvlOverride>
    <w:lvlOverride w:ilvl="5">
      <w:lvl w:ilvl="5">
        <w:start w:val="1"/>
        <w:numFmt w:val="decimal"/>
        <w:isLgl/>
        <w:lvlText w:val="%1.%2.%3.%4.%5.%6."/>
        <w:lvlJc w:val="left"/>
        <w:pPr>
          <w:ind w:left="1440" w:hanging="1080"/>
        </w:pPr>
        <w:rPr>
          <w:rFonts w:ascii="Arial" w:hAnsi="Arial" w:cs="Arial" w:hint="default"/>
          <w:sz w:val="22"/>
        </w:rPr>
      </w:lvl>
    </w:lvlOverride>
    <w:lvlOverride w:ilvl="6">
      <w:lvl w:ilvl="6">
        <w:start w:val="1"/>
        <w:numFmt w:val="decimal"/>
        <w:isLgl/>
        <w:lvlText w:val="%1.%2.%3.%4.%5.%6.%7."/>
        <w:lvlJc w:val="left"/>
        <w:pPr>
          <w:ind w:left="1800" w:hanging="1440"/>
        </w:pPr>
        <w:rPr>
          <w:rFonts w:ascii="Arial" w:hAnsi="Arial" w:cs="Arial" w:hint="default"/>
          <w:sz w:val="22"/>
        </w:rPr>
      </w:lvl>
    </w:lvlOverride>
    <w:lvlOverride w:ilvl="7">
      <w:lvl w:ilvl="7">
        <w:start w:val="1"/>
        <w:numFmt w:val="decimal"/>
        <w:isLgl/>
        <w:lvlText w:val="%1.%2.%3.%4.%5.%6.%7.%8."/>
        <w:lvlJc w:val="left"/>
        <w:pPr>
          <w:ind w:left="1800" w:hanging="1440"/>
        </w:pPr>
        <w:rPr>
          <w:rFonts w:ascii="Arial" w:hAnsi="Arial" w:cs="Arial" w:hint="default"/>
          <w:sz w:val="22"/>
        </w:rPr>
      </w:lvl>
    </w:lvlOverride>
    <w:lvlOverride w:ilvl="8">
      <w:lvl w:ilvl="8">
        <w:start w:val="1"/>
        <w:numFmt w:val="decimal"/>
        <w:isLgl/>
        <w:lvlText w:val="%1.%2.%3.%4.%5.%6.%7.%8.%9."/>
        <w:lvlJc w:val="left"/>
        <w:pPr>
          <w:ind w:left="2160" w:hanging="1800"/>
        </w:pPr>
        <w:rPr>
          <w:rFonts w:ascii="Arial" w:hAnsi="Arial" w:cs="Arial" w:hint="default"/>
          <w:sz w:val="22"/>
        </w:rPr>
      </w:lvl>
    </w:lvlOverride>
  </w:num>
  <w:num w:numId="13">
    <w:abstractNumId w:val="18"/>
  </w:num>
  <w:num w:numId="14">
    <w:abstractNumId w:val="4"/>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1080" w:hanging="360"/>
        </w:pPr>
        <w:rPr>
          <w:rFonts w:ascii="Arial" w:hAnsi="Arial" w:cs="Arial" w:hint="default"/>
          <w:b/>
          <w:bCs w:val="0"/>
          <w:i w:val="0"/>
          <w:sz w:val="22"/>
          <w:szCs w:val="22"/>
        </w:rPr>
      </w:lvl>
    </w:lvlOverride>
    <w:lvlOverride w:ilvl="2">
      <w:lvl w:ilvl="2">
        <w:start w:val="1"/>
        <w:numFmt w:val="decimal"/>
        <w:isLgl/>
        <w:lvlText w:val="%1.%2.%3."/>
        <w:lvlJc w:val="left"/>
        <w:pPr>
          <w:ind w:left="1080" w:hanging="720"/>
        </w:pPr>
        <w:rPr>
          <w:rFonts w:ascii="Arial" w:hAnsi="Arial" w:cs="Arial" w:hint="default"/>
          <w:sz w:val="22"/>
        </w:rPr>
      </w:lvl>
    </w:lvlOverride>
    <w:lvlOverride w:ilvl="3">
      <w:lvl w:ilvl="3">
        <w:start w:val="1"/>
        <w:numFmt w:val="decimal"/>
        <w:isLgl/>
        <w:lvlText w:val="%1.%2.%3.%4."/>
        <w:lvlJc w:val="left"/>
        <w:pPr>
          <w:ind w:left="1080" w:hanging="720"/>
        </w:pPr>
        <w:rPr>
          <w:rFonts w:ascii="Arial" w:hAnsi="Arial" w:cs="Arial" w:hint="default"/>
          <w:sz w:val="22"/>
        </w:rPr>
      </w:lvl>
    </w:lvlOverride>
    <w:lvlOverride w:ilvl="4">
      <w:lvl w:ilvl="4">
        <w:start w:val="1"/>
        <w:numFmt w:val="decimal"/>
        <w:isLgl/>
        <w:lvlText w:val="%1.%2.%3.%4.%5."/>
        <w:lvlJc w:val="left"/>
        <w:pPr>
          <w:ind w:left="1440" w:hanging="1080"/>
        </w:pPr>
        <w:rPr>
          <w:rFonts w:ascii="Arial" w:hAnsi="Arial" w:cs="Arial" w:hint="default"/>
          <w:sz w:val="22"/>
        </w:rPr>
      </w:lvl>
    </w:lvlOverride>
    <w:lvlOverride w:ilvl="5">
      <w:lvl w:ilvl="5">
        <w:start w:val="1"/>
        <w:numFmt w:val="decimal"/>
        <w:isLgl/>
        <w:lvlText w:val="%1.%2.%3.%4.%5.%6."/>
        <w:lvlJc w:val="left"/>
        <w:pPr>
          <w:ind w:left="1440" w:hanging="1080"/>
        </w:pPr>
        <w:rPr>
          <w:rFonts w:ascii="Arial" w:hAnsi="Arial" w:cs="Arial" w:hint="default"/>
          <w:sz w:val="22"/>
        </w:rPr>
      </w:lvl>
    </w:lvlOverride>
    <w:lvlOverride w:ilvl="6">
      <w:lvl w:ilvl="6">
        <w:start w:val="1"/>
        <w:numFmt w:val="decimal"/>
        <w:isLgl/>
        <w:lvlText w:val="%1.%2.%3.%4.%5.%6.%7."/>
        <w:lvlJc w:val="left"/>
        <w:pPr>
          <w:ind w:left="1800" w:hanging="1440"/>
        </w:pPr>
        <w:rPr>
          <w:rFonts w:ascii="Arial" w:hAnsi="Arial" w:cs="Arial" w:hint="default"/>
          <w:sz w:val="22"/>
        </w:rPr>
      </w:lvl>
    </w:lvlOverride>
    <w:lvlOverride w:ilvl="7">
      <w:lvl w:ilvl="7">
        <w:start w:val="1"/>
        <w:numFmt w:val="decimal"/>
        <w:isLgl/>
        <w:lvlText w:val="%1.%2.%3.%4.%5.%6.%7.%8."/>
        <w:lvlJc w:val="left"/>
        <w:pPr>
          <w:ind w:left="1800" w:hanging="1440"/>
        </w:pPr>
        <w:rPr>
          <w:rFonts w:ascii="Arial" w:hAnsi="Arial" w:cs="Arial" w:hint="default"/>
          <w:sz w:val="22"/>
        </w:rPr>
      </w:lvl>
    </w:lvlOverride>
    <w:lvlOverride w:ilvl="8">
      <w:lvl w:ilvl="8">
        <w:start w:val="1"/>
        <w:numFmt w:val="decimal"/>
        <w:isLgl/>
        <w:lvlText w:val="%1.%2.%3.%4.%5.%6.%7.%8.%9."/>
        <w:lvlJc w:val="left"/>
        <w:pPr>
          <w:ind w:left="2160" w:hanging="1800"/>
        </w:pPr>
        <w:rPr>
          <w:rFonts w:ascii="Arial" w:hAnsi="Arial" w:cs="Arial" w:hint="default"/>
          <w:sz w:val="22"/>
        </w:rPr>
      </w:lvl>
    </w:lvlOverride>
  </w:num>
  <w:num w:numId="15">
    <w:abstractNumId w:val="7"/>
  </w:num>
  <w:num w:numId="16">
    <w:abstractNumId w:val="15"/>
  </w:num>
  <w:num w:numId="17">
    <w:abstractNumId w:val="1"/>
  </w:num>
  <w:num w:numId="18">
    <w:abstractNumId w:val="3"/>
  </w:num>
  <w:num w:numId="19">
    <w:abstractNumId w:val="6"/>
  </w:num>
  <w:num w:numId="20">
    <w:abstractNumId w:val="17"/>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j0ZPh5wnPL+1ueSmWbtWadY17nt7xXubH2xzcZ8BsT9ynk2zPcsFkkd8nP/ztYo3g5EK37XrfsAhiqGSb+u8hg==" w:salt="ZYmQlw7P9XB7ifF/1Slhe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6B0E6068-2DC9-4339-82E6-CC0FD904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iPriority="0" w:unhideWhenUsed="1" w:qFormat="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nhideWhenUsed/>
    <w:qFormat/>
    <w:rPr>
      <w:sz w:val="20"/>
      <w:szCs w:val="20"/>
      <w:lang w:val="en-GB" w:eastAsia="en-GB"/>
    </w:rPr>
  </w:style>
  <w:style w:type="paragraph" w:styleId="Footer">
    <w:name w:val="footer"/>
    <w:basedOn w:val="Normal"/>
    <w:link w:val="FooterChar"/>
    <w:uiPriority w:val="99"/>
    <w:qFormat/>
    <w:pPr>
      <w:tabs>
        <w:tab w:val="center" w:pos="4320"/>
        <w:tab w:val="right" w:pos="8640"/>
      </w:tabs>
    </w:pPr>
    <w:rPr>
      <w:lang w:eastAsia="zh-CN"/>
    </w:rPr>
  </w:style>
  <w:style w:type="character" w:styleId="PageNumber">
    <w:name w:val="page number"/>
    <w:qFormat/>
  </w:style>
  <w:style w:type="paragraph" w:styleId="Title">
    <w:name w:val="Title"/>
    <w:basedOn w:val="Normal"/>
    <w:link w:val="TitleChar"/>
    <w:qFormat/>
    <w:pPr>
      <w:jc w:val="center"/>
    </w:pPr>
    <w:rPr>
      <w:b/>
      <w:lang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eastAsia="zh-CN"/>
    </w:rPr>
  </w:style>
  <w:style w:type="character" w:customStyle="1" w:styleId="TitleChar">
    <w:name w:val="Title Char"/>
    <w:basedOn w:val="DefaultParagraphFont"/>
    <w:link w:val="Title"/>
    <w:qFormat/>
    <w:rPr>
      <w:rFonts w:ascii="Times New Roman" w:eastAsia="Times New Roman" w:hAnsi="Times New Roman" w:cs="Times New Roman"/>
      <w:b/>
      <w:sz w:val="24"/>
      <w:szCs w:val="24"/>
      <w:lang w:val="en-US" w:eastAsia="zh-CN"/>
    </w:rPr>
  </w:style>
  <w:style w:type="paragraph" w:styleId="ListParagraph">
    <w:name w:val="List Paragraph"/>
    <w:aliases w:val="Resume Title"/>
    <w:basedOn w:val="Normal"/>
    <w:link w:val="ListParagraphChar"/>
    <w:uiPriority w:val="99"/>
    <w:qFormat/>
    <w:pPr>
      <w:ind w:left="720"/>
    </w:pPr>
  </w:style>
  <w:style w:type="paragraph" w:styleId="NoSpacing">
    <w:name w:val="No Spacing"/>
    <w:link w:val="NoSpacingChar"/>
    <w:uiPriority w:val="1"/>
    <w:qFormat/>
    <w:rPr>
      <w:rFonts w:ascii="Calibri" w:eastAsia="Calibri" w:hAnsi="Calibri" w:cs="Times New Roman"/>
      <w:sz w:val="22"/>
      <w:szCs w:val="22"/>
    </w:rPr>
  </w:style>
  <w:style w:type="character" w:customStyle="1" w:styleId="NoSpacingChar">
    <w:name w:val="No Spacing Char"/>
    <w:link w:val="NoSpacing"/>
    <w:uiPriority w:val="1"/>
    <w:qFormat/>
    <w:rPr>
      <w:rFonts w:ascii="Calibri" w:eastAsia="Calibri" w:hAnsi="Calibri" w:cs="Times New Roman"/>
      <w:lang w:val="en-US"/>
    </w:rPr>
  </w:style>
  <w:style w:type="character" w:customStyle="1" w:styleId="ListParagraphChar">
    <w:name w:val="List Paragraph Char"/>
    <w:aliases w:val="Resume Title Char"/>
    <w:link w:val="ListParagraph"/>
    <w:uiPriority w:val="99"/>
    <w:qFormat/>
    <w:rPr>
      <w:rFonts w:ascii="Times New Roman" w:eastAsia="Times New Roman" w:hAnsi="Times New Roman" w:cs="Times New Roman"/>
      <w:sz w:val="24"/>
      <w:szCs w:val="24"/>
      <w:lang w:val="en-US"/>
    </w:rPr>
  </w:style>
  <w:style w:type="character" w:customStyle="1" w:styleId="CommentTextChar">
    <w:name w:val="Comment Text Char"/>
    <w:basedOn w:val="DefaultParagraphFont"/>
    <w:link w:val="CommentText"/>
    <w:qFormat/>
    <w:rPr>
      <w:rFonts w:ascii="Times New Roman" w:eastAsia="Times New Roman" w:hAnsi="Times New Roman" w:cs="Times New Roman"/>
      <w:sz w:val="20"/>
      <w:szCs w:val="20"/>
      <w:lang w:val="en-GB" w:eastAsia="en-GB"/>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qFormat/>
    <w:rPr>
      <w:sz w:val="20"/>
      <w:szCs w:val="20"/>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rPr>
  </w:style>
  <w:style w:type="character" w:styleId="FootnoteReference">
    <w:name w:val="footnote reference"/>
    <w:basedOn w:val="DefaultParagraphFont"/>
    <w:uiPriority w:val="99"/>
    <w:unhideWhenUsed/>
    <w:qFormat/>
    <w:rPr>
      <w:vertAlign w:val="superscript"/>
    </w:rPr>
  </w:style>
  <w:style w:type="paragraph" w:styleId="Revision">
    <w:name w:val="Revision"/>
    <w:hidden/>
    <w:uiPriority w:val="99"/>
    <w:semiHidden/>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Pr>
      <w:b/>
      <w:bCs/>
      <w:lang w:val="en-US" w:eastAsia="en-U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321106">
      <w:bodyDiv w:val="1"/>
      <w:marLeft w:val="0"/>
      <w:marRight w:val="0"/>
      <w:marTop w:val="0"/>
      <w:marBottom w:val="0"/>
      <w:divBdr>
        <w:top w:val="none" w:sz="0" w:space="0" w:color="auto"/>
        <w:left w:val="none" w:sz="0" w:space="0" w:color="auto"/>
        <w:bottom w:val="none" w:sz="0" w:space="0" w:color="auto"/>
        <w:right w:val="none" w:sz="0" w:space="0" w:color="auto"/>
      </w:divBdr>
    </w:div>
    <w:div w:id="908267302">
      <w:bodyDiv w:val="1"/>
      <w:marLeft w:val="0"/>
      <w:marRight w:val="0"/>
      <w:marTop w:val="0"/>
      <w:marBottom w:val="0"/>
      <w:divBdr>
        <w:top w:val="none" w:sz="0" w:space="0" w:color="auto"/>
        <w:left w:val="none" w:sz="0" w:space="0" w:color="auto"/>
        <w:bottom w:val="none" w:sz="0" w:space="0" w:color="auto"/>
        <w:right w:val="none" w:sz="0" w:space="0" w:color="auto"/>
      </w:divBdr>
    </w:div>
    <w:div w:id="13220754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842</TotalTime>
  <Pages>5</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COA - Manila City, NCR</dc:creator>
  <cp:lastModifiedBy>Ben A. Lazo Jr.</cp:lastModifiedBy>
  <cp:revision>4</cp:revision>
  <cp:lastPrinted>2024-05-30T05:08:00Z</cp:lastPrinted>
  <dcterms:created xsi:type="dcterms:W3CDTF">2024-04-15T11:17:00Z</dcterms:created>
  <dcterms:modified xsi:type="dcterms:W3CDTF">2024-12-12T06:48:00Z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18BB58BC4F0F49E0B898C6CBDBD6B467</vt:lpwstr>
  </property>
</Properties>
</file>