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line="240" w:lineRule="auto"/>
        <w:jc w:val="center"/>
        <w:rPr>
          <w:rFonts w:ascii="Times New Roman" w:hAnsi="Times New Roman"/>
          <w:sz w:val="28"/>
        </w:rPr>
      </w:pPr>
      <w:bookmarkStart w:id="0" w:name="_GoBack"/>
      <w:bookmarkEnd w:id="0"/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TABLE OF CONTENTS</w:t>
      </w:r>
    </w:p>
    <w:p>
      <w:pPr>
        <w:spacing w:after="0" w:line="240" w:lineRule="auto"/>
        <w:rPr>
          <w:rFonts w:ascii="Arial" w:hAnsi="Arial" w:cs="Arial"/>
        </w:rPr>
      </w:pPr>
    </w:p>
    <w:p>
      <w:pPr>
        <w:spacing w:after="0" w:line="240" w:lineRule="auto"/>
        <w:rPr>
          <w:rFonts w:ascii="Arial" w:hAnsi="Arial" w:cs="Arial"/>
        </w:rPr>
      </w:pPr>
    </w:p>
    <w:p>
      <w:pPr>
        <w:spacing w:after="0" w:line="240" w:lineRule="auto"/>
        <w:rPr>
          <w:rFonts w:ascii="Arial" w:hAnsi="Arial" w:cs="Arial"/>
        </w:rPr>
      </w:pPr>
    </w:p>
    <w:p>
      <w:pPr>
        <w:spacing w:after="0" w:line="240" w:lineRule="auto"/>
        <w:rPr>
          <w:rFonts w:ascii="Arial" w:hAnsi="Arial" w:cs="Arial"/>
        </w:rPr>
      </w:pPr>
    </w:p>
    <w:p>
      <w:pPr>
        <w:spacing w:after="0" w:line="240" w:lineRule="auto"/>
        <w:rPr>
          <w:rFonts w:ascii="Arial" w:hAnsi="Arial" w:cs="Arial"/>
        </w:rPr>
      </w:pPr>
    </w:p>
    <w:p>
      <w:pPr>
        <w:tabs>
          <w:tab w:val="left" w:pos="36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     Audited Financial Statements</w:t>
      </w:r>
    </w:p>
    <w:p>
      <w:pPr>
        <w:tabs>
          <w:tab w:val="left" w:pos="540"/>
        </w:tabs>
        <w:spacing w:after="0" w:line="240" w:lineRule="auto"/>
        <w:rPr>
          <w:rFonts w:ascii="Arial" w:hAnsi="Arial" w:cs="Arial"/>
        </w:rPr>
      </w:pP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>
        <w:rPr>
          <w:rFonts w:ascii="Arial" w:hAnsi="Arial" w:cs="Arial"/>
        </w:rPr>
        <w:t>Independent Auditor’s Report</w:t>
      </w:r>
      <w:r>
        <w:rPr>
          <w:rFonts w:ascii="Arial" w:hAnsi="Arial" w:cs="Arial"/>
        </w:rPr>
        <w:tab/>
        <w:t>1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>
        <w:rPr>
          <w:rFonts w:ascii="Arial" w:hAnsi="Arial" w:cs="Arial"/>
        </w:rPr>
        <w:t>Statement of Management Responsibility for Financial Statements</w:t>
      </w:r>
      <w:r>
        <w:rPr>
          <w:rFonts w:ascii="Arial" w:hAnsi="Arial" w:cs="Arial"/>
        </w:rPr>
        <w:tab/>
        <w:t>4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>
        <w:rPr>
          <w:rFonts w:ascii="Arial" w:hAnsi="Arial" w:cs="Arial"/>
        </w:rPr>
        <w:t>Statement of Financial Position</w:t>
      </w:r>
      <w:r>
        <w:rPr>
          <w:rFonts w:ascii="Arial" w:hAnsi="Arial" w:cs="Arial"/>
        </w:rPr>
        <w:tab/>
        <w:t>5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>
        <w:rPr>
          <w:rFonts w:ascii="Arial" w:hAnsi="Arial" w:cs="Arial"/>
        </w:rPr>
        <w:t>Statement of Financial Performance</w:t>
      </w:r>
      <w:r>
        <w:rPr>
          <w:rFonts w:ascii="Arial" w:hAnsi="Arial" w:cs="Arial"/>
        </w:rPr>
        <w:tab/>
        <w:t>6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>
        <w:rPr>
          <w:rFonts w:ascii="Arial" w:hAnsi="Arial" w:cs="Arial"/>
        </w:rPr>
        <w:t>Statement of Cash Flows</w:t>
      </w:r>
      <w:r>
        <w:rPr>
          <w:rFonts w:ascii="Arial" w:hAnsi="Arial" w:cs="Arial"/>
        </w:rPr>
        <w:tab/>
        <w:t>7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>
        <w:rPr>
          <w:rFonts w:ascii="Arial" w:hAnsi="Arial" w:cs="Arial"/>
        </w:rPr>
        <w:t>Statement of Changes in Net Assets/Equity</w:t>
      </w:r>
      <w:r>
        <w:rPr>
          <w:rFonts w:ascii="Arial" w:hAnsi="Arial" w:cs="Arial"/>
        </w:rPr>
        <w:tab/>
        <w:t>8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>
        <w:rPr>
          <w:rFonts w:ascii="Arial" w:hAnsi="Arial" w:cs="Arial"/>
        </w:rPr>
        <w:t>Statement of Comparison of Budget and Actual Amounts</w:t>
      </w:r>
      <w:r>
        <w:rPr>
          <w:rFonts w:ascii="Arial" w:hAnsi="Arial" w:cs="Arial"/>
        </w:rPr>
        <w:tab/>
        <w:t>9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</w:rPr>
      </w:pPr>
      <w:r>
        <w:rPr>
          <w:rFonts w:ascii="Arial" w:hAnsi="Arial" w:cs="Arial"/>
        </w:rPr>
        <w:t>Notes to Financial Statements</w:t>
      </w:r>
      <w:r>
        <w:rPr>
          <w:rFonts w:ascii="Arial" w:hAnsi="Arial" w:cs="Arial"/>
        </w:rPr>
        <w:tab/>
        <w:t>11</w:t>
      </w:r>
    </w:p>
    <w:p>
      <w:pPr>
        <w:tabs>
          <w:tab w:val="left" w:pos="540"/>
        </w:tabs>
        <w:spacing w:after="0" w:line="240" w:lineRule="auto"/>
        <w:ind w:left="540"/>
        <w:rPr>
          <w:rFonts w:ascii="Arial" w:hAnsi="Arial" w:cs="Arial"/>
        </w:rPr>
      </w:pPr>
    </w:p>
    <w:p>
      <w:pPr>
        <w:tabs>
          <w:tab w:val="left" w:pos="450"/>
          <w:tab w:val="left" w:pos="82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II</w:t>
      </w:r>
      <w:r>
        <w:rPr>
          <w:rFonts w:ascii="Arial" w:hAnsi="Arial" w:cs="Arial"/>
        </w:rPr>
        <w:tab/>
        <w:t>Observations and Recommendations</w:t>
      </w:r>
      <w:r>
        <w:rPr>
          <w:rFonts w:ascii="Arial" w:hAnsi="Arial" w:cs="Arial"/>
        </w:rPr>
        <w:tab/>
        <w:t>71</w:t>
      </w:r>
    </w:p>
    <w:p>
      <w:pPr>
        <w:spacing w:after="0" w:line="240" w:lineRule="auto"/>
        <w:rPr>
          <w:rFonts w:ascii="Arial" w:hAnsi="Arial" w:cs="Arial"/>
        </w:rPr>
      </w:pPr>
    </w:p>
    <w:p>
      <w:pPr>
        <w:tabs>
          <w:tab w:val="left" w:pos="450"/>
          <w:tab w:val="left" w:pos="82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III</w:t>
      </w:r>
      <w:r>
        <w:rPr>
          <w:rFonts w:ascii="Arial" w:hAnsi="Arial" w:cs="Arial"/>
        </w:rPr>
        <w:tab/>
        <w:t>Status of Implementation of Prior Years’ Audit Recommendations</w:t>
      </w:r>
      <w:r>
        <w:rPr>
          <w:rFonts w:ascii="Arial" w:hAnsi="Arial" w:cs="Arial"/>
        </w:rPr>
        <w:tab/>
        <w:t>91</w:t>
      </w:r>
    </w:p>
    <w:p>
      <w:pPr>
        <w:tabs>
          <w:tab w:val="left" w:pos="540"/>
          <w:tab w:val="left" w:pos="900"/>
        </w:tabs>
        <w:spacing w:after="0" w:line="240" w:lineRule="auto"/>
        <w:rPr>
          <w:rFonts w:ascii="Arial" w:hAnsi="Arial" w:cs="Arial"/>
        </w:rPr>
      </w:pPr>
    </w:p>
    <w:p>
      <w:pPr>
        <w:tabs>
          <w:tab w:val="left" w:pos="45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</w:rPr>
        <w:t>IV</w:t>
      </w:r>
      <w:r>
        <w:rPr>
          <w:rFonts w:ascii="Arial" w:hAnsi="Arial" w:cs="Arial"/>
        </w:rPr>
        <w:tab/>
        <w:t>Annexes</w:t>
      </w: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PART I</w:t>
      </w:r>
    </w:p>
    <w:p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AUDITED FINANCIAL STATEMENTS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PART II</w:t>
      </w:r>
    </w:p>
    <w:p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OBSERVATIONS AND RECOMMENDATIONS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PART III</w:t>
      </w:r>
    </w:p>
    <w:p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STATUS OF IMPLEMENTATION OF PRIOR YEARS’ AUDIT RECOMMENDATIONS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>
      <w:pPr>
        <w:spacing w:after="0" w:line="240" w:lineRule="auto"/>
        <w:rPr>
          <w:rFonts w:ascii="Times New Roman" w:hAnsi="Times New Roman"/>
          <w:b/>
          <w:sz w:val="40"/>
          <w:szCs w:val="40"/>
        </w:rPr>
      </w:pPr>
    </w:p>
    <w:p>
      <w:pPr>
        <w:spacing w:after="0" w:line="240" w:lineRule="auto"/>
        <w:ind w:right="560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PART IV</w:t>
      </w:r>
    </w:p>
    <w:p>
      <w:pPr>
        <w:spacing w:after="0" w:line="240" w:lineRule="auto"/>
        <w:ind w:right="560"/>
        <w:jc w:val="center"/>
        <w:rPr>
          <w:rFonts w:ascii="Arial" w:hAnsi="Arial" w:cs="Arial"/>
          <w:b/>
          <w:sz w:val="40"/>
          <w:szCs w:val="40"/>
        </w:rPr>
      </w:pPr>
    </w:p>
    <w:p>
      <w:pPr>
        <w:ind w:right="560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ANNEXES</w:t>
      </w:r>
    </w:p>
    <w:p>
      <w:pPr>
        <w:ind w:left="1418"/>
        <w:jc w:val="center"/>
        <w:rPr>
          <w:rFonts w:ascii="Times New Roman" w:hAnsi="Times New Roman"/>
          <w:b/>
          <w:sz w:val="40"/>
          <w:szCs w:val="40"/>
        </w:rPr>
      </w:pPr>
    </w:p>
    <w:p>
      <w:pPr>
        <w:pStyle w:val="ListParagraph"/>
        <w:numPr>
          <w:ilvl w:val="0"/>
          <w:numId w:val="2"/>
        </w:numPr>
        <w:spacing w:after="120" w:line="360" w:lineRule="auto"/>
        <w:ind w:left="426" w:hanging="47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Statement of Financial Position (By Fund)</w:t>
      </w:r>
    </w:p>
    <w:p>
      <w:pPr>
        <w:pStyle w:val="ListParagraph"/>
        <w:numPr>
          <w:ilvl w:val="0"/>
          <w:numId w:val="2"/>
        </w:numPr>
        <w:spacing w:after="120" w:line="360" w:lineRule="auto"/>
        <w:ind w:left="426" w:hanging="47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Statement of Financial Performance (By Fund)</w:t>
      </w:r>
    </w:p>
    <w:p>
      <w:pPr>
        <w:pStyle w:val="ListParagraph"/>
        <w:numPr>
          <w:ilvl w:val="0"/>
          <w:numId w:val="2"/>
        </w:numPr>
        <w:spacing w:after="120" w:line="360" w:lineRule="auto"/>
        <w:ind w:left="426" w:hanging="47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Statement of Changes in Net Assets/Equity (By Fund)</w:t>
      </w:r>
    </w:p>
    <w:p>
      <w:pPr>
        <w:pStyle w:val="ListParagraph"/>
        <w:numPr>
          <w:ilvl w:val="0"/>
          <w:numId w:val="2"/>
        </w:numPr>
        <w:spacing w:after="120" w:line="360" w:lineRule="auto"/>
        <w:ind w:left="426" w:hanging="47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Statement of Cash Flows (By Fund)</w:t>
      </w:r>
    </w:p>
    <w:p>
      <w:pPr>
        <w:pStyle w:val="ListParagraph"/>
        <w:numPr>
          <w:ilvl w:val="0"/>
          <w:numId w:val="2"/>
        </w:numPr>
        <w:spacing w:after="120" w:line="360" w:lineRule="auto"/>
        <w:ind w:left="426" w:hanging="47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Statement of Comparison of Budget and Actual Amounts (General Fund)</w:t>
      </w:r>
    </w:p>
    <w:p>
      <w:pPr>
        <w:pStyle w:val="ListParagraph"/>
        <w:numPr>
          <w:ilvl w:val="0"/>
          <w:numId w:val="2"/>
        </w:numPr>
        <w:spacing w:after="120" w:line="360" w:lineRule="auto"/>
        <w:ind w:left="426" w:hanging="47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Statement of Comparison of Budget and Actual Amounts (Special Education Fund)</w:t>
      </w:r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524F0"/>
    <w:multiLevelType w:val="hybridMultilevel"/>
    <w:tmpl w:val="7270A1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D7619"/>
    <w:multiLevelType w:val="hybridMultilevel"/>
    <w:tmpl w:val="C3EE14DA"/>
    <w:lvl w:ilvl="0" w:tplc="04090015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F546374C">
      <w:start w:val="1"/>
      <w:numFmt w:val="upperLetter"/>
      <w:lvlText w:val="%2.1"/>
      <w:lvlJc w:val="left"/>
      <w:pPr>
        <w:ind w:left="153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250" w:hanging="180"/>
      </w:pPr>
    </w:lvl>
    <w:lvl w:ilvl="3" w:tplc="3409000F" w:tentative="1">
      <w:start w:val="1"/>
      <w:numFmt w:val="decimal"/>
      <w:lvlText w:val="%4."/>
      <w:lvlJc w:val="left"/>
      <w:pPr>
        <w:ind w:left="2970" w:hanging="360"/>
      </w:pPr>
    </w:lvl>
    <w:lvl w:ilvl="4" w:tplc="34090019" w:tentative="1">
      <w:start w:val="1"/>
      <w:numFmt w:val="lowerLetter"/>
      <w:lvlText w:val="%5."/>
      <w:lvlJc w:val="left"/>
      <w:pPr>
        <w:ind w:left="3690" w:hanging="360"/>
      </w:pPr>
    </w:lvl>
    <w:lvl w:ilvl="5" w:tplc="3409001B" w:tentative="1">
      <w:start w:val="1"/>
      <w:numFmt w:val="lowerRoman"/>
      <w:lvlText w:val="%6."/>
      <w:lvlJc w:val="right"/>
      <w:pPr>
        <w:ind w:left="4410" w:hanging="180"/>
      </w:pPr>
    </w:lvl>
    <w:lvl w:ilvl="6" w:tplc="3409000F" w:tentative="1">
      <w:start w:val="1"/>
      <w:numFmt w:val="decimal"/>
      <w:lvlText w:val="%7."/>
      <w:lvlJc w:val="left"/>
      <w:pPr>
        <w:ind w:left="5130" w:hanging="360"/>
      </w:pPr>
    </w:lvl>
    <w:lvl w:ilvl="7" w:tplc="34090019" w:tentative="1">
      <w:start w:val="1"/>
      <w:numFmt w:val="lowerLetter"/>
      <w:lvlText w:val="%8."/>
      <w:lvlJc w:val="left"/>
      <w:pPr>
        <w:ind w:left="5850" w:hanging="360"/>
      </w:pPr>
    </w:lvl>
    <w:lvl w:ilvl="8" w:tplc="3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35D106A"/>
    <w:multiLevelType w:val="hybridMultilevel"/>
    <w:tmpl w:val="1D0CC9E2"/>
    <w:lvl w:ilvl="0" w:tplc="D8D87B48">
      <w:start w:val="1"/>
      <w:numFmt w:val="upperLetter"/>
      <w:lvlText w:val="%1.2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57AA"/>
    <w:multiLevelType w:val="hybridMultilevel"/>
    <w:tmpl w:val="6E563FA0"/>
    <w:lvl w:ilvl="0" w:tplc="A67A3562">
      <w:start w:val="4"/>
      <w:numFmt w:val="upperLetter"/>
      <w:lvlText w:val="%1.2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C0CEB"/>
    <w:multiLevelType w:val="hybridMultilevel"/>
    <w:tmpl w:val="923EF402"/>
    <w:lvl w:ilvl="0" w:tplc="FE628616">
      <w:start w:val="2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C630F"/>
    <w:multiLevelType w:val="hybridMultilevel"/>
    <w:tmpl w:val="127EC406"/>
    <w:lvl w:ilvl="0" w:tplc="DEBC8554">
      <w:start w:val="4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F43FE"/>
    <w:multiLevelType w:val="hybridMultilevel"/>
    <w:tmpl w:val="4BA6B090"/>
    <w:lvl w:ilvl="0" w:tplc="A502D700">
      <w:start w:val="5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133D4"/>
    <w:multiLevelType w:val="hybridMultilevel"/>
    <w:tmpl w:val="02DE46B8"/>
    <w:lvl w:ilvl="0" w:tplc="A75AC60E">
      <w:start w:val="3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sSQ5xpWHBZkU7uvhabrBKeArSgMpHGRB0hyEU5hOO85B70ZqRjSXV29XbSmiBQdxlrg0aiUxw5sHpDogK1bapA==" w:salt="yAma68ZmPd//XjSr7WiHB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4515F1C6-6749-4F95-9094-91390580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Times New Roman"/>
      <w:lang w:val="fil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  <w:lang w:val="fil-PH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  <w:lang w:val="fil-PH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  <w:lang w:val="fil-PH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Calibri" w:eastAsia="Calibri" w:hAnsi="Calibri" w:cs="Times New Roman"/>
      <w:lang w:val="fil-PH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Calibri" w:eastAsia="Calibri" w:hAnsi="Calibri" w:cs="Times New Roman"/>
      <w:sz w:val="20"/>
      <w:szCs w:val="20"/>
      <w:lang w:val="fil-P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libri" w:eastAsia="Calibri" w:hAnsi="Calibri" w:cs="Times New Roman"/>
      <w:b/>
      <w:bCs/>
      <w:sz w:val="20"/>
      <w:szCs w:val="20"/>
      <w:lang w:val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2646C-1280-44D8-80C8-0C5E1F959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 and Flyleaves</vt:lpstr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 and Flyleaves</dc:title>
  <dc:creator>COA - Manila City, NCR</dc:creator>
  <cp:lastModifiedBy>Ben A. Lazo Jr.</cp:lastModifiedBy>
  <cp:revision>4</cp:revision>
  <cp:lastPrinted>2024-05-30T07:35:00Z</cp:lastPrinted>
  <dcterms:created xsi:type="dcterms:W3CDTF">2023-05-11T06:07:00Z</dcterms:created>
  <dcterms:modified xsi:type="dcterms:W3CDTF">2024-12-12T06:48:00Z</dcterms:modified>
  <cp:contentStatus/>
</cp:coreProperties>
</file>