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NoSpacing"/>
        <w:jc w:val="center"/>
        <w:rPr>
          <w:b/>
          <w:sz w:val="22"/>
          <w:u w:val="none"/>
        </w:rPr>
      </w:pPr>
      <w:bookmarkStart w:id="0" w:name="_Hlk10749512"/>
      <w:bookmarkStart w:id="1" w:name="_GoBack"/>
      <w:bookmarkEnd w:id="1"/>
      <w:r>
        <w:rPr>
          <w:b/>
          <w:sz w:val="22"/>
          <w:u w:val="none"/>
        </w:rPr>
        <w:t>OBSERVATIONS AND RECOMMENDATIONS</w:t>
      </w:r>
    </w:p>
    <w:p>
      <w:pPr>
        <w:pStyle w:val="NoSpacing"/>
        <w:jc w:val="center"/>
        <w:rPr>
          <w:b/>
          <w:sz w:val="22"/>
          <w:u w:val="none"/>
        </w:rPr>
      </w:pPr>
    </w:p>
    <w:p>
      <w:pPr>
        <w:jc w:val="both"/>
        <w:rPr>
          <w:rFonts w:ascii="Arial" w:hAnsi="Arial" w:cs="Arial"/>
          <w:sz w:val="22"/>
          <w:szCs w:val="22"/>
        </w:rPr>
      </w:pPr>
      <w:r>
        <w:rPr>
          <w:rFonts w:ascii="Arial" w:hAnsi="Arial" w:cs="Arial"/>
          <w:sz w:val="22"/>
          <w:szCs w:val="22"/>
        </w:rPr>
        <w:t>The audit covered thrust areas pursuant to the General Audit Instructions of the Assistant Commissioner and Specific Audit Instructions of the Director, National Capital Region, both of the Local Government Audit Sector, this Commission, through Memoranda dated              October 9, 2023, and October 11, 2023, respectively, in addition to the areas identified during our risk assessment for the audit of accounts and transactions during the year.</w:t>
      </w:r>
    </w:p>
    <w:p>
      <w:pPr>
        <w:jc w:val="both"/>
        <w:rPr>
          <w:rFonts w:ascii="Arial" w:hAnsi="Arial" w:cs="Arial"/>
          <w:sz w:val="22"/>
          <w:szCs w:val="22"/>
        </w:rPr>
      </w:pPr>
    </w:p>
    <w:p>
      <w:pPr>
        <w:jc w:val="both"/>
        <w:rPr>
          <w:rFonts w:ascii="Arial" w:hAnsi="Arial" w:cs="Arial"/>
          <w:sz w:val="22"/>
          <w:szCs w:val="22"/>
        </w:rPr>
      </w:pPr>
      <w:r>
        <w:rPr>
          <w:rFonts w:ascii="Arial" w:hAnsi="Arial" w:cs="Arial"/>
          <w:sz w:val="22"/>
          <w:szCs w:val="22"/>
        </w:rPr>
        <w:t>The objectives of the audit are to: (a) be able to lend credence to Management’s assertions on the financial statements (FS); (b) recommend agency improvement opportunities; (c) determine compliance with existing laws, rules and regulations; and (d) determine the extent of implementation of prior years’ audit recommendations.</w:t>
      </w:r>
    </w:p>
    <w:p>
      <w:pPr>
        <w:contextualSpacing/>
        <w:jc w:val="both"/>
        <w:rPr>
          <w:rFonts w:ascii="Arial" w:hAnsi="Arial" w:cs="Arial"/>
          <w:b/>
          <w:sz w:val="22"/>
          <w:szCs w:val="22"/>
        </w:rPr>
      </w:pPr>
    </w:p>
    <w:p>
      <w:pPr>
        <w:jc w:val="both"/>
        <w:rPr>
          <w:rFonts w:ascii="Arial" w:hAnsi="Arial" w:cs="Arial"/>
          <w:b/>
          <w:sz w:val="22"/>
          <w:szCs w:val="22"/>
        </w:rPr>
      </w:pPr>
      <w:r>
        <w:rPr>
          <w:rFonts w:ascii="Arial" w:hAnsi="Arial" w:cs="Arial"/>
          <w:bCs/>
          <w:sz w:val="22"/>
          <w:szCs w:val="22"/>
        </w:rPr>
        <w:t xml:space="preserve">The unresolved audit issues are presented herein together with the recommended courses of action, Management’s comments and audit rejoinder, where appropriate. These audit </w:t>
      </w:r>
      <w:r>
        <w:rPr>
          <w:rFonts w:ascii="Arial" w:hAnsi="Arial" w:cs="Arial"/>
          <w:sz w:val="22"/>
          <w:szCs w:val="22"/>
        </w:rPr>
        <w:t>results were discussed with the City Management, concerned officers and personnel in an Exit Conference conducted on April 30, 2024.</w:t>
      </w:r>
    </w:p>
    <w:p>
      <w:pPr>
        <w:tabs>
          <w:tab w:val="left" w:pos="425"/>
          <w:tab w:val="left" w:pos="1200"/>
        </w:tabs>
        <w:jc w:val="both"/>
        <w:rPr>
          <w:rFonts w:ascii="Arial" w:hAnsi="Arial" w:cs="Arial"/>
          <w:b/>
          <w:bCs/>
          <w:sz w:val="22"/>
          <w:szCs w:val="22"/>
          <w:lang w:val="en-PH"/>
        </w:rPr>
      </w:pPr>
    </w:p>
    <w:p>
      <w:pPr>
        <w:pStyle w:val="ListParagraph"/>
        <w:numPr>
          <w:ilvl w:val="0"/>
          <w:numId w:val="7"/>
        </w:numPr>
        <w:ind w:left="450" w:hanging="450"/>
        <w:jc w:val="both"/>
        <w:rPr>
          <w:rFonts w:ascii="Arial" w:hAnsi="Arial" w:cs="Arial"/>
          <w:b/>
          <w:bCs/>
          <w:sz w:val="22"/>
          <w:szCs w:val="22"/>
        </w:rPr>
      </w:pPr>
      <w:r>
        <w:rPr>
          <w:rFonts w:ascii="Arial" w:hAnsi="Arial" w:cs="Arial"/>
          <w:b/>
          <w:bCs/>
          <w:sz w:val="22"/>
          <w:szCs w:val="22"/>
        </w:rPr>
        <w:t xml:space="preserve">The accuracy of the Cash-in-Bank (CiB) accounts balance as of </w:t>
      </w:r>
      <w:r>
        <w:rPr>
          <w:rFonts w:ascii="Arial" w:hAnsi="Arial" w:cs="Arial"/>
          <w:b/>
          <w:bCs/>
          <w:sz w:val="22"/>
          <w:szCs w:val="22"/>
        </w:rPr>
        <w:br/>
        <w:t>December 31, 2023, amounting to P9.237 billion could not be established due to: 1) unreconciled variance of P106.634 million between books balances and the result of bank confirmations, and 2) accumulated unadjusted book reconciling items for several years totaling P182.123 million, mainly due to lapses in the preparation and submission of Bank Reconciliation Statements (BRS) contrary to Section 74 of Presidential Decree (PD) No. 1445. Thus, affected the fair presentation of the FS.</w:t>
      </w:r>
    </w:p>
    <w:p>
      <w:pPr>
        <w:pStyle w:val="ListParagraph"/>
        <w:ind w:left="284"/>
        <w:jc w:val="both"/>
        <w:rPr>
          <w:rFonts w:ascii="Arial" w:eastAsia="Calibri" w:hAnsi="Arial" w:cs="Arial"/>
          <w:b/>
          <w:bCs/>
          <w:sz w:val="22"/>
          <w:szCs w:val="22"/>
        </w:rPr>
      </w:pPr>
    </w:p>
    <w:p>
      <w:pPr>
        <w:pStyle w:val="ListParagraph"/>
        <w:numPr>
          <w:ilvl w:val="1"/>
          <w:numId w:val="7"/>
        </w:numPr>
        <w:ind w:left="993" w:hanging="543"/>
        <w:jc w:val="both"/>
        <w:rPr>
          <w:rFonts w:ascii="Arial" w:eastAsia="Calibri" w:hAnsi="Arial" w:cs="Arial"/>
          <w:sz w:val="22"/>
          <w:szCs w:val="22"/>
        </w:rPr>
      </w:pPr>
      <w:r>
        <w:rPr>
          <w:rFonts w:ascii="Arial" w:eastAsia="Calibri" w:hAnsi="Arial" w:cs="Arial"/>
          <w:sz w:val="22"/>
          <w:szCs w:val="22"/>
        </w:rPr>
        <w:t>Section 74 of PD No. 1445</w:t>
      </w:r>
    </w:p>
    <w:p>
      <w:pPr>
        <w:pStyle w:val="ListParagraph"/>
        <w:ind w:left="993" w:hanging="633"/>
        <w:jc w:val="both"/>
        <w:rPr>
          <w:rFonts w:ascii="Arial" w:eastAsia="Calibri" w:hAnsi="Arial" w:cs="Arial"/>
          <w:sz w:val="22"/>
          <w:szCs w:val="22"/>
        </w:rPr>
      </w:pPr>
    </w:p>
    <w:p>
      <w:pPr>
        <w:pStyle w:val="ListParagraph"/>
        <w:ind w:left="1276" w:right="495"/>
        <w:jc w:val="both"/>
        <w:rPr>
          <w:rFonts w:ascii="Arial" w:eastAsiaTheme="minorHAnsi" w:hAnsi="Arial" w:cs="Arial"/>
          <w:i/>
          <w:iCs/>
          <w:sz w:val="22"/>
          <w:szCs w:val="22"/>
          <w14:ligatures w14:val="standardContextual"/>
        </w:rPr>
      </w:pPr>
      <w:r>
        <w:rPr>
          <w:rFonts w:ascii="Arial" w:hAnsi="Arial" w:cs="Arial"/>
          <w:b/>
          <w:bCs/>
          <w:i/>
          <w:iCs/>
          <w:sz w:val="22"/>
          <w:szCs w:val="22"/>
        </w:rPr>
        <w:t xml:space="preserve">Monthly reports of depositories to agency head. </w:t>
      </w:r>
      <w:r>
        <w:rPr>
          <w:rFonts w:ascii="Arial" w:hAnsi="Arial" w:cs="Arial"/>
          <w:i/>
          <w:iCs/>
          <w:sz w:val="22"/>
          <w:szCs w:val="22"/>
        </w:rPr>
        <w:t>At the close of each month, depositories shall report to the agency head, in such form as he may direct, the condition of the agency account standing on their books. The head of the agency shall see to it that a reconciliation is made between the balance shown in the reports and the balance found in the books of the agency.</w:t>
      </w:r>
    </w:p>
    <w:p>
      <w:pPr>
        <w:pStyle w:val="ListParagraph"/>
        <w:ind w:left="993" w:hanging="633"/>
        <w:jc w:val="both"/>
        <w:rPr>
          <w:rFonts w:ascii="Arial" w:eastAsia="Calibri" w:hAnsi="Arial" w:cs="Arial"/>
          <w:sz w:val="22"/>
          <w:szCs w:val="22"/>
        </w:rPr>
      </w:pPr>
    </w:p>
    <w:p>
      <w:pPr>
        <w:pStyle w:val="ListParagraph"/>
        <w:numPr>
          <w:ilvl w:val="1"/>
          <w:numId w:val="7"/>
        </w:numPr>
        <w:ind w:left="993" w:hanging="543"/>
        <w:jc w:val="both"/>
        <w:rPr>
          <w:rFonts w:ascii="Arial" w:eastAsia="Calibri" w:hAnsi="Arial" w:cs="Arial"/>
          <w:b/>
          <w:bCs/>
          <w:sz w:val="22"/>
          <w:szCs w:val="22"/>
        </w:rPr>
      </w:pPr>
      <w:r>
        <w:rPr>
          <w:rFonts w:ascii="Arial" w:eastAsia="Calibri" w:hAnsi="Arial" w:cs="Arial"/>
          <w:sz w:val="22"/>
          <w:szCs w:val="22"/>
        </w:rPr>
        <w:t>In CY 2023, the City maintained 65 bank accounts in various banks namely: Landbank of the Philippines (LBP), Development Bank of the Philippines (DBP), and Philippine Veterans Bank (PVB) as detailed in Table 1.</w:t>
      </w:r>
    </w:p>
    <w:p>
      <w:pPr>
        <w:pStyle w:val="ListParagraph"/>
        <w:ind w:left="284"/>
        <w:jc w:val="both"/>
        <w:rPr>
          <w:rFonts w:ascii="Arial" w:eastAsia="Calibri" w:hAnsi="Arial" w:cs="Arial"/>
        </w:rPr>
      </w:pPr>
    </w:p>
    <w:p>
      <w:pPr>
        <w:pStyle w:val="ListParagraph"/>
        <w:ind w:firstLine="270"/>
        <w:jc w:val="center"/>
        <w:rPr>
          <w:rFonts w:ascii="Arial" w:eastAsia="Calibri" w:hAnsi="Arial" w:cs="Arial"/>
          <w:sz w:val="20"/>
          <w:szCs w:val="20"/>
        </w:rPr>
      </w:pPr>
      <w:r>
        <w:rPr>
          <w:rFonts w:ascii="Arial" w:eastAsia="Calibri" w:hAnsi="Arial" w:cs="Arial"/>
          <w:sz w:val="20"/>
          <w:szCs w:val="20"/>
        </w:rPr>
        <w:t>Table 1. Number of bank accounts maintained by the City in three (3) banks in CY 2023</w:t>
      </w:r>
    </w:p>
    <w:tbl>
      <w:tblPr>
        <w:tblStyle w:val="TableGrid"/>
        <w:tblW w:w="7851" w:type="dxa"/>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1164"/>
        <w:gridCol w:w="1843"/>
        <w:gridCol w:w="1275"/>
        <w:gridCol w:w="993"/>
      </w:tblGrid>
      <w:tr>
        <w:trPr>
          <w:trHeight w:val="20"/>
          <w:tblHeader/>
        </w:trPr>
        <w:tc>
          <w:tcPr>
            <w:tcW w:w="2576" w:type="dxa"/>
            <w:tcBorders>
              <w:top w:val="single" w:sz="4" w:space="0" w:color="auto"/>
              <w:bottom w:val="single" w:sz="4" w:space="0" w:color="auto"/>
            </w:tcBorders>
            <w:hideMark/>
          </w:tcPr>
          <w:p>
            <w:pPr>
              <w:pStyle w:val="ListParagraph"/>
              <w:ind w:left="0"/>
              <w:jc w:val="center"/>
              <w:rPr>
                <w:rFonts w:ascii="Arial" w:eastAsia="Calibri" w:hAnsi="Arial" w:cs="Arial"/>
                <w:b/>
                <w:bCs/>
                <w:sz w:val="20"/>
                <w:szCs w:val="20"/>
                <w:lang w:eastAsia="en-PH"/>
              </w:rPr>
            </w:pPr>
            <w:r>
              <w:rPr>
                <w:rFonts w:ascii="Arial" w:hAnsi="Arial" w:cs="Arial"/>
                <w:b/>
                <w:bCs/>
                <w:sz w:val="20"/>
                <w:szCs w:val="20"/>
                <w:lang w:eastAsia="en-PH"/>
              </w:rPr>
              <w:t>Account</w:t>
            </w:r>
          </w:p>
        </w:tc>
        <w:tc>
          <w:tcPr>
            <w:tcW w:w="1164"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General Fund (GF)</w:t>
            </w:r>
          </w:p>
        </w:tc>
        <w:tc>
          <w:tcPr>
            <w:tcW w:w="1843"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Special Education Fund (SEF)</w:t>
            </w:r>
          </w:p>
        </w:tc>
        <w:tc>
          <w:tcPr>
            <w:tcW w:w="1275"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Trust Fund (TF)</w:t>
            </w:r>
          </w:p>
        </w:tc>
        <w:tc>
          <w:tcPr>
            <w:tcW w:w="993"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 xml:space="preserve">Total </w:t>
            </w:r>
          </w:p>
        </w:tc>
      </w:tr>
      <w:tr>
        <w:trPr>
          <w:trHeight w:val="20"/>
        </w:trPr>
        <w:tc>
          <w:tcPr>
            <w:tcW w:w="7851" w:type="dxa"/>
            <w:gridSpan w:val="5"/>
            <w:tcBorders>
              <w:top w:val="single" w:sz="4" w:space="0" w:color="auto"/>
            </w:tcBorders>
            <w:hideMark/>
          </w:tcPr>
          <w:p>
            <w:pPr>
              <w:pStyle w:val="ListParagraph"/>
              <w:ind w:left="0"/>
              <w:rPr>
                <w:rFonts w:ascii="Arial" w:hAnsi="Arial" w:cs="Arial"/>
                <w:sz w:val="20"/>
                <w:szCs w:val="20"/>
                <w:lang w:eastAsia="en-PH"/>
              </w:rPr>
            </w:pPr>
            <w:r>
              <w:rPr>
                <w:rFonts w:ascii="Arial" w:hAnsi="Arial" w:cs="Arial"/>
                <w:sz w:val="20"/>
                <w:szCs w:val="20"/>
                <w:lang w:eastAsia="en-PH"/>
              </w:rPr>
              <w:t>CiB- Local Currency Current Account (CiB-LCCA)</w:t>
            </w:r>
          </w:p>
        </w:tc>
      </w:tr>
      <w:tr>
        <w:trPr>
          <w:trHeight w:val="20"/>
        </w:trPr>
        <w:tc>
          <w:tcPr>
            <w:tcW w:w="2576" w:type="dxa"/>
            <w:hideMark/>
          </w:tcPr>
          <w:p>
            <w:pPr>
              <w:pStyle w:val="ListParagraph"/>
              <w:numPr>
                <w:ilvl w:val="0"/>
                <w:numId w:val="8"/>
              </w:numPr>
              <w:jc w:val="both"/>
              <w:rPr>
                <w:rFonts w:ascii="Arial" w:hAnsi="Arial" w:cs="Arial"/>
                <w:sz w:val="20"/>
                <w:szCs w:val="20"/>
                <w:lang w:eastAsia="en-PH"/>
              </w:rPr>
            </w:pPr>
            <w:r>
              <w:rPr>
                <w:rFonts w:ascii="Arial" w:hAnsi="Arial" w:cs="Arial"/>
                <w:sz w:val="20"/>
                <w:szCs w:val="20"/>
                <w:lang w:eastAsia="en-PH"/>
              </w:rPr>
              <w:t>LBP</w:t>
            </w:r>
          </w:p>
        </w:tc>
        <w:tc>
          <w:tcPr>
            <w:tcW w:w="1164"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2</w:t>
            </w:r>
          </w:p>
        </w:tc>
        <w:tc>
          <w:tcPr>
            <w:tcW w:w="184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c>
          <w:tcPr>
            <w:tcW w:w="1275"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8</w:t>
            </w:r>
          </w:p>
        </w:tc>
        <w:tc>
          <w:tcPr>
            <w:tcW w:w="99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11</w:t>
            </w:r>
          </w:p>
        </w:tc>
      </w:tr>
      <w:tr>
        <w:trPr>
          <w:trHeight w:val="20"/>
        </w:trPr>
        <w:tc>
          <w:tcPr>
            <w:tcW w:w="2576" w:type="dxa"/>
            <w:hideMark/>
          </w:tcPr>
          <w:p>
            <w:pPr>
              <w:pStyle w:val="ListParagraph"/>
              <w:numPr>
                <w:ilvl w:val="0"/>
                <w:numId w:val="8"/>
              </w:numPr>
              <w:jc w:val="both"/>
              <w:rPr>
                <w:rFonts w:ascii="Arial" w:hAnsi="Arial" w:cs="Arial"/>
                <w:sz w:val="20"/>
                <w:szCs w:val="20"/>
                <w:lang w:eastAsia="en-PH"/>
              </w:rPr>
            </w:pPr>
            <w:r>
              <w:rPr>
                <w:rFonts w:ascii="Arial" w:hAnsi="Arial" w:cs="Arial"/>
                <w:sz w:val="20"/>
                <w:szCs w:val="20"/>
                <w:lang w:eastAsia="en-PH"/>
              </w:rPr>
              <w:t>DBP</w:t>
            </w:r>
          </w:p>
        </w:tc>
        <w:tc>
          <w:tcPr>
            <w:tcW w:w="1164"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c>
          <w:tcPr>
            <w:tcW w:w="184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c>
          <w:tcPr>
            <w:tcW w:w="1275"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2</w:t>
            </w:r>
          </w:p>
        </w:tc>
        <w:tc>
          <w:tcPr>
            <w:tcW w:w="99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4</w:t>
            </w:r>
          </w:p>
        </w:tc>
      </w:tr>
      <w:tr>
        <w:trPr>
          <w:trHeight w:val="20"/>
        </w:trPr>
        <w:tc>
          <w:tcPr>
            <w:tcW w:w="2576" w:type="dxa"/>
            <w:hideMark/>
          </w:tcPr>
          <w:p>
            <w:pPr>
              <w:pStyle w:val="ListParagraph"/>
              <w:numPr>
                <w:ilvl w:val="0"/>
                <w:numId w:val="8"/>
              </w:numPr>
              <w:jc w:val="both"/>
              <w:rPr>
                <w:rFonts w:ascii="Arial" w:hAnsi="Arial" w:cs="Arial"/>
                <w:sz w:val="20"/>
                <w:szCs w:val="20"/>
                <w:lang w:eastAsia="en-PH"/>
              </w:rPr>
            </w:pPr>
            <w:r>
              <w:rPr>
                <w:rFonts w:ascii="Arial" w:hAnsi="Arial" w:cs="Arial"/>
                <w:sz w:val="20"/>
                <w:szCs w:val="20"/>
                <w:lang w:eastAsia="en-PH"/>
              </w:rPr>
              <w:t>PVB</w:t>
            </w:r>
          </w:p>
        </w:tc>
        <w:tc>
          <w:tcPr>
            <w:tcW w:w="1164"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c>
          <w:tcPr>
            <w:tcW w:w="184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1275"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99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r>
      <w:tr>
        <w:trPr>
          <w:trHeight w:val="20"/>
        </w:trPr>
        <w:tc>
          <w:tcPr>
            <w:tcW w:w="7851" w:type="dxa"/>
            <w:gridSpan w:val="5"/>
            <w:hideMark/>
          </w:tcPr>
          <w:p>
            <w:pPr>
              <w:pStyle w:val="ListParagraph"/>
              <w:ind w:left="0"/>
              <w:rPr>
                <w:rFonts w:ascii="Arial" w:hAnsi="Arial" w:cs="Arial"/>
                <w:sz w:val="20"/>
                <w:szCs w:val="20"/>
                <w:lang w:eastAsia="en-PH"/>
              </w:rPr>
            </w:pPr>
            <w:r>
              <w:rPr>
                <w:rFonts w:ascii="Arial" w:hAnsi="Arial" w:cs="Arial"/>
                <w:sz w:val="20"/>
                <w:szCs w:val="20"/>
                <w:lang w:eastAsia="en-PH"/>
              </w:rPr>
              <w:t>CiB-LCCA Expropriation Accounts</w:t>
            </w:r>
          </w:p>
        </w:tc>
      </w:tr>
      <w:tr>
        <w:trPr>
          <w:trHeight w:val="20"/>
        </w:trPr>
        <w:tc>
          <w:tcPr>
            <w:tcW w:w="2576" w:type="dxa"/>
            <w:hideMark/>
          </w:tcPr>
          <w:p>
            <w:pPr>
              <w:pStyle w:val="ListParagraph"/>
              <w:numPr>
                <w:ilvl w:val="0"/>
                <w:numId w:val="9"/>
              </w:numPr>
              <w:jc w:val="both"/>
              <w:rPr>
                <w:rFonts w:ascii="Arial" w:hAnsi="Arial" w:cs="Arial"/>
                <w:sz w:val="20"/>
                <w:szCs w:val="20"/>
                <w:lang w:eastAsia="en-PH"/>
              </w:rPr>
            </w:pPr>
            <w:r>
              <w:rPr>
                <w:rFonts w:ascii="Arial" w:hAnsi="Arial" w:cs="Arial"/>
                <w:sz w:val="20"/>
                <w:szCs w:val="20"/>
                <w:lang w:eastAsia="en-PH"/>
              </w:rPr>
              <w:t>LBP</w:t>
            </w:r>
          </w:p>
        </w:tc>
        <w:tc>
          <w:tcPr>
            <w:tcW w:w="1164"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46</w:t>
            </w:r>
          </w:p>
        </w:tc>
        <w:tc>
          <w:tcPr>
            <w:tcW w:w="184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1275"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993" w:type="dxa"/>
            <w:hideMark/>
          </w:tcPr>
          <w:p>
            <w:pPr>
              <w:pStyle w:val="ListParagraph"/>
              <w:ind w:left="0"/>
              <w:jc w:val="center"/>
              <w:rPr>
                <w:rFonts w:ascii="Arial" w:hAnsi="Arial" w:cs="Arial"/>
                <w:sz w:val="20"/>
                <w:szCs w:val="20"/>
                <w:lang w:eastAsia="en-PH"/>
              </w:rPr>
            </w:pPr>
            <w:r>
              <w:rPr>
                <w:rFonts w:ascii="Arial" w:hAnsi="Arial" w:cs="Arial"/>
                <w:sz w:val="20"/>
                <w:szCs w:val="20"/>
                <w:lang w:eastAsia="en-PH"/>
              </w:rPr>
              <w:t>46</w:t>
            </w:r>
          </w:p>
        </w:tc>
      </w:tr>
      <w:tr>
        <w:trPr>
          <w:trHeight w:val="20"/>
        </w:trPr>
        <w:tc>
          <w:tcPr>
            <w:tcW w:w="7851" w:type="dxa"/>
            <w:gridSpan w:val="5"/>
            <w:hideMark/>
          </w:tcPr>
          <w:p>
            <w:pPr>
              <w:pStyle w:val="ListParagraph"/>
              <w:ind w:left="0"/>
              <w:rPr>
                <w:rFonts w:ascii="Arial" w:hAnsi="Arial" w:cs="Arial"/>
                <w:sz w:val="20"/>
                <w:szCs w:val="20"/>
                <w:lang w:eastAsia="en-PH"/>
              </w:rPr>
            </w:pPr>
          </w:p>
          <w:p>
            <w:pPr>
              <w:pStyle w:val="ListParagraph"/>
              <w:ind w:left="0"/>
              <w:rPr>
                <w:rFonts w:ascii="Arial" w:hAnsi="Arial" w:cs="Arial"/>
                <w:sz w:val="20"/>
                <w:szCs w:val="20"/>
                <w:lang w:eastAsia="en-PH"/>
              </w:rPr>
            </w:pPr>
            <w:r>
              <w:rPr>
                <w:rFonts w:ascii="Arial" w:hAnsi="Arial" w:cs="Arial"/>
                <w:sz w:val="20"/>
                <w:szCs w:val="20"/>
                <w:lang w:eastAsia="en-PH"/>
              </w:rPr>
              <w:lastRenderedPageBreak/>
              <w:t>CiB-Local Currency Time Deposit (CiB-LCTD)</w:t>
            </w:r>
          </w:p>
          <w:p>
            <w:pPr>
              <w:pStyle w:val="ListParagraph"/>
              <w:ind w:left="0"/>
              <w:rPr>
                <w:rFonts w:ascii="Arial" w:hAnsi="Arial" w:cs="Arial"/>
                <w:sz w:val="20"/>
                <w:szCs w:val="20"/>
                <w:lang w:eastAsia="en-PH"/>
              </w:rPr>
            </w:pPr>
          </w:p>
        </w:tc>
      </w:tr>
      <w:tr>
        <w:trPr>
          <w:trHeight w:val="20"/>
        </w:trPr>
        <w:tc>
          <w:tcPr>
            <w:tcW w:w="2576" w:type="dxa"/>
            <w:tcBorders>
              <w:bottom w:val="single" w:sz="4" w:space="0" w:color="auto"/>
            </w:tcBorders>
            <w:hideMark/>
          </w:tcPr>
          <w:p>
            <w:pPr>
              <w:pStyle w:val="ListParagraph"/>
              <w:numPr>
                <w:ilvl w:val="0"/>
                <w:numId w:val="9"/>
              </w:numPr>
              <w:jc w:val="both"/>
              <w:rPr>
                <w:rFonts w:ascii="Arial" w:hAnsi="Arial" w:cs="Arial"/>
                <w:sz w:val="20"/>
                <w:szCs w:val="20"/>
                <w:lang w:eastAsia="en-PH"/>
              </w:rPr>
            </w:pPr>
            <w:r>
              <w:rPr>
                <w:rFonts w:ascii="Arial" w:hAnsi="Arial" w:cs="Arial"/>
                <w:sz w:val="20"/>
                <w:szCs w:val="20"/>
                <w:lang w:eastAsia="en-PH"/>
              </w:rPr>
              <w:lastRenderedPageBreak/>
              <w:t>LBP</w:t>
            </w:r>
          </w:p>
        </w:tc>
        <w:tc>
          <w:tcPr>
            <w:tcW w:w="1164"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1843"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2</w:t>
            </w:r>
          </w:p>
        </w:tc>
        <w:tc>
          <w:tcPr>
            <w:tcW w:w="1275"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993"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2</w:t>
            </w:r>
          </w:p>
        </w:tc>
      </w:tr>
      <w:tr>
        <w:trPr>
          <w:trHeight w:val="20"/>
        </w:trPr>
        <w:tc>
          <w:tcPr>
            <w:tcW w:w="7851" w:type="dxa"/>
            <w:gridSpan w:val="5"/>
            <w:tcBorders>
              <w:top w:val="single" w:sz="4" w:space="0" w:color="auto"/>
            </w:tcBorders>
            <w:hideMark/>
          </w:tcPr>
          <w:p>
            <w:pPr>
              <w:pStyle w:val="ListParagraph"/>
              <w:ind w:left="0"/>
              <w:rPr>
                <w:rFonts w:ascii="Arial" w:hAnsi="Arial" w:cs="Arial"/>
                <w:sz w:val="20"/>
                <w:szCs w:val="20"/>
                <w:lang w:eastAsia="en-PH"/>
              </w:rPr>
            </w:pPr>
            <w:r>
              <w:rPr>
                <w:rFonts w:ascii="Arial" w:hAnsi="Arial" w:cs="Arial"/>
                <w:sz w:val="20"/>
                <w:szCs w:val="20"/>
                <w:lang w:eastAsia="en-PH"/>
              </w:rPr>
              <w:t>CiB-Foreign Currency Savings Account (CiB-FCSA)</w:t>
            </w:r>
          </w:p>
        </w:tc>
      </w:tr>
      <w:tr>
        <w:trPr>
          <w:trHeight w:val="20"/>
        </w:trPr>
        <w:tc>
          <w:tcPr>
            <w:tcW w:w="2576" w:type="dxa"/>
            <w:tcBorders>
              <w:bottom w:val="single" w:sz="4" w:space="0" w:color="auto"/>
            </w:tcBorders>
            <w:hideMark/>
          </w:tcPr>
          <w:p>
            <w:pPr>
              <w:pStyle w:val="ListParagraph"/>
              <w:numPr>
                <w:ilvl w:val="0"/>
                <w:numId w:val="9"/>
              </w:numPr>
              <w:jc w:val="both"/>
              <w:rPr>
                <w:rFonts w:ascii="Arial" w:hAnsi="Arial" w:cs="Arial"/>
                <w:sz w:val="20"/>
                <w:szCs w:val="20"/>
                <w:lang w:eastAsia="en-PH"/>
              </w:rPr>
            </w:pPr>
            <w:r>
              <w:rPr>
                <w:rFonts w:ascii="Arial" w:hAnsi="Arial" w:cs="Arial"/>
                <w:sz w:val="20"/>
                <w:szCs w:val="20"/>
                <w:lang w:eastAsia="en-PH"/>
              </w:rPr>
              <w:t>LBP</w:t>
            </w:r>
          </w:p>
        </w:tc>
        <w:tc>
          <w:tcPr>
            <w:tcW w:w="1164"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1843"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w:t>
            </w:r>
          </w:p>
        </w:tc>
        <w:tc>
          <w:tcPr>
            <w:tcW w:w="1275"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c>
          <w:tcPr>
            <w:tcW w:w="993" w:type="dxa"/>
            <w:tcBorders>
              <w:bottom w:val="single" w:sz="4" w:space="0" w:color="auto"/>
            </w:tcBorders>
            <w:hideMark/>
          </w:tcPr>
          <w:p>
            <w:pPr>
              <w:pStyle w:val="ListParagraph"/>
              <w:ind w:left="0"/>
              <w:jc w:val="center"/>
              <w:rPr>
                <w:rFonts w:ascii="Arial" w:hAnsi="Arial" w:cs="Arial"/>
                <w:sz w:val="20"/>
                <w:szCs w:val="20"/>
                <w:lang w:eastAsia="en-PH"/>
              </w:rPr>
            </w:pPr>
            <w:r>
              <w:rPr>
                <w:rFonts w:ascii="Arial" w:hAnsi="Arial" w:cs="Arial"/>
                <w:sz w:val="20"/>
                <w:szCs w:val="20"/>
                <w:lang w:eastAsia="en-PH"/>
              </w:rPr>
              <w:t>1</w:t>
            </w:r>
          </w:p>
        </w:tc>
      </w:tr>
      <w:tr>
        <w:trPr>
          <w:trHeight w:val="20"/>
        </w:trPr>
        <w:tc>
          <w:tcPr>
            <w:tcW w:w="2576"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Total</w:t>
            </w:r>
          </w:p>
        </w:tc>
        <w:tc>
          <w:tcPr>
            <w:tcW w:w="1164"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50</w:t>
            </w:r>
          </w:p>
        </w:tc>
        <w:tc>
          <w:tcPr>
            <w:tcW w:w="1843"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4</w:t>
            </w:r>
          </w:p>
        </w:tc>
        <w:tc>
          <w:tcPr>
            <w:tcW w:w="1275"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11</w:t>
            </w:r>
          </w:p>
        </w:tc>
        <w:tc>
          <w:tcPr>
            <w:tcW w:w="993" w:type="dxa"/>
            <w:tcBorders>
              <w:top w:val="single" w:sz="4" w:space="0" w:color="auto"/>
              <w:bottom w:val="single" w:sz="4" w:space="0" w:color="auto"/>
            </w:tcBorders>
            <w:hideMark/>
          </w:tcPr>
          <w:p>
            <w:pPr>
              <w:pStyle w:val="ListParagraph"/>
              <w:ind w:left="0"/>
              <w:jc w:val="center"/>
              <w:rPr>
                <w:rFonts w:ascii="Arial" w:hAnsi="Arial" w:cs="Arial"/>
                <w:b/>
                <w:bCs/>
                <w:sz w:val="20"/>
                <w:szCs w:val="20"/>
                <w:lang w:eastAsia="en-PH"/>
              </w:rPr>
            </w:pPr>
            <w:r>
              <w:rPr>
                <w:rFonts w:ascii="Arial" w:hAnsi="Arial" w:cs="Arial"/>
                <w:b/>
                <w:bCs/>
                <w:sz w:val="20"/>
                <w:szCs w:val="20"/>
                <w:lang w:eastAsia="en-PH"/>
              </w:rPr>
              <w:t>65</w:t>
            </w:r>
          </w:p>
        </w:tc>
      </w:tr>
    </w:tbl>
    <w:p>
      <w:pPr>
        <w:jc w:val="both"/>
        <w:rPr>
          <w:rFonts w:ascii="Arial" w:eastAsia="Calibri" w:hAnsi="Arial" w:cs="Arial"/>
          <w:sz w:val="22"/>
          <w:szCs w:val="22"/>
        </w:rPr>
      </w:pPr>
    </w:p>
    <w:p>
      <w:pPr>
        <w:pStyle w:val="ListParagraph"/>
        <w:numPr>
          <w:ilvl w:val="1"/>
          <w:numId w:val="7"/>
        </w:numPr>
        <w:ind w:left="993" w:hanging="543"/>
        <w:jc w:val="both"/>
        <w:rPr>
          <w:rFonts w:ascii="Arial" w:eastAsia="Calibri" w:hAnsi="Arial" w:cs="Arial"/>
          <w:b/>
          <w:bCs/>
          <w:sz w:val="22"/>
          <w:szCs w:val="22"/>
        </w:rPr>
      </w:pPr>
      <w:r>
        <w:rPr>
          <w:rFonts w:ascii="Arial" w:eastAsia="Calibri" w:hAnsi="Arial" w:cs="Arial"/>
          <w:sz w:val="22"/>
          <w:szCs w:val="22"/>
        </w:rPr>
        <w:t xml:space="preserve">As of December 31, 2023, the consolidated subsidiary ledger (SL) balances of CiB accounts amounted to P9,237,319,578.60 (Table 2), which represents </w:t>
      </w:r>
      <w:r>
        <w:rPr>
          <w:rFonts w:ascii="Arial" w:eastAsia="Calibri" w:hAnsi="Arial" w:cs="Arial"/>
          <w:sz w:val="22"/>
          <w:szCs w:val="22"/>
        </w:rPr>
        <w:br/>
        <w:t>11.31 percent of the total assets of P81,680,431,791.64. Whereas, the reported amounts in various bank confirmations show a total balance of P9,343,953,540.27 (Table 3), or a variance of P106,633,518.43 (Table 4).</w:t>
      </w:r>
    </w:p>
    <w:p>
      <w:pPr>
        <w:pStyle w:val="ListParagraph"/>
        <w:ind w:left="284"/>
        <w:jc w:val="both"/>
        <w:rPr>
          <w:rFonts w:ascii="Arial" w:eastAsia="Calibri" w:hAnsi="Arial" w:cs="Arial"/>
          <w:b/>
          <w:bCs/>
        </w:rPr>
      </w:pPr>
    </w:p>
    <w:p>
      <w:pPr>
        <w:ind w:firstLine="284"/>
        <w:jc w:val="center"/>
        <w:rPr>
          <w:rFonts w:ascii="Arial" w:eastAsia="Calibri" w:hAnsi="Arial" w:cs="Arial"/>
          <w:sz w:val="20"/>
          <w:szCs w:val="20"/>
        </w:rPr>
      </w:pPr>
      <w:r>
        <w:rPr>
          <w:rFonts w:ascii="Arial" w:eastAsia="Calibri" w:hAnsi="Arial" w:cs="Arial"/>
          <w:sz w:val="20"/>
          <w:szCs w:val="20"/>
        </w:rPr>
        <w:t>Table 2. Consolidated SL balances of CiB accounts as of December 31, 2023</w:t>
      </w:r>
    </w:p>
    <w:tbl>
      <w:tblPr>
        <w:tblStyle w:val="TableGrid"/>
        <w:tblW w:w="0" w:type="auto"/>
        <w:tblInd w:w="279" w:type="dxa"/>
        <w:tblLayout w:type="fixed"/>
        <w:tblLook w:val="04A0" w:firstRow="1" w:lastRow="0" w:firstColumn="1" w:lastColumn="0" w:noHBand="0" w:noVBand="1"/>
      </w:tblPr>
      <w:tblGrid>
        <w:gridCol w:w="1524"/>
        <w:gridCol w:w="1803"/>
        <w:gridCol w:w="1803"/>
        <w:gridCol w:w="1803"/>
        <w:gridCol w:w="1804"/>
      </w:tblGrid>
      <w:tr>
        <w:tc>
          <w:tcPr>
            <w:tcW w:w="1524" w:type="dxa"/>
            <w:tcBorders>
              <w:top w:val="single" w:sz="4" w:space="0" w:color="auto"/>
              <w:left w:val="nil"/>
              <w:bottom w:val="single" w:sz="4" w:space="0" w:color="auto"/>
              <w:right w:val="nil"/>
            </w:tcBorders>
            <w:hideMark/>
          </w:tcPr>
          <w:p>
            <w:pPr>
              <w:jc w:val="center"/>
              <w:rPr>
                <w:rFonts w:ascii="Arial" w:eastAsia="Calibri" w:hAnsi="Arial" w:cs="Arial"/>
                <w:b/>
                <w:bCs/>
                <w:sz w:val="18"/>
                <w:szCs w:val="18"/>
                <w:lang w:eastAsia="en-PH"/>
              </w:rPr>
            </w:pPr>
            <w:r>
              <w:rPr>
                <w:rFonts w:ascii="Arial" w:hAnsi="Arial" w:cs="Arial"/>
                <w:b/>
                <w:bCs/>
                <w:sz w:val="18"/>
                <w:szCs w:val="18"/>
                <w:lang w:eastAsia="en-PH"/>
              </w:rPr>
              <w:t>Account</w:t>
            </w:r>
          </w:p>
        </w:tc>
        <w:tc>
          <w:tcPr>
            <w:tcW w:w="1803" w:type="dxa"/>
            <w:tcBorders>
              <w:top w:val="single" w:sz="4" w:space="0" w:color="auto"/>
              <w:left w:val="nil"/>
              <w:bottom w:val="single" w:sz="4" w:space="0" w:color="auto"/>
              <w:right w:val="nil"/>
            </w:tcBorders>
            <w:hideMark/>
          </w:tcPr>
          <w:p>
            <w:pPr>
              <w:jc w:val="center"/>
              <w:rPr>
                <w:rFonts w:ascii="Arial" w:hAnsi="Arial" w:cs="Arial"/>
                <w:b/>
                <w:bCs/>
                <w:sz w:val="18"/>
                <w:szCs w:val="18"/>
                <w:lang w:eastAsia="en-PH"/>
              </w:rPr>
            </w:pPr>
            <w:r>
              <w:rPr>
                <w:rFonts w:ascii="Arial" w:hAnsi="Arial" w:cs="Arial"/>
                <w:b/>
                <w:bCs/>
                <w:sz w:val="18"/>
                <w:szCs w:val="18"/>
                <w:lang w:eastAsia="en-PH"/>
              </w:rPr>
              <w:t>GF</w:t>
            </w:r>
          </w:p>
        </w:tc>
        <w:tc>
          <w:tcPr>
            <w:tcW w:w="1803" w:type="dxa"/>
            <w:tcBorders>
              <w:top w:val="single" w:sz="4" w:space="0" w:color="auto"/>
              <w:left w:val="nil"/>
              <w:bottom w:val="single" w:sz="4" w:space="0" w:color="auto"/>
              <w:right w:val="nil"/>
            </w:tcBorders>
            <w:hideMark/>
          </w:tcPr>
          <w:p>
            <w:pPr>
              <w:jc w:val="center"/>
              <w:rPr>
                <w:rFonts w:ascii="Arial" w:hAnsi="Arial" w:cs="Arial"/>
                <w:b/>
                <w:bCs/>
                <w:sz w:val="18"/>
                <w:szCs w:val="18"/>
                <w:lang w:eastAsia="en-PH"/>
              </w:rPr>
            </w:pPr>
            <w:r>
              <w:rPr>
                <w:rFonts w:ascii="Arial" w:hAnsi="Arial" w:cs="Arial"/>
                <w:b/>
                <w:bCs/>
                <w:sz w:val="18"/>
                <w:szCs w:val="18"/>
                <w:lang w:eastAsia="en-PH"/>
              </w:rPr>
              <w:t>SEF</w:t>
            </w:r>
          </w:p>
        </w:tc>
        <w:tc>
          <w:tcPr>
            <w:tcW w:w="1803" w:type="dxa"/>
            <w:tcBorders>
              <w:top w:val="single" w:sz="4" w:space="0" w:color="auto"/>
              <w:left w:val="nil"/>
              <w:bottom w:val="single" w:sz="4" w:space="0" w:color="auto"/>
              <w:right w:val="nil"/>
            </w:tcBorders>
            <w:hideMark/>
          </w:tcPr>
          <w:p>
            <w:pPr>
              <w:jc w:val="center"/>
              <w:rPr>
                <w:rFonts w:ascii="Arial" w:hAnsi="Arial" w:cs="Arial"/>
                <w:b/>
                <w:bCs/>
                <w:sz w:val="18"/>
                <w:szCs w:val="18"/>
                <w:lang w:eastAsia="en-PH"/>
              </w:rPr>
            </w:pPr>
            <w:r>
              <w:rPr>
                <w:rFonts w:ascii="Arial" w:hAnsi="Arial" w:cs="Arial"/>
                <w:b/>
                <w:bCs/>
                <w:sz w:val="18"/>
                <w:szCs w:val="18"/>
                <w:lang w:eastAsia="en-PH"/>
              </w:rPr>
              <w:t>TF</w:t>
            </w:r>
          </w:p>
        </w:tc>
        <w:tc>
          <w:tcPr>
            <w:tcW w:w="1804" w:type="dxa"/>
            <w:tcBorders>
              <w:top w:val="single" w:sz="4" w:space="0" w:color="auto"/>
              <w:left w:val="nil"/>
              <w:bottom w:val="single" w:sz="4" w:space="0" w:color="auto"/>
              <w:right w:val="nil"/>
            </w:tcBorders>
            <w:hideMark/>
          </w:tcPr>
          <w:p>
            <w:pPr>
              <w:jc w:val="center"/>
              <w:rPr>
                <w:rFonts w:ascii="Arial" w:hAnsi="Arial" w:cs="Arial"/>
                <w:b/>
                <w:bCs/>
                <w:sz w:val="18"/>
                <w:szCs w:val="18"/>
                <w:lang w:eastAsia="en-PH"/>
              </w:rPr>
            </w:pPr>
            <w:r>
              <w:rPr>
                <w:rFonts w:ascii="Arial" w:hAnsi="Arial" w:cs="Arial"/>
                <w:b/>
                <w:bCs/>
                <w:sz w:val="18"/>
                <w:szCs w:val="18"/>
                <w:lang w:eastAsia="en-PH"/>
              </w:rPr>
              <w:t>Total</w:t>
            </w:r>
          </w:p>
        </w:tc>
      </w:tr>
      <w:tr>
        <w:tc>
          <w:tcPr>
            <w:tcW w:w="1524" w:type="dxa"/>
            <w:tcBorders>
              <w:top w:val="single" w:sz="4" w:space="0" w:color="auto"/>
              <w:left w:val="nil"/>
              <w:bottom w:val="nil"/>
              <w:right w:val="nil"/>
            </w:tcBorders>
            <w:hideMark/>
          </w:tcPr>
          <w:p>
            <w:pPr>
              <w:jc w:val="center"/>
              <w:rPr>
                <w:rFonts w:ascii="Arial" w:hAnsi="Arial" w:cs="Arial"/>
                <w:sz w:val="18"/>
                <w:szCs w:val="18"/>
                <w:lang w:eastAsia="en-PH"/>
              </w:rPr>
            </w:pPr>
            <w:r>
              <w:rPr>
                <w:rFonts w:ascii="Arial" w:hAnsi="Arial" w:cs="Arial"/>
                <w:sz w:val="18"/>
                <w:szCs w:val="18"/>
                <w:lang w:eastAsia="en-PH"/>
              </w:rPr>
              <w:t>CiB-LCCA</w:t>
            </w:r>
          </w:p>
        </w:tc>
        <w:tc>
          <w:tcPr>
            <w:tcW w:w="1803" w:type="dxa"/>
            <w:tcBorders>
              <w:top w:val="single" w:sz="4" w:space="0" w:color="auto"/>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P1,451,686,736.58</w:t>
            </w:r>
          </w:p>
        </w:tc>
        <w:tc>
          <w:tcPr>
            <w:tcW w:w="1803" w:type="dxa"/>
            <w:tcBorders>
              <w:top w:val="single" w:sz="4" w:space="0" w:color="auto"/>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P3,709,521,263.57  </w:t>
            </w:r>
          </w:p>
        </w:tc>
        <w:tc>
          <w:tcPr>
            <w:tcW w:w="1803" w:type="dxa"/>
            <w:tcBorders>
              <w:top w:val="single" w:sz="4" w:space="0" w:color="auto"/>
              <w:left w:val="nil"/>
              <w:bottom w:val="nil"/>
              <w:right w:val="nil"/>
            </w:tcBorders>
            <w:hideMark/>
          </w:tcPr>
          <w:p>
            <w:pPr>
              <w:jc w:val="right"/>
              <w:rPr>
                <w:rFonts w:ascii="Arial" w:hAnsi="Arial" w:cs="Arial"/>
                <w:sz w:val="18"/>
                <w:szCs w:val="18"/>
                <w:lang w:eastAsia="en-PH"/>
              </w:rPr>
            </w:pPr>
            <w:r>
              <w:rPr>
                <w:rFonts w:ascii="Arial" w:hAnsi="Arial" w:cs="Arial"/>
                <w:sz w:val="18"/>
                <w:szCs w:val="18"/>
                <w:lang w:eastAsia="en-PH"/>
              </w:rPr>
              <w:t>P3,602,028,872.78</w:t>
            </w:r>
          </w:p>
        </w:tc>
        <w:tc>
          <w:tcPr>
            <w:tcW w:w="1804" w:type="dxa"/>
            <w:tcBorders>
              <w:top w:val="single" w:sz="4" w:space="0" w:color="auto"/>
              <w:left w:val="nil"/>
              <w:bottom w:val="nil"/>
              <w:right w:val="nil"/>
            </w:tcBorders>
            <w:hideMark/>
          </w:tcPr>
          <w:p>
            <w:pPr>
              <w:jc w:val="right"/>
              <w:rPr>
                <w:rFonts w:ascii="Arial" w:hAnsi="Arial" w:cs="Arial"/>
                <w:sz w:val="18"/>
                <w:szCs w:val="18"/>
                <w:lang w:eastAsia="en-PH"/>
              </w:rPr>
            </w:pPr>
            <w:r>
              <w:rPr>
                <w:rFonts w:ascii="Arial" w:hAnsi="Arial" w:cs="Arial"/>
                <w:sz w:val="18"/>
                <w:szCs w:val="18"/>
                <w:lang w:eastAsia="en-PH"/>
              </w:rPr>
              <w:t>8,763,236,872.93</w:t>
            </w:r>
          </w:p>
        </w:tc>
      </w:tr>
      <w:tr>
        <w:tc>
          <w:tcPr>
            <w:tcW w:w="1524" w:type="dxa"/>
            <w:tcBorders>
              <w:top w:val="nil"/>
              <w:left w:val="nil"/>
              <w:bottom w:val="nil"/>
              <w:right w:val="nil"/>
            </w:tcBorders>
            <w:hideMark/>
          </w:tcPr>
          <w:p>
            <w:pPr>
              <w:jc w:val="center"/>
              <w:rPr>
                <w:rFonts w:ascii="Arial" w:hAnsi="Arial" w:cs="Arial"/>
                <w:sz w:val="18"/>
                <w:szCs w:val="18"/>
                <w:lang w:eastAsia="en-PH"/>
              </w:rPr>
            </w:pPr>
            <w:r>
              <w:rPr>
                <w:rFonts w:ascii="Arial" w:hAnsi="Arial" w:cs="Arial"/>
                <w:sz w:val="18"/>
                <w:szCs w:val="18"/>
                <w:lang w:eastAsia="en-PH"/>
              </w:rPr>
              <w:t>CiB-LCTD</w:t>
            </w:r>
          </w:p>
        </w:tc>
        <w:tc>
          <w:tcPr>
            <w:tcW w:w="1803" w:type="dxa"/>
            <w:tcBorders>
              <w:top w:val="nil"/>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tcBorders>
              <w:top w:val="nil"/>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473,824,793.47</w:t>
            </w:r>
          </w:p>
        </w:tc>
        <w:tc>
          <w:tcPr>
            <w:tcW w:w="1803" w:type="dxa"/>
            <w:tcBorders>
              <w:top w:val="nil"/>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4" w:type="dxa"/>
            <w:tcBorders>
              <w:top w:val="nil"/>
              <w:left w:val="nil"/>
              <w:bottom w:val="nil"/>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473,824,793.47</w:t>
            </w:r>
          </w:p>
        </w:tc>
      </w:tr>
      <w:tr>
        <w:tc>
          <w:tcPr>
            <w:tcW w:w="1524" w:type="dxa"/>
            <w:tcBorders>
              <w:top w:val="nil"/>
              <w:left w:val="nil"/>
              <w:bottom w:val="single" w:sz="4" w:space="0" w:color="auto"/>
              <w:right w:val="nil"/>
            </w:tcBorders>
            <w:hideMark/>
          </w:tcPr>
          <w:p>
            <w:pPr>
              <w:jc w:val="center"/>
              <w:rPr>
                <w:rFonts w:ascii="Arial" w:hAnsi="Arial" w:cs="Arial"/>
                <w:sz w:val="18"/>
                <w:szCs w:val="18"/>
                <w:lang w:eastAsia="en-PH"/>
              </w:rPr>
            </w:pPr>
            <w:r>
              <w:rPr>
                <w:rFonts w:ascii="Arial" w:hAnsi="Arial" w:cs="Arial"/>
                <w:sz w:val="18"/>
                <w:szCs w:val="18"/>
                <w:lang w:eastAsia="en-PH"/>
              </w:rPr>
              <w:t>CiB-FCSA</w:t>
            </w:r>
          </w:p>
        </w:tc>
        <w:tc>
          <w:tcPr>
            <w:tcW w:w="1803" w:type="dxa"/>
            <w:tcBorders>
              <w:top w:val="nil"/>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tcBorders>
              <w:top w:val="nil"/>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tcBorders>
              <w:top w:val="nil"/>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257,912.20 </w:t>
            </w:r>
          </w:p>
        </w:tc>
        <w:tc>
          <w:tcPr>
            <w:tcW w:w="1804" w:type="dxa"/>
            <w:tcBorders>
              <w:top w:val="nil"/>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sz w:val="18"/>
                <w:szCs w:val="18"/>
                <w:lang w:eastAsia="en-PH"/>
              </w:rPr>
              <w:t xml:space="preserve"> 257,912.20 </w:t>
            </w:r>
          </w:p>
        </w:tc>
      </w:tr>
      <w:tr>
        <w:tc>
          <w:tcPr>
            <w:tcW w:w="1524" w:type="dxa"/>
            <w:tcBorders>
              <w:top w:val="single" w:sz="4" w:space="0" w:color="auto"/>
              <w:left w:val="nil"/>
              <w:bottom w:val="single" w:sz="4" w:space="0" w:color="auto"/>
              <w:right w:val="nil"/>
            </w:tcBorders>
            <w:hideMark/>
          </w:tcPr>
          <w:p>
            <w:pPr>
              <w:jc w:val="center"/>
              <w:rPr>
                <w:rFonts w:ascii="Arial" w:hAnsi="Arial" w:cs="Arial"/>
                <w:b/>
                <w:bCs/>
                <w:sz w:val="18"/>
                <w:szCs w:val="18"/>
                <w:lang w:eastAsia="en-PH"/>
              </w:rPr>
            </w:pPr>
            <w:r>
              <w:rPr>
                <w:rFonts w:ascii="Arial" w:hAnsi="Arial" w:cs="Arial"/>
                <w:b/>
                <w:bCs/>
                <w:sz w:val="18"/>
                <w:szCs w:val="18"/>
                <w:lang w:eastAsia="en-PH"/>
              </w:rPr>
              <w:t>Total</w:t>
            </w:r>
          </w:p>
        </w:tc>
        <w:tc>
          <w:tcPr>
            <w:tcW w:w="1803" w:type="dxa"/>
            <w:tcBorders>
              <w:top w:val="single" w:sz="4" w:space="0" w:color="auto"/>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b/>
                <w:bCs/>
                <w:sz w:val="18"/>
                <w:szCs w:val="18"/>
                <w:lang w:eastAsia="en-PH"/>
              </w:rPr>
              <w:t>P1,451,686,736.58</w:t>
            </w:r>
          </w:p>
        </w:tc>
        <w:tc>
          <w:tcPr>
            <w:tcW w:w="1803" w:type="dxa"/>
            <w:tcBorders>
              <w:top w:val="single" w:sz="4" w:space="0" w:color="auto"/>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b/>
                <w:bCs/>
                <w:sz w:val="18"/>
                <w:szCs w:val="18"/>
                <w:lang w:eastAsia="en-PH"/>
              </w:rPr>
              <w:t>P4,183,346,057.04</w:t>
            </w:r>
          </w:p>
        </w:tc>
        <w:tc>
          <w:tcPr>
            <w:tcW w:w="1803" w:type="dxa"/>
            <w:tcBorders>
              <w:top w:val="single" w:sz="4" w:space="0" w:color="auto"/>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b/>
                <w:bCs/>
                <w:sz w:val="18"/>
                <w:szCs w:val="18"/>
                <w:lang w:eastAsia="en-PH"/>
              </w:rPr>
              <w:t>P3,602,286,784.98</w:t>
            </w:r>
          </w:p>
        </w:tc>
        <w:tc>
          <w:tcPr>
            <w:tcW w:w="1804" w:type="dxa"/>
            <w:tcBorders>
              <w:top w:val="single" w:sz="4" w:space="0" w:color="auto"/>
              <w:left w:val="nil"/>
              <w:bottom w:val="single" w:sz="4" w:space="0" w:color="auto"/>
              <w:right w:val="nil"/>
            </w:tcBorders>
            <w:hideMark/>
          </w:tcPr>
          <w:p>
            <w:pPr>
              <w:jc w:val="right"/>
              <w:rPr>
                <w:rFonts w:ascii="Arial" w:hAnsi="Arial" w:cs="Arial"/>
                <w:b/>
                <w:bCs/>
                <w:sz w:val="18"/>
                <w:szCs w:val="18"/>
                <w:lang w:eastAsia="en-PH"/>
              </w:rPr>
            </w:pPr>
            <w:r>
              <w:rPr>
                <w:rFonts w:ascii="Arial" w:hAnsi="Arial" w:cs="Arial"/>
                <w:b/>
                <w:bCs/>
                <w:sz w:val="18"/>
                <w:szCs w:val="18"/>
                <w:lang w:eastAsia="en-PH"/>
              </w:rPr>
              <w:t xml:space="preserve">P9,237,319,578.60 </w:t>
            </w:r>
          </w:p>
        </w:tc>
      </w:tr>
    </w:tbl>
    <w:p>
      <w:pPr>
        <w:jc w:val="both"/>
        <w:rPr>
          <w:rFonts w:ascii="Arial" w:eastAsia="Calibri" w:hAnsi="Arial" w:cs="Arial"/>
          <w:sz w:val="22"/>
          <w:szCs w:val="22"/>
        </w:rPr>
      </w:pPr>
    </w:p>
    <w:p>
      <w:pPr>
        <w:ind w:firstLine="284"/>
        <w:jc w:val="center"/>
        <w:rPr>
          <w:rFonts w:ascii="Arial" w:eastAsia="Calibri" w:hAnsi="Arial" w:cs="Arial"/>
          <w:sz w:val="20"/>
          <w:szCs w:val="20"/>
        </w:rPr>
      </w:pPr>
      <w:r>
        <w:rPr>
          <w:rFonts w:ascii="Arial" w:eastAsia="Calibri" w:hAnsi="Arial" w:cs="Arial"/>
          <w:sz w:val="20"/>
          <w:szCs w:val="20"/>
        </w:rPr>
        <w:t>Table 3. Balance of CiB accounts per bank confirmations as of December 31, 2023</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
        <w:gridCol w:w="1803"/>
        <w:gridCol w:w="1803"/>
        <w:gridCol w:w="1803"/>
        <w:gridCol w:w="1804"/>
      </w:tblGrid>
      <w:tr>
        <w:tc>
          <w:tcPr>
            <w:tcW w:w="1524" w:type="dxa"/>
            <w:tcBorders>
              <w:top w:val="single" w:sz="4" w:space="0" w:color="auto"/>
              <w:bottom w:val="single" w:sz="4" w:space="0" w:color="auto"/>
            </w:tcBorders>
            <w:hideMark/>
          </w:tcPr>
          <w:p>
            <w:pPr>
              <w:jc w:val="center"/>
              <w:rPr>
                <w:rFonts w:ascii="Arial" w:eastAsia="Calibri" w:hAnsi="Arial" w:cs="Arial"/>
                <w:b/>
                <w:bCs/>
                <w:sz w:val="18"/>
                <w:szCs w:val="18"/>
                <w:lang w:eastAsia="en-PH"/>
              </w:rPr>
            </w:pPr>
            <w:r>
              <w:rPr>
                <w:rFonts w:ascii="Arial" w:hAnsi="Arial" w:cs="Arial"/>
                <w:b/>
                <w:bCs/>
                <w:sz w:val="18"/>
                <w:szCs w:val="18"/>
                <w:lang w:eastAsia="en-PH"/>
              </w:rPr>
              <w:t>Account</w:t>
            </w:r>
          </w:p>
        </w:tc>
        <w:tc>
          <w:tcPr>
            <w:tcW w:w="1803"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GF</w:t>
            </w:r>
          </w:p>
        </w:tc>
        <w:tc>
          <w:tcPr>
            <w:tcW w:w="1803"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SEF</w:t>
            </w:r>
          </w:p>
        </w:tc>
        <w:tc>
          <w:tcPr>
            <w:tcW w:w="1803"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TF</w:t>
            </w:r>
          </w:p>
        </w:tc>
        <w:tc>
          <w:tcPr>
            <w:tcW w:w="1804"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Total</w:t>
            </w:r>
          </w:p>
        </w:tc>
      </w:tr>
      <w:tr>
        <w:tc>
          <w:tcPr>
            <w:tcW w:w="1524" w:type="dxa"/>
            <w:tcBorders>
              <w:top w:val="single" w:sz="4" w:space="0" w:color="auto"/>
            </w:tcBorders>
            <w:hideMark/>
          </w:tcPr>
          <w:p>
            <w:pPr>
              <w:jc w:val="center"/>
              <w:rPr>
                <w:rFonts w:ascii="Arial" w:hAnsi="Arial" w:cs="Arial"/>
                <w:sz w:val="18"/>
                <w:szCs w:val="18"/>
                <w:lang w:eastAsia="en-PH"/>
              </w:rPr>
            </w:pPr>
            <w:r>
              <w:rPr>
                <w:rFonts w:ascii="Arial" w:hAnsi="Arial" w:cs="Arial"/>
                <w:sz w:val="18"/>
                <w:szCs w:val="18"/>
                <w:lang w:eastAsia="en-PH"/>
              </w:rPr>
              <w:t>CiB-LCCA</w:t>
            </w:r>
          </w:p>
        </w:tc>
        <w:tc>
          <w:tcPr>
            <w:tcW w:w="1803" w:type="dxa"/>
            <w:tcBorders>
              <w:top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P1,460,188,152.95 </w:t>
            </w:r>
          </w:p>
        </w:tc>
        <w:tc>
          <w:tcPr>
            <w:tcW w:w="1803" w:type="dxa"/>
            <w:tcBorders>
              <w:top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P3,800,441,250.26 </w:t>
            </w:r>
          </w:p>
        </w:tc>
        <w:tc>
          <w:tcPr>
            <w:tcW w:w="1803" w:type="dxa"/>
            <w:tcBorders>
              <w:top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P3,609,241,431.39 </w:t>
            </w:r>
          </w:p>
        </w:tc>
        <w:tc>
          <w:tcPr>
            <w:tcW w:w="1804" w:type="dxa"/>
            <w:tcBorders>
              <w:top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P8,869,870,834.60 </w:t>
            </w:r>
          </w:p>
        </w:tc>
      </w:tr>
      <w:tr>
        <w:tc>
          <w:tcPr>
            <w:tcW w:w="1524" w:type="dxa"/>
            <w:hideMark/>
          </w:tcPr>
          <w:p>
            <w:pPr>
              <w:jc w:val="center"/>
              <w:rPr>
                <w:rFonts w:ascii="Arial" w:hAnsi="Arial" w:cs="Arial"/>
                <w:sz w:val="18"/>
                <w:szCs w:val="18"/>
                <w:lang w:eastAsia="en-PH"/>
              </w:rPr>
            </w:pPr>
            <w:r>
              <w:rPr>
                <w:rFonts w:ascii="Arial" w:hAnsi="Arial" w:cs="Arial"/>
                <w:sz w:val="18"/>
                <w:szCs w:val="18"/>
                <w:lang w:eastAsia="en-PH"/>
              </w:rPr>
              <w:t>CiB-LCTD</w:t>
            </w:r>
          </w:p>
        </w:tc>
        <w:tc>
          <w:tcPr>
            <w:tcW w:w="1803" w:type="dxa"/>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hideMark/>
          </w:tcPr>
          <w:p>
            <w:pPr>
              <w:jc w:val="right"/>
              <w:rPr>
                <w:rFonts w:ascii="Arial" w:hAnsi="Arial" w:cs="Arial"/>
                <w:b/>
                <w:bCs/>
                <w:sz w:val="18"/>
                <w:szCs w:val="18"/>
                <w:lang w:eastAsia="en-PH"/>
              </w:rPr>
            </w:pPr>
            <w:r>
              <w:rPr>
                <w:rFonts w:ascii="Arial" w:hAnsi="Arial" w:cs="Arial"/>
                <w:sz w:val="18"/>
                <w:szCs w:val="18"/>
                <w:lang w:eastAsia="en-PH"/>
              </w:rPr>
              <w:t xml:space="preserve"> 473,824,793.47 </w:t>
            </w:r>
          </w:p>
        </w:tc>
        <w:tc>
          <w:tcPr>
            <w:tcW w:w="1803" w:type="dxa"/>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4" w:type="dxa"/>
            <w:hideMark/>
          </w:tcPr>
          <w:p>
            <w:pPr>
              <w:jc w:val="right"/>
              <w:rPr>
                <w:rFonts w:ascii="Arial" w:hAnsi="Arial" w:cs="Arial"/>
                <w:b/>
                <w:bCs/>
                <w:sz w:val="18"/>
                <w:szCs w:val="18"/>
                <w:lang w:eastAsia="en-PH"/>
              </w:rPr>
            </w:pPr>
            <w:r>
              <w:rPr>
                <w:rFonts w:ascii="Arial" w:hAnsi="Arial" w:cs="Arial"/>
                <w:sz w:val="18"/>
                <w:szCs w:val="18"/>
                <w:lang w:eastAsia="en-PH"/>
              </w:rPr>
              <w:t xml:space="preserve"> 473,824,793.47 </w:t>
            </w:r>
          </w:p>
        </w:tc>
      </w:tr>
      <w:tr>
        <w:tc>
          <w:tcPr>
            <w:tcW w:w="1524" w:type="dxa"/>
            <w:tcBorders>
              <w:bottom w:val="single" w:sz="4" w:space="0" w:color="auto"/>
            </w:tcBorders>
            <w:hideMark/>
          </w:tcPr>
          <w:p>
            <w:pPr>
              <w:jc w:val="center"/>
              <w:rPr>
                <w:rFonts w:ascii="Arial" w:hAnsi="Arial" w:cs="Arial"/>
                <w:sz w:val="18"/>
                <w:szCs w:val="18"/>
                <w:lang w:eastAsia="en-PH"/>
              </w:rPr>
            </w:pPr>
            <w:r>
              <w:rPr>
                <w:rFonts w:ascii="Arial" w:hAnsi="Arial" w:cs="Arial"/>
                <w:sz w:val="18"/>
                <w:szCs w:val="18"/>
                <w:lang w:eastAsia="en-PH"/>
              </w:rPr>
              <w:t>CiB-FCSA</w:t>
            </w:r>
          </w:p>
        </w:tc>
        <w:tc>
          <w:tcPr>
            <w:tcW w:w="1803" w:type="dxa"/>
            <w:tcBorders>
              <w:bottom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tcBorders>
              <w:bottom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 -   </w:t>
            </w:r>
          </w:p>
        </w:tc>
        <w:tc>
          <w:tcPr>
            <w:tcW w:w="1803" w:type="dxa"/>
            <w:tcBorders>
              <w:bottom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 257,912.20 </w:t>
            </w:r>
          </w:p>
        </w:tc>
        <w:tc>
          <w:tcPr>
            <w:tcW w:w="1804" w:type="dxa"/>
            <w:tcBorders>
              <w:bottom w:val="single" w:sz="4" w:space="0" w:color="auto"/>
            </w:tcBorders>
            <w:hideMark/>
          </w:tcPr>
          <w:p>
            <w:pPr>
              <w:jc w:val="right"/>
              <w:rPr>
                <w:rFonts w:ascii="Arial" w:hAnsi="Arial" w:cs="Arial"/>
                <w:b/>
                <w:bCs/>
                <w:sz w:val="18"/>
                <w:szCs w:val="18"/>
                <w:lang w:eastAsia="en-PH"/>
              </w:rPr>
            </w:pPr>
            <w:r>
              <w:rPr>
                <w:rFonts w:ascii="Arial" w:hAnsi="Arial" w:cs="Arial"/>
                <w:sz w:val="18"/>
                <w:szCs w:val="18"/>
                <w:lang w:eastAsia="en-PH"/>
              </w:rPr>
              <w:t xml:space="preserve"> 257,912.20 </w:t>
            </w:r>
          </w:p>
        </w:tc>
      </w:tr>
      <w:tr>
        <w:tc>
          <w:tcPr>
            <w:tcW w:w="1524"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Total</w:t>
            </w:r>
          </w:p>
        </w:tc>
        <w:tc>
          <w:tcPr>
            <w:tcW w:w="1803" w:type="dxa"/>
            <w:tcBorders>
              <w:top w:val="single" w:sz="4" w:space="0" w:color="auto"/>
              <w:bottom w:val="single" w:sz="4" w:space="0" w:color="auto"/>
            </w:tcBorders>
            <w:hideMark/>
          </w:tcPr>
          <w:p>
            <w:pPr>
              <w:jc w:val="right"/>
              <w:rPr>
                <w:rFonts w:ascii="Arial" w:hAnsi="Arial" w:cs="Arial"/>
                <w:b/>
                <w:bCs/>
                <w:sz w:val="18"/>
                <w:szCs w:val="18"/>
                <w:lang w:eastAsia="en-PH"/>
              </w:rPr>
            </w:pPr>
            <w:r>
              <w:rPr>
                <w:rFonts w:ascii="Arial" w:hAnsi="Arial" w:cs="Arial"/>
                <w:b/>
                <w:bCs/>
                <w:sz w:val="18"/>
                <w:szCs w:val="18"/>
                <w:lang w:eastAsia="en-PH"/>
              </w:rPr>
              <w:t xml:space="preserve">P1,460,188,152.95 </w:t>
            </w:r>
          </w:p>
        </w:tc>
        <w:tc>
          <w:tcPr>
            <w:tcW w:w="1803" w:type="dxa"/>
            <w:tcBorders>
              <w:top w:val="single" w:sz="4" w:space="0" w:color="auto"/>
              <w:bottom w:val="single" w:sz="4" w:space="0" w:color="auto"/>
            </w:tcBorders>
            <w:hideMark/>
          </w:tcPr>
          <w:p>
            <w:pPr>
              <w:jc w:val="right"/>
              <w:rPr>
                <w:rFonts w:ascii="Arial" w:hAnsi="Arial" w:cs="Arial"/>
                <w:b/>
                <w:bCs/>
                <w:sz w:val="18"/>
                <w:szCs w:val="18"/>
                <w:lang w:eastAsia="en-PH"/>
              </w:rPr>
            </w:pPr>
            <w:r>
              <w:rPr>
                <w:rFonts w:ascii="Arial" w:hAnsi="Arial" w:cs="Arial"/>
                <w:b/>
                <w:bCs/>
                <w:sz w:val="18"/>
                <w:szCs w:val="18"/>
                <w:lang w:eastAsia="en-PH"/>
              </w:rPr>
              <w:t xml:space="preserve">P4,274,266,043.73 </w:t>
            </w:r>
          </w:p>
        </w:tc>
        <w:tc>
          <w:tcPr>
            <w:tcW w:w="1803" w:type="dxa"/>
            <w:tcBorders>
              <w:top w:val="single" w:sz="4" w:space="0" w:color="auto"/>
              <w:bottom w:val="single" w:sz="4" w:space="0" w:color="auto"/>
            </w:tcBorders>
            <w:hideMark/>
          </w:tcPr>
          <w:p>
            <w:pPr>
              <w:jc w:val="right"/>
              <w:rPr>
                <w:rFonts w:ascii="Arial" w:hAnsi="Arial" w:cs="Arial"/>
                <w:b/>
                <w:bCs/>
                <w:sz w:val="18"/>
                <w:szCs w:val="18"/>
                <w:lang w:eastAsia="en-PH"/>
              </w:rPr>
            </w:pPr>
            <w:r>
              <w:rPr>
                <w:rFonts w:ascii="Arial" w:hAnsi="Arial" w:cs="Arial"/>
                <w:b/>
                <w:bCs/>
                <w:sz w:val="18"/>
                <w:szCs w:val="18"/>
                <w:lang w:eastAsia="en-PH"/>
              </w:rPr>
              <w:t xml:space="preserve">P3,609,499,343.59 </w:t>
            </w:r>
          </w:p>
        </w:tc>
        <w:tc>
          <w:tcPr>
            <w:tcW w:w="1804" w:type="dxa"/>
            <w:tcBorders>
              <w:top w:val="single" w:sz="4" w:space="0" w:color="auto"/>
              <w:bottom w:val="single" w:sz="4" w:space="0" w:color="auto"/>
            </w:tcBorders>
            <w:hideMark/>
          </w:tcPr>
          <w:p>
            <w:pPr>
              <w:jc w:val="right"/>
              <w:rPr>
                <w:rFonts w:ascii="Arial" w:hAnsi="Arial" w:cs="Arial"/>
                <w:b/>
                <w:bCs/>
                <w:sz w:val="18"/>
                <w:szCs w:val="18"/>
                <w:lang w:eastAsia="en-PH"/>
              </w:rPr>
            </w:pPr>
            <w:r>
              <w:rPr>
                <w:rFonts w:ascii="Arial" w:hAnsi="Arial" w:cs="Arial"/>
                <w:b/>
                <w:bCs/>
                <w:sz w:val="18"/>
                <w:szCs w:val="18"/>
                <w:lang w:eastAsia="en-PH"/>
              </w:rPr>
              <w:t xml:space="preserve">P9,343,953,540.27 </w:t>
            </w:r>
          </w:p>
        </w:tc>
      </w:tr>
    </w:tbl>
    <w:p>
      <w:pPr>
        <w:jc w:val="both"/>
        <w:rPr>
          <w:rFonts w:ascii="Arial" w:eastAsia="Calibri" w:hAnsi="Arial" w:cs="Arial"/>
          <w:b/>
          <w:bCs/>
          <w:sz w:val="22"/>
          <w:szCs w:val="22"/>
        </w:rPr>
      </w:pPr>
    </w:p>
    <w:p>
      <w:pPr>
        <w:ind w:firstLine="284"/>
        <w:jc w:val="center"/>
        <w:rPr>
          <w:rFonts w:ascii="Arial" w:eastAsia="Calibri" w:hAnsi="Arial" w:cs="Arial"/>
          <w:sz w:val="20"/>
          <w:szCs w:val="20"/>
        </w:rPr>
      </w:pPr>
      <w:r>
        <w:rPr>
          <w:rFonts w:ascii="Arial" w:eastAsia="Calibri" w:hAnsi="Arial" w:cs="Arial"/>
          <w:sz w:val="20"/>
          <w:szCs w:val="20"/>
        </w:rPr>
        <w:t>Table 4. Computation of variance between the CiB accounts and result of bank confirmations</w:t>
      </w:r>
    </w:p>
    <w:tbl>
      <w:tblPr>
        <w:tblStyle w:val="TableGrid"/>
        <w:tblW w:w="8993"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04"/>
        <w:gridCol w:w="732"/>
        <w:gridCol w:w="731"/>
        <w:gridCol w:w="2041"/>
        <w:gridCol w:w="1984"/>
        <w:gridCol w:w="1901"/>
      </w:tblGrid>
      <w:tr>
        <w:trPr>
          <w:tblHeader/>
        </w:trPr>
        <w:tc>
          <w:tcPr>
            <w:tcW w:w="1604" w:type="dxa"/>
            <w:tcBorders>
              <w:top w:val="single" w:sz="4" w:space="0" w:color="auto"/>
              <w:bottom w:val="single" w:sz="4" w:space="0" w:color="auto"/>
            </w:tcBorders>
            <w:vAlign w:val="center"/>
            <w:hideMark/>
          </w:tcPr>
          <w:p>
            <w:pPr>
              <w:jc w:val="center"/>
              <w:rPr>
                <w:rFonts w:ascii="Arial" w:eastAsia="Calibri" w:hAnsi="Arial" w:cs="Arial"/>
                <w:b/>
                <w:bCs/>
                <w:sz w:val="20"/>
                <w:szCs w:val="20"/>
                <w:lang w:eastAsia="en-PH"/>
              </w:rPr>
            </w:pPr>
            <w:r>
              <w:rPr>
                <w:rFonts w:ascii="Arial" w:hAnsi="Arial" w:cs="Arial"/>
                <w:b/>
                <w:bCs/>
                <w:sz w:val="20"/>
                <w:szCs w:val="20"/>
                <w:lang w:eastAsia="en-PH"/>
              </w:rPr>
              <w:t>Account Code</w:t>
            </w:r>
          </w:p>
        </w:tc>
        <w:tc>
          <w:tcPr>
            <w:tcW w:w="732" w:type="dxa"/>
            <w:tcBorders>
              <w:top w:val="single" w:sz="4" w:space="0" w:color="auto"/>
              <w:bottom w:val="single" w:sz="4" w:space="0" w:color="auto"/>
            </w:tcBorders>
            <w:vAlign w:val="center"/>
            <w:hideMark/>
          </w:tcPr>
          <w:p>
            <w:pPr>
              <w:jc w:val="center"/>
              <w:rPr>
                <w:rFonts w:ascii="Arial" w:hAnsi="Arial" w:cs="Arial"/>
                <w:b/>
                <w:bCs/>
                <w:sz w:val="20"/>
                <w:szCs w:val="20"/>
                <w:lang w:eastAsia="en-PH"/>
              </w:rPr>
            </w:pPr>
            <w:r>
              <w:rPr>
                <w:rFonts w:ascii="Arial" w:hAnsi="Arial" w:cs="Arial"/>
                <w:b/>
                <w:bCs/>
                <w:sz w:val="20"/>
                <w:szCs w:val="20"/>
                <w:lang w:eastAsia="en-PH"/>
              </w:rPr>
              <w:t>Bank</w:t>
            </w:r>
          </w:p>
        </w:tc>
        <w:tc>
          <w:tcPr>
            <w:tcW w:w="731" w:type="dxa"/>
            <w:tcBorders>
              <w:top w:val="single" w:sz="4" w:space="0" w:color="auto"/>
              <w:bottom w:val="single" w:sz="4" w:space="0" w:color="auto"/>
            </w:tcBorders>
            <w:vAlign w:val="center"/>
            <w:hideMark/>
          </w:tcPr>
          <w:p>
            <w:pPr>
              <w:jc w:val="center"/>
              <w:rPr>
                <w:rFonts w:ascii="Arial" w:hAnsi="Arial" w:cs="Arial"/>
                <w:b/>
                <w:bCs/>
                <w:sz w:val="20"/>
                <w:szCs w:val="20"/>
                <w:lang w:eastAsia="en-PH"/>
              </w:rPr>
            </w:pPr>
            <w:r>
              <w:rPr>
                <w:rFonts w:ascii="Arial" w:hAnsi="Arial" w:cs="Arial"/>
                <w:b/>
                <w:bCs/>
                <w:sz w:val="20"/>
                <w:szCs w:val="20"/>
                <w:lang w:eastAsia="en-PH"/>
              </w:rPr>
              <w:t>Fund</w:t>
            </w:r>
          </w:p>
        </w:tc>
        <w:tc>
          <w:tcPr>
            <w:tcW w:w="2041" w:type="dxa"/>
            <w:tcBorders>
              <w:top w:val="single" w:sz="4" w:space="0" w:color="auto"/>
              <w:bottom w:val="single" w:sz="4" w:space="0" w:color="auto"/>
            </w:tcBorders>
            <w:vAlign w:val="center"/>
            <w:hideMark/>
          </w:tcPr>
          <w:p>
            <w:pPr>
              <w:jc w:val="center"/>
              <w:rPr>
                <w:rFonts w:ascii="Arial" w:hAnsi="Arial" w:cs="Arial"/>
                <w:b/>
                <w:bCs/>
                <w:sz w:val="20"/>
                <w:szCs w:val="20"/>
                <w:lang w:eastAsia="en-PH"/>
              </w:rPr>
            </w:pPr>
            <w:r>
              <w:rPr>
                <w:rFonts w:ascii="Arial" w:hAnsi="Arial" w:cs="Arial"/>
                <w:b/>
                <w:bCs/>
                <w:sz w:val="20"/>
                <w:szCs w:val="20"/>
                <w:lang w:eastAsia="en-PH"/>
              </w:rPr>
              <w:t>Per Books</w:t>
            </w:r>
          </w:p>
        </w:tc>
        <w:tc>
          <w:tcPr>
            <w:tcW w:w="1984" w:type="dxa"/>
            <w:tcBorders>
              <w:top w:val="single" w:sz="4" w:space="0" w:color="auto"/>
              <w:bottom w:val="single" w:sz="4" w:space="0" w:color="auto"/>
            </w:tcBorders>
            <w:vAlign w:val="center"/>
            <w:hideMark/>
          </w:tcPr>
          <w:p>
            <w:pPr>
              <w:jc w:val="center"/>
              <w:rPr>
                <w:rFonts w:ascii="Arial" w:hAnsi="Arial" w:cs="Arial"/>
                <w:b/>
                <w:bCs/>
                <w:sz w:val="20"/>
                <w:szCs w:val="20"/>
                <w:lang w:eastAsia="en-PH"/>
              </w:rPr>
            </w:pPr>
            <w:r>
              <w:rPr>
                <w:rFonts w:ascii="Arial" w:hAnsi="Arial" w:cs="Arial"/>
                <w:b/>
                <w:bCs/>
                <w:sz w:val="20"/>
                <w:szCs w:val="20"/>
                <w:lang w:eastAsia="en-PH"/>
              </w:rPr>
              <w:t>Per Bank Confirmation</w:t>
            </w:r>
          </w:p>
        </w:tc>
        <w:tc>
          <w:tcPr>
            <w:tcW w:w="1901" w:type="dxa"/>
            <w:tcBorders>
              <w:top w:val="single" w:sz="4" w:space="0" w:color="auto"/>
              <w:bottom w:val="single" w:sz="4" w:space="0" w:color="auto"/>
            </w:tcBorders>
            <w:vAlign w:val="center"/>
            <w:hideMark/>
          </w:tcPr>
          <w:p>
            <w:pPr>
              <w:jc w:val="center"/>
              <w:rPr>
                <w:rFonts w:ascii="Arial" w:hAnsi="Arial" w:cs="Arial"/>
                <w:b/>
                <w:bCs/>
                <w:sz w:val="20"/>
                <w:szCs w:val="20"/>
                <w:lang w:eastAsia="en-PH"/>
              </w:rPr>
            </w:pPr>
            <w:r>
              <w:rPr>
                <w:rFonts w:ascii="Arial" w:hAnsi="Arial" w:cs="Arial"/>
                <w:b/>
                <w:bCs/>
                <w:sz w:val="20"/>
                <w:szCs w:val="20"/>
                <w:lang w:eastAsia="en-PH"/>
              </w:rPr>
              <w:t>Variance</w:t>
            </w:r>
          </w:p>
        </w:tc>
      </w:tr>
      <w:tr>
        <w:tc>
          <w:tcPr>
            <w:tcW w:w="1604" w:type="dxa"/>
            <w:tcBorders>
              <w:top w:val="single" w:sz="4" w:space="0" w:color="auto"/>
            </w:tcBorders>
            <w:hideMark/>
          </w:tcPr>
          <w:p>
            <w:pPr>
              <w:rPr>
                <w:rFonts w:ascii="Arial" w:hAnsi="Arial" w:cs="Arial"/>
                <w:sz w:val="20"/>
                <w:szCs w:val="20"/>
                <w:lang w:eastAsia="en-PH"/>
              </w:rPr>
            </w:pPr>
            <w:r>
              <w:rPr>
                <w:rFonts w:ascii="Arial" w:hAnsi="Arial" w:cs="Arial"/>
                <w:sz w:val="20"/>
                <w:szCs w:val="20"/>
                <w:lang w:eastAsia="en-PH"/>
              </w:rPr>
              <w:t>CiB-LCCA</w:t>
            </w:r>
          </w:p>
        </w:tc>
        <w:tc>
          <w:tcPr>
            <w:tcW w:w="732" w:type="dxa"/>
            <w:tcBorders>
              <w:top w:val="single" w:sz="4" w:space="0" w:color="auto"/>
            </w:tcBorders>
          </w:tcPr>
          <w:p>
            <w:pPr>
              <w:jc w:val="center"/>
              <w:rPr>
                <w:rFonts w:ascii="Arial" w:hAnsi="Arial" w:cs="Arial"/>
                <w:b/>
                <w:bCs/>
                <w:sz w:val="20"/>
                <w:szCs w:val="20"/>
                <w:lang w:eastAsia="en-PH"/>
              </w:rPr>
            </w:pPr>
          </w:p>
        </w:tc>
        <w:tc>
          <w:tcPr>
            <w:tcW w:w="731" w:type="dxa"/>
            <w:tcBorders>
              <w:top w:val="single" w:sz="4" w:space="0" w:color="auto"/>
            </w:tcBorders>
          </w:tcPr>
          <w:p>
            <w:pPr>
              <w:jc w:val="center"/>
              <w:rPr>
                <w:rFonts w:ascii="Arial" w:hAnsi="Arial" w:cs="Arial"/>
                <w:b/>
                <w:bCs/>
                <w:sz w:val="20"/>
                <w:szCs w:val="20"/>
                <w:lang w:eastAsia="en-PH"/>
              </w:rPr>
            </w:pPr>
          </w:p>
        </w:tc>
        <w:tc>
          <w:tcPr>
            <w:tcW w:w="2041" w:type="dxa"/>
            <w:tcBorders>
              <w:top w:val="single" w:sz="4" w:space="0" w:color="auto"/>
            </w:tcBorders>
          </w:tcPr>
          <w:p>
            <w:pPr>
              <w:jc w:val="center"/>
              <w:rPr>
                <w:rFonts w:ascii="Arial" w:hAnsi="Arial" w:cs="Arial"/>
                <w:b/>
                <w:bCs/>
                <w:sz w:val="20"/>
                <w:szCs w:val="20"/>
                <w:lang w:eastAsia="en-PH"/>
              </w:rPr>
            </w:pPr>
          </w:p>
        </w:tc>
        <w:tc>
          <w:tcPr>
            <w:tcW w:w="1984" w:type="dxa"/>
            <w:tcBorders>
              <w:top w:val="single" w:sz="4" w:space="0" w:color="auto"/>
            </w:tcBorders>
          </w:tcPr>
          <w:p>
            <w:pPr>
              <w:jc w:val="center"/>
              <w:rPr>
                <w:rFonts w:ascii="Arial" w:hAnsi="Arial" w:cs="Arial"/>
                <w:b/>
                <w:bCs/>
                <w:sz w:val="20"/>
                <w:szCs w:val="20"/>
                <w:lang w:eastAsia="en-PH"/>
              </w:rPr>
            </w:pPr>
          </w:p>
        </w:tc>
        <w:tc>
          <w:tcPr>
            <w:tcW w:w="1901" w:type="dxa"/>
            <w:tcBorders>
              <w:top w:val="single" w:sz="4" w:space="0" w:color="auto"/>
            </w:tcBorders>
          </w:tcPr>
          <w:p>
            <w:pPr>
              <w:jc w:val="center"/>
              <w:rPr>
                <w:rFonts w:ascii="Arial" w:hAnsi="Arial" w:cs="Arial"/>
                <w:b/>
                <w:bCs/>
                <w:sz w:val="20"/>
                <w:szCs w:val="20"/>
                <w:lang w:eastAsia="en-PH"/>
              </w:rPr>
            </w:pPr>
          </w:p>
        </w:tc>
      </w:tr>
      <w:tr>
        <w:tc>
          <w:tcPr>
            <w:tcW w:w="1604" w:type="dxa"/>
            <w:hideMark/>
          </w:tcPr>
          <w:p>
            <w:pPr>
              <w:rPr>
                <w:rFonts w:ascii="Arial" w:hAnsi="Arial" w:cs="Arial"/>
                <w:sz w:val="20"/>
                <w:szCs w:val="20"/>
                <w:lang w:eastAsia="en-PH"/>
              </w:rPr>
            </w:pPr>
            <w:r>
              <w:rPr>
                <w:rFonts w:ascii="Arial" w:hAnsi="Arial" w:cs="Arial"/>
                <w:sz w:val="20"/>
                <w:szCs w:val="20"/>
                <w:lang w:eastAsia="en-PH"/>
              </w:rPr>
              <w:t>1-01-02-010-01</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sz w:val="20"/>
                <w:szCs w:val="20"/>
                <w:lang w:eastAsia="en-PH"/>
              </w:rPr>
            </w:pPr>
            <w:r>
              <w:rPr>
                <w:rFonts w:ascii="Arial" w:hAnsi="Arial" w:cs="Arial"/>
                <w:sz w:val="20"/>
                <w:szCs w:val="20"/>
                <w:lang w:eastAsia="en-PH"/>
              </w:rPr>
              <w:t>GF</w:t>
            </w:r>
          </w:p>
        </w:tc>
        <w:tc>
          <w:tcPr>
            <w:tcW w:w="2041" w:type="dxa"/>
            <w:hideMark/>
          </w:tcPr>
          <w:p>
            <w:pPr>
              <w:jc w:val="right"/>
              <w:rPr>
                <w:rFonts w:ascii="Arial" w:hAnsi="Arial" w:cs="Arial"/>
                <w:b/>
                <w:bCs/>
                <w:sz w:val="20"/>
                <w:szCs w:val="20"/>
                <w:lang w:eastAsia="en-PH"/>
              </w:rPr>
            </w:pPr>
            <w:r>
              <w:rPr>
                <w:rFonts w:ascii="Arial" w:hAnsi="Arial" w:cs="Arial"/>
                <w:sz w:val="20"/>
                <w:szCs w:val="20"/>
                <w:lang w:eastAsia="en-PH"/>
              </w:rPr>
              <w:t>P373,512,444.51</w:t>
            </w:r>
          </w:p>
        </w:tc>
        <w:tc>
          <w:tcPr>
            <w:tcW w:w="1984" w:type="dxa"/>
            <w:hideMark/>
          </w:tcPr>
          <w:p>
            <w:pPr>
              <w:jc w:val="right"/>
              <w:rPr>
                <w:rFonts w:ascii="Arial" w:hAnsi="Arial" w:cs="Arial"/>
                <w:b/>
                <w:bCs/>
                <w:sz w:val="20"/>
                <w:szCs w:val="20"/>
                <w:lang w:eastAsia="en-PH"/>
              </w:rPr>
            </w:pPr>
            <w:r>
              <w:rPr>
                <w:rFonts w:ascii="Arial" w:hAnsi="Arial" w:cs="Arial"/>
                <w:sz w:val="20"/>
                <w:szCs w:val="20"/>
                <w:lang w:eastAsia="en-PH"/>
              </w:rPr>
              <w:t xml:space="preserve">P406,869,673.63 </w:t>
            </w:r>
          </w:p>
        </w:tc>
        <w:tc>
          <w:tcPr>
            <w:tcW w:w="1901" w:type="dxa"/>
            <w:hideMark/>
          </w:tcPr>
          <w:p>
            <w:pPr>
              <w:jc w:val="right"/>
              <w:rPr>
                <w:rFonts w:ascii="Arial" w:hAnsi="Arial" w:cs="Arial"/>
                <w:b/>
                <w:bCs/>
                <w:sz w:val="20"/>
                <w:szCs w:val="20"/>
                <w:lang w:eastAsia="en-PH"/>
              </w:rPr>
            </w:pPr>
            <w:r>
              <w:rPr>
                <w:rFonts w:ascii="Arial" w:hAnsi="Arial" w:cs="Arial"/>
                <w:sz w:val="20"/>
                <w:szCs w:val="20"/>
                <w:lang w:eastAsia="en-PH"/>
              </w:rPr>
              <w:t xml:space="preserve">P(33,357,229.12) </w:t>
            </w:r>
          </w:p>
        </w:tc>
      </w:tr>
      <w:tr>
        <w:tc>
          <w:tcPr>
            <w:tcW w:w="1604" w:type="dxa"/>
            <w:hideMark/>
          </w:tcPr>
          <w:p>
            <w:pPr>
              <w:rPr>
                <w:rFonts w:ascii="Arial" w:hAnsi="Arial" w:cs="Arial"/>
                <w:b/>
                <w:bCs/>
                <w:sz w:val="20"/>
                <w:szCs w:val="20"/>
                <w:lang w:eastAsia="en-PH"/>
              </w:rPr>
            </w:pPr>
            <w:r>
              <w:rPr>
                <w:rFonts w:ascii="Arial" w:hAnsi="Arial" w:cs="Arial"/>
                <w:sz w:val="20"/>
                <w:szCs w:val="20"/>
                <w:lang w:eastAsia="en-PH"/>
              </w:rPr>
              <w:t>1-01-02-010-02</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DBP</w:t>
            </w:r>
          </w:p>
        </w:tc>
        <w:tc>
          <w:tcPr>
            <w:tcW w:w="731" w:type="dxa"/>
            <w:hideMark/>
          </w:tcPr>
          <w:p>
            <w:pPr>
              <w:jc w:val="center"/>
              <w:rPr>
                <w:rFonts w:ascii="Arial" w:hAnsi="Arial" w:cs="Arial"/>
                <w:b/>
                <w:bCs/>
                <w:sz w:val="20"/>
                <w:szCs w:val="20"/>
                <w:lang w:eastAsia="en-PH"/>
              </w:rPr>
            </w:pPr>
            <w:r>
              <w:rPr>
                <w:rFonts w:ascii="Arial" w:hAnsi="Arial" w:cs="Arial"/>
                <w:sz w:val="20"/>
                <w:szCs w:val="20"/>
                <w:lang w:eastAsia="en-PH"/>
              </w:rPr>
              <w:t>GF</w:t>
            </w:r>
          </w:p>
        </w:tc>
        <w:tc>
          <w:tcPr>
            <w:tcW w:w="2041" w:type="dxa"/>
            <w:hideMark/>
          </w:tcPr>
          <w:p>
            <w:pPr>
              <w:jc w:val="right"/>
              <w:rPr>
                <w:rFonts w:ascii="Arial" w:hAnsi="Arial" w:cs="Arial"/>
                <w:b/>
                <w:bCs/>
                <w:sz w:val="20"/>
                <w:szCs w:val="20"/>
                <w:lang w:eastAsia="en-PH"/>
              </w:rPr>
            </w:pPr>
            <w:r>
              <w:rPr>
                <w:rFonts w:ascii="Arial" w:hAnsi="Arial" w:cs="Arial"/>
                <w:sz w:val="20"/>
                <w:szCs w:val="20"/>
                <w:lang w:eastAsia="en-PH"/>
              </w:rPr>
              <w:t>709,240,196.51</w:t>
            </w:r>
          </w:p>
        </w:tc>
        <w:tc>
          <w:tcPr>
            <w:tcW w:w="1984" w:type="dxa"/>
            <w:hideMark/>
          </w:tcPr>
          <w:p>
            <w:pPr>
              <w:jc w:val="right"/>
              <w:rPr>
                <w:rFonts w:ascii="Arial" w:hAnsi="Arial" w:cs="Arial"/>
                <w:b/>
                <w:bCs/>
                <w:sz w:val="20"/>
                <w:szCs w:val="20"/>
                <w:lang w:eastAsia="en-PH"/>
              </w:rPr>
            </w:pPr>
            <w:r>
              <w:rPr>
                <w:rFonts w:ascii="Arial" w:hAnsi="Arial" w:cs="Arial"/>
                <w:sz w:val="20"/>
                <w:szCs w:val="20"/>
                <w:lang w:eastAsia="en-PH"/>
              </w:rPr>
              <w:t xml:space="preserve"> 715,811,234.69 </w:t>
            </w:r>
          </w:p>
        </w:tc>
        <w:tc>
          <w:tcPr>
            <w:tcW w:w="1901" w:type="dxa"/>
            <w:hideMark/>
          </w:tcPr>
          <w:p>
            <w:pPr>
              <w:jc w:val="right"/>
              <w:rPr>
                <w:rFonts w:ascii="Arial" w:hAnsi="Arial" w:cs="Arial"/>
                <w:b/>
                <w:bCs/>
                <w:sz w:val="20"/>
                <w:szCs w:val="20"/>
                <w:lang w:eastAsia="en-PH"/>
              </w:rPr>
            </w:pPr>
            <w:r>
              <w:rPr>
                <w:rFonts w:ascii="Arial" w:hAnsi="Arial" w:cs="Arial"/>
                <w:sz w:val="20"/>
                <w:szCs w:val="20"/>
                <w:lang w:eastAsia="en-PH"/>
              </w:rPr>
              <w:t xml:space="preserve">(6,571,038.18) </w:t>
            </w:r>
          </w:p>
        </w:tc>
      </w:tr>
      <w:tr>
        <w:tc>
          <w:tcPr>
            <w:tcW w:w="1604" w:type="dxa"/>
            <w:hideMark/>
          </w:tcPr>
          <w:p>
            <w:pPr>
              <w:rPr>
                <w:rFonts w:ascii="Arial" w:hAnsi="Arial" w:cs="Arial"/>
                <w:b/>
                <w:bCs/>
                <w:sz w:val="20"/>
                <w:szCs w:val="20"/>
                <w:lang w:eastAsia="en-PH"/>
              </w:rPr>
            </w:pPr>
            <w:r>
              <w:rPr>
                <w:rFonts w:ascii="Arial" w:hAnsi="Arial" w:cs="Arial"/>
                <w:sz w:val="20"/>
                <w:szCs w:val="20"/>
                <w:lang w:eastAsia="en-PH"/>
              </w:rPr>
              <w:t>1-01-02-010-05-01</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b/>
                <w:bCs/>
                <w:sz w:val="20"/>
                <w:szCs w:val="20"/>
                <w:lang w:eastAsia="en-PH"/>
              </w:rPr>
            </w:pPr>
            <w:r>
              <w:rPr>
                <w:rFonts w:ascii="Arial" w:hAnsi="Arial" w:cs="Arial"/>
                <w:sz w:val="20"/>
                <w:szCs w:val="20"/>
                <w:lang w:eastAsia="en-PH"/>
              </w:rPr>
              <w:t>GF</w:t>
            </w:r>
          </w:p>
        </w:tc>
        <w:tc>
          <w:tcPr>
            <w:tcW w:w="2041" w:type="dxa"/>
            <w:hideMark/>
          </w:tcPr>
          <w:p>
            <w:pPr>
              <w:jc w:val="right"/>
              <w:rPr>
                <w:rFonts w:ascii="Arial" w:hAnsi="Arial" w:cs="Arial"/>
                <w:b/>
                <w:bCs/>
                <w:sz w:val="20"/>
                <w:szCs w:val="20"/>
                <w:lang w:eastAsia="en-PH"/>
              </w:rPr>
            </w:pPr>
            <w:r>
              <w:rPr>
                <w:rFonts w:ascii="Arial" w:hAnsi="Arial" w:cs="Arial"/>
                <w:sz w:val="20"/>
                <w:szCs w:val="20"/>
                <w:lang w:eastAsia="en-PH"/>
              </w:rPr>
              <w:t>213,927,565.08</w:t>
            </w:r>
          </w:p>
        </w:tc>
        <w:tc>
          <w:tcPr>
            <w:tcW w:w="1984" w:type="dxa"/>
            <w:hideMark/>
          </w:tcPr>
          <w:p>
            <w:pPr>
              <w:jc w:val="right"/>
              <w:rPr>
                <w:rFonts w:ascii="Arial" w:hAnsi="Arial" w:cs="Arial"/>
                <w:b/>
                <w:bCs/>
                <w:sz w:val="20"/>
                <w:szCs w:val="20"/>
                <w:lang w:eastAsia="en-PH"/>
              </w:rPr>
            </w:pPr>
            <w:r>
              <w:rPr>
                <w:rFonts w:ascii="Arial" w:hAnsi="Arial" w:cs="Arial"/>
                <w:sz w:val="20"/>
                <w:szCs w:val="20"/>
                <w:lang w:eastAsia="en-PH"/>
              </w:rPr>
              <w:t xml:space="preserve"> 182,500,492.53 </w:t>
            </w:r>
          </w:p>
        </w:tc>
        <w:tc>
          <w:tcPr>
            <w:tcW w:w="1901" w:type="dxa"/>
            <w:hideMark/>
          </w:tcPr>
          <w:p>
            <w:pPr>
              <w:jc w:val="right"/>
              <w:rPr>
                <w:rFonts w:ascii="Arial" w:hAnsi="Arial" w:cs="Arial"/>
                <w:b/>
                <w:bCs/>
                <w:sz w:val="20"/>
                <w:szCs w:val="20"/>
                <w:lang w:eastAsia="en-PH"/>
              </w:rPr>
            </w:pPr>
            <w:r>
              <w:rPr>
                <w:rFonts w:ascii="Arial" w:hAnsi="Arial" w:cs="Arial"/>
                <w:sz w:val="20"/>
                <w:szCs w:val="20"/>
                <w:lang w:eastAsia="en-PH"/>
              </w:rPr>
              <w:t xml:space="preserve"> 31,427,072.55 </w:t>
            </w:r>
          </w:p>
        </w:tc>
      </w:tr>
      <w:tr>
        <w:tc>
          <w:tcPr>
            <w:tcW w:w="1604" w:type="dxa"/>
            <w:hideMark/>
          </w:tcPr>
          <w:p>
            <w:pPr>
              <w:rPr>
                <w:rFonts w:ascii="Arial" w:hAnsi="Arial" w:cs="Arial"/>
                <w:sz w:val="20"/>
                <w:szCs w:val="20"/>
                <w:lang w:eastAsia="en-PH"/>
              </w:rPr>
            </w:pPr>
            <w:r>
              <w:rPr>
                <w:rFonts w:ascii="Arial" w:hAnsi="Arial" w:cs="Arial"/>
                <w:sz w:val="20"/>
                <w:szCs w:val="20"/>
                <w:lang w:eastAsia="en-PH"/>
              </w:rPr>
              <w:t>Two (2) Expropriation Accounts</w:t>
            </w:r>
          </w:p>
        </w:tc>
        <w:tc>
          <w:tcPr>
            <w:tcW w:w="732" w:type="dxa"/>
            <w:hideMark/>
          </w:tcPr>
          <w:p>
            <w:pPr>
              <w:jc w:val="center"/>
              <w:rPr>
                <w:rFonts w:ascii="Arial" w:hAnsi="Arial" w:cs="Arial"/>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sz w:val="20"/>
                <w:szCs w:val="20"/>
                <w:lang w:eastAsia="en-PH"/>
              </w:rPr>
            </w:pPr>
            <w:r>
              <w:rPr>
                <w:rFonts w:ascii="Arial" w:hAnsi="Arial" w:cs="Arial"/>
                <w:sz w:val="20"/>
                <w:szCs w:val="20"/>
                <w:lang w:eastAsia="en-PH"/>
              </w:rPr>
              <w:t>GF</w:t>
            </w:r>
          </w:p>
        </w:tc>
        <w:tc>
          <w:tcPr>
            <w:tcW w:w="2041" w:type="dxa"/>
            <w:hideMark/>
          </w:tcPr>
          <w:p>
            <w:pPr>
              <w:jc w:val="right"/>
              <w:rPr>
                <w:rFonts w:ascii="Arial" w:hAnsi="Arial" w:cs="Arial"/>
                <w:sz w:val="20"/>
                <w:szCs w:val="20"/>
                <w:lang w:eastAsia="en-PH"/>
              </w:rPr>
            </w:pPr>
            <w:r>
              <w:rPr>
                <w:rFonts w:ascii="Arial" w:hAnsi="Arial" w:cs="Arial"/>
                <w:sz w:val="20"/>
                <w:szCs w:val="20"/>
                <w:lang w:eastAsia="en-PH"/>
              </w:rPr>
              <w:t xml:space="preserve"> 4,201,290.13 </w:t>
            </w:r>
          </w:p>
        </w:tc>
        <w:tc>
          <w:tcPr>
            <w:tcW w:w="1984" w:type="dxa"/>
            <w:hideMark/>
          </w:tcPr>
          <w:p>
            <w:pPr>
              <w:jc w:val="right"/>
              <w:rPr>
                <w:rFonts w:ascii="Arial" w:hAnsi="Arial" w:cs="Arial"/>
                <w:sz w:val="20"/>
                <w:szCs w:val="20"/>
                <w:lang w:eastAsia="en-PH"/>
              </w:rPr>
            </w:pPr>
            <w:r>
              <w:rPr>
                <w:rFonts w:ascii="Arial" w:hAnsi="Arial" w:cs="Arial"/>
                <w:sz w:val="20"/>
                <w:szCs w:val="20"/>
                <w:lang w:eastAsia="en-PH"/>
              </w:rPr>
              <w:t xml:space="preserve"> 4,201,511.75 </w:t>
            </w:r>
          </w:p>
        </w:tc>
        <w:tc>
          <w:tcPr>
            <w:tcW w:w="1901" w:type="dxa"/>
            <w:hideMark/>
          </w:tcPr>
          <w:p>
            <w:pPr>
              <w:jc w:val="right"/>
              <w:rPr>
                <w:rFonts w:ascii="Arial" w:hAnsi="Arial" w:cs="Arial"/>
                <w:sz w:val="20"/>
                <w:szCs w:val="20"/>
                <w:lang w:eastAsia="en-PH"/>
              </w:rPr>
            </w:pPr>
            <w:r>
              <w:rPr>
                <w:rFonts w:ascii="Arial" w:hAnsi="Arial" w:cs="Arial"/>
                <w:sz w:val="20"/>
                <w:szCs w:val="20"/>
                <w:lang w:eastAsia="en-PH"/>
              </w:rPr>
              <w:t>(221.62)</w:t>
            </w:r>
          </w:p>
        </w:tc>
      </w:tr>
      <w:tr>
        <w:tc>
          <w:tcPr>
            <w:tcW w:w="1604" w:type="dxa"/>
            <w:hideMark/>
          </w:tcPr>
          <w:p>
            <w:pPr>
              <w:rPr>
                <w:rFonts w:ascii="Arial" w:hAnsi="Arial" w:cs="Arial"/>
                <w:sz w:val="20"/>
                <w:szCs w:val="20"/>
                <w:lang w:eastAsia="en-PH"/>
              </w:rPr>
            </w:pPr>
            <w:r>
              <w:rPr>
                <w:rFonts w:ascii="Arial" w:hAnsi="Arial" w:cs="Arial"/>
                <w:sz w:val="20"/>
                <w:szCs w:val="20"/>
                <w:lang w:eastAsia="en-PH"/>
              </w:rPr>
              <w:t>1-01-02-010-01</w:t>
            </w:r>
          </w:p>
        </w:tc>
        <w:tc>
          <w:tcPr>
            <w:tcW w:w="732" w:type="dxa"/>
            <w:hideMark/>
          </w:tcPr>
          <w:p>
            <w:pPr>
              <w:jc w:val="center"/>
              <w:rPr>
                <w:rFonts w:ascii="Arial" w:hAnsi="Arial" w:cs="Arial"/>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sz w:val="20"/>
                <w:szCs w:val="20"/>
                <w:lang w:eastAsia="en-PH"/>
              </w:rPr>
            </w:pPr>
            <w:r>
              <w:rPr>
                <w:rFonts w:ascii="Arial" w:hAnsi="Arial" w:cs="Arial"/>
                <w:sz w:val="20"/>
                <w:szCs w:val="20"/>
                <w:lang w:eastAsia="en-PH"/>
              </w:rPr>
              <w:t>SEF</w:t>
            </w:r>
          </w:p>
        </w:tc>
        <w:tc>
          <w:tcPr>
            <w:tcW w:w="2041" w:type="dxa"/>
            <w:hideMark/>
          </w:tcPr>
          <w:p>
            <w:pPr>
              <w:jc w:val="right"/>
              <w:rPr>
                <w:rFonts w:ascii="Arial" w:hAnsi="Arial" w:cs="Arial"/>
                <w:sz w:val="20"/>
                <w:szCs w:val="20"/>
                <w:lang w:eastAsia="en-PH"/>
              </w:rPr>
            </w:pPr>
            <w:r>
              <w:rPr>
                <w:rFonts w:ascii="Arial" w:hAnsi="Arial" w:cs="Arial"/>
                <w:sz w:val="20"/>
                <w:szCs w:val="20"/>
                <w:lang w:eastAsia="en-PH"/>
              </w:rPr>
              <w:t xml:space="preserve">1,261,969,210.57 </w:t>
            </w:r>
          </w:p>
        </w:tc>
        <w:tc>
          <w:tcPr>
            <w:tcW w:w="1984" w:type="dxa"/>
            <w:hideMark/>
          </w:tcPr>
          <w:p>
            <w:pPr>
              <w:jc w:val="right"/>
              <w:rPr>
                <w:rFonts w:ascii="Arial" w:hAnsi="Arial" w:cs="Arial"/>
                <w:sz w:val="20"/>
                <w:szCs w:val="20"/>
                <w:lang w:eastAsia="en-PH"/>
              </w:rPr>
            </w:pPr>
            <w:r>
              <w:rPr>
                <w:rFonts w:ascii="Arial" w:hAnsi="Arial" w:cs="Arial"/>
                <w:sz w:val="20"/>
                <w:szCs w:val="20"/>
                <w:lang w:eastAsia="en-PH"/>
              </w:rPr>
              <w:t>1,352,889,197.26</w:t>
            </w:r>
          </w:p>
        </w:tc>
        <w:tc>
          <w:tcPr>
            <w:tcW w:w="1901" w:type="dxa"/>
            <w:hideMark/>
          </w:tcPr>
          <w:p>
            <w:pPr>
              <w:jc w:val="right"/>
              <w:rPr>
                <w:rFonts w:ascii="Arial" w:hAnsi="Arial" w:cs="Arial"/>
                <w:sz w:val="20"/>
                <w:szCs w:val="20"/>
                <w:lang w:eastAsia="en-PH"/>
              </w:rPr>
            </w:pPr>
            <w:r>
              <w:rPr>
                <w:rFonts w:ascii="Arial" w:hAnsi="Arial" w:cs="Arial"/>
                <w:sz w:val="20"/>
                <w:szCs w:val="20"/>
                <w:lang w:eastAsia="en-PH"/>
              </w:rPr>
              <w:t xml:space="preserve">(90,919,986.69) </w:t>
            </w:r>
          </w:p>
        </w:tc>
      </w:tr>
      <w:tr>
        <w:tc>
          <w:tcPr>
            <w:tcW w:w="1604" w:type="dxa"/>
            <w:hideMark/>
          </w:tcPr>
          <w:p>
            <w:pPr>
              <w:rPr>
                <w:rFonts w:ascii="Arial" w:hAnsi="Arial" w:cs="Arial"/>
                <w:b/>
                <w:bCs/>
                <w:sz w:val="20"/>
                <w:szCs w:val="20"/>
                <w:lang w:eastAsia="en-PH"/>
              </w:rPr>
            </w:pPr>
            <w:r>
              <w:rPr>
                <w:rFonts w:ascii="Arial" w:hAnsi="Arial" w:cs="Arial"/>
                <w:sz w:val="20"/>
                <w:szCs w:val="20"/>
                <w:lang w:eastAsia="en-PH"/>
              </w:rPr>
              <w:t>1-01-02-010-01</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sz w:val="20"/>
                <w:szCs w:val="20"/>
                <w:lang w:eastAsia="en-PH"/>
              </w:rPr>
            </w:pPr>
            <w:r>
              <w:rPr>
                <w:rFonts w:ascii="Arial" w:hAnsi="Arial" w:cs="Arial"/>
                <w:sz w:val="20"/>
                <w:szCs w:val="20"/>
                <w:lang w:eastAsia="en-PH"/>
              </w:rPr>
              <w:t>TF</w:t>
            </w:r>
          </w:p>
        </w:tc>
        <w:tc>
          <w:tcPr>
            <w:tcW w:w="2041" w:type="dxa"/>
            <w:hideMark/>
          </w:tcPr>
          <w:p>
            <w:pPr>
              <w:jc w:val="right"/>
              <w:rPr>
                <w:rFonts w:ascii="Arial" w:hAnsi="Arial" w:cs="Arial"/>
                <w:b/>
                <w:bCs/>
                <w:sz w:val="20"/>
                <w:szCs w:val="20"/>
                <w:lang w:eastAsia="en-PH"/>
              </w:rPr>
            </w:pPr>
            <w:r>
              <w:rPr>
                <w:rFonts w:ascii="Arial" w:hAnsi="Arial" w:cs="Arial"/>
                <w:sz w:val="20"/>
                <w:szCs w:val="20"/>
                <w:lang w:eastAsia="en-PH"/>
              </w:rPr>
              <w:t>1,327,093,201.99</w:t>
            </w:r>
          </w:p>
        </w:tc>
        <w:tc>
          <w:tcPr>
            <w:tcW w:w="1984" w:type="dxa"/>
            <w:hideMark/>
          </w:tcPr>
          <w:p>
            <w:pPr>
              <w:jc w:val="right"/>
              <w:rPr>
                <w:rFonts w:ascii="Arial" w:hAnsi="Arial" w:cs="Arial"/>
                <w:b/>
                <w:bCs/>
                <w:sz w:val="20"/>
                <w:szCs w:val="20"/>
                <w:lang w:eastAsia="en-PH"/>
              </w:rPr>
            </w:pPr>
            <w:r>
              <w:rPr>
                <w:rFonts w:ascii="Arial" w:hAnsi="Arial" w:cs="Arial"/>
                <w:sz w:val="20"/>
                <w:szCs w:val="20"/>
                <w:lang w:eastAsia="en-PH"/>
              </w:rPr>
              <w:t xml:space="preserve">1,329,242,240.86 </w:t>
            </w:r>
          </w:p>
        </w:tc>
        <w:tc>
          <w:tcPr>
            <w:tcW w:w="1901" w:type="dxa"/>
            <w:hideMark/>
          </w:tcPr>
          <w:p>
            <w:pPr>
              <w:jc w:val="right"/>
              <w:rPr>
                <w:rFonts w:ascii="Arial" w:hAnsi="Arial" w:cs="Arial"/>
                <w:b/>
                <w:bCs/>
                <w:sz w:val="20"/>
                <w:szCs w:val="20"/>
                <w:lang w:eastAsia="en-PH"/>
              </w:rPr>
            </w:pPr>
            <w:r>
              <w:rPr>
                <w:rFonts w:ascii="Arial" w:hAnsi="Arial" w:cs="Arial"/>
                <w:sz w:val="20"/>
                <w:szCs w:val="20"/>
                <w:lang w:eastAsia="en-PH"/>
              </w:rPr>
              <w:t xml:space="preserve">(2,149,038.87) </w:t>
            </w:r>
          </w:p>
        </w:tc>
      </w:tr>
      <w:tr>
        <w:tc>
          <w:tcPr>
            <w:tcW w:w="1604" w:type="dxa"/>
            <w:hideMark/>
          </w:tcPr>
          <w:p>
            <w:pPr>
              <w:rPr>
                <w:rFonts w:ascii="Arial" w:hAnsi="Arial" w:cs="Arial"/>
                <w:b/>
                <w:bCs/>
                <w:sz w:val="20"/>
                <w:szCs w:val="20"/>
                <w:lang w:eastAsia="en-PH"/>
              </w:rPr>
            </w:pPr>
            <w:r>
              <w:rPr>
                <w:rFonts w:ascii="Arial" w:hAnsi="Arial" w:cs="Arial"/>
                <w:sz w:val="20"/>
                <w:szCs w:val="20"/>
                <w:lang w:eastAsia="en-PH"/>
              </w:rPr>
              <w:t>1-01-02-010-6</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b/>
                <w:bCs/>
                <w:sz w:val="20"/>
                <w:szCs w:val="20"/>
                <w:lang w:eastAsia="en-PH"/>
              </w:rPr>
            </w:pPr>
            <w:r>
              <w:rPr>
                <w:rFonts w:ascii="Arial" w:hAnsi="Arial" w:cs="Arial"/>
                <w:sz w:val="20"/>
                <w:szCs w:val="20"/>
                <w:lang w:eastAsia="en-PH"/>
              </w:rPr>
              <w:t>TF</w:t>
            </w:r>
          </w:p>
        </w:tc>
        <w:tc>
          <w:tcPr>
            <w:tcW w:w="2041" w:type="dxa"/>
            <w:hideMark/>
          </w:tcPr>
          <w:p>
            <w:pPr>
              <w:jc w:val="right"/>
              <w:rPr>
                <w:rFonts w:ascii="Arial" w:hAnsi="Arial" w:cs="Arial"/>
                <w:b/>
                <w:bCs/>
                <w:sz w:val="20"/>
                <w:szCs w:val="20"/>
                <w:lang w:eastAsia="en-PH"/>
              </w:rPr>
            </w:pPr>
            <w:r>
              <w:rPr>
                <w:rFonts w:ascii="Arial" w:hAnsi="Arial" w:cs="Arial"/>
                <w:sz w:val="20"/>
                <w:szCs w:val="20"/>
                <w:lang w:eastAsia="en-PH"/>
              </w:rPr>
              <w:t>183,524,518.51</w:t>
            </w:r>
          </w:p>
        </w:tc>
        <w:tc>
          <w:tcPr>
            <w:tcW w:w="1984" w:type="dxa"/>
            <w:vAlign w:val="center"/>
            <w:hideMark/>
          </w:tcPr>
          <w:p>
            <w:pPr>
              <w:jc w:val="right"/>
              <w:rPr>
                <w:rFonts w:ascii="Arial" w:hAnsi="Arial" w:cs="Arial"/>
                <w:b/>
                <w:bCs/>
                <w:sz w:val="20"/>
                <w:szCs w:val="20"/>
                <w:lang w:eastAsia="en-PH"/>
              </w:rPr>
            </w:pPr>
            <w:r>
              <w:rPr>
                <w:rFonts w:ascii="Arial" w:hAnsi="Arial" w:cs="Arial"/>
                <w:sz w:val="20"/>
                <w:szCs w:val="20"/>
                <w:lang w:eastAsia="en-PH"/>
              </w:rPr>
              <w:t>183,724,518.51</w:t>
            </w:r>
          </w:p>
        </w:tc>
        <w:tc>
          <w:tcPr>
            <w:tcW w:w="1901" w:type="dxa"/>
            <w:hideMark/>
          </w:tcPr>
          <w:p>
            <w:pPr>
              <w:jc w:val="right"/>
              <w:rPr>
                <w:rFonts w:ascii="Arial" w:hAnsi="Arial" w:cs="Arial"/>
                <w:b/>
                <w:bCs/>
                <w:sz w:val="20"/>
                <w:szCs w:val="20"/>
                <w:lang w:eastAsia="en-PH"/>
              </w:rPr>
            </w:pPr>
            <w:r>
              <w:rPr>
                <w:rFonts w:ascii="Arial" w:hAnsi="Arial" w:cs="Arial"/>
                <w:sz w:val="20"/>
                <w:szCs w:val="20"/>
                <w:lang w:eastAsia="en-PH"/>
              </w:rPr>
              <w:t xml:space="preserve">(200,000.00) </w:t>
            </w:r>
          </w:p>
        </w:tc>
      </w:tr>
      <w:tr>
        <w:tc>
          <w:tcPr>
            <w:tcW w:w="1604" w:type="dxa"/>
            <w:hideMark/>
          </w:tcPr>
          <w:p>
            <w:pPr>
              <w:rPr>
                <w:rFonts w:ascii="Arial" w:hAnsi="Arial" w:cs="Arial"/>
                <w:b/>
                <w:bCs/>
                <w:sz w:val="20"/>
                <w:szCs w:val="20"/>
                <w:lang w:eastAsia="en-PH"/>
              </w:rPr>
            </w:pPr>
            <w:r>
              <w:rPr>
                <w:rFonts w:ascii="Arial" w:hAnsi="Arial" w:cs="Arial"/>
                <w:sz w:val="20"/>
                <w:szCs w:val="20"/>
                <w:lang w:eastAsia="en-PH"/>
              </w:rPr>
              <w:t>1-01-02-010-12</w:t>
            </w:r>
          </w:p>
        </w:tc>
        <w:tc>
          <w:tcPr>
            <w:tcW w:w="732" w:type="dxa"/>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hideMark/>
          </w:tcPr>
          <w:p>
            <w:pPr>
              <w:jc w:val="center"/>
              <w:rPr>
                <w:rFonts w:ascii="Arial" w:hAnsi="Arial" w:cs="Arial"/>
                <w:b/>
                <w:bCs/>
                <w:sz w:val="20"/>
                <w:szCs w:val="20"/>
                <w:lang w:eastAsia="en-PH"/>
              </w:rPr>
            </w:pPr>
            <w:r>
              <w:rPr>
                <w:rFonts w:ascii="Arial" w:hAnsi="Arial" w:cs="Arial"/>
                <w:sz w:val="20"/>
                <w:szCs w:val="20"/>
                <w:lang w:eastAsia="en-PH"/>
              </w:rPr>
              <w:t>TF</w:t>
            </w:r>
          </w:p>
        </w:tc>
        <w:tc>
          <w:tcPr>
            <w:tcW w:w="2041" w:type="dxa"/>
            <w:hideMark/>
          </w:tcPr>
          <w:p>
            <w:pPr>
              <w:jc w:val="right"/>
              <w:rPr>
                <w:rFonts w:ascii="Arial" w:hAnsi="Arial" w:cs="Arial"/>
                <w:sz w:val="20"/>
                <w:szCs w:val="20"/>
                <w:lang w:eastAsia="en-PH"/>
              </w:rPr>
            </w:pPr>
            <w:r>
              <w:rPr>
                <w:rFonts w:ascii="Arial" w:hAnsi="Arial" w:cs="Arial"/>
                <w:sz w:val="20"/>
                <w:szCs w:val="20"/>
                <w:lang w:eastAsia="en-PH"/>
              </w:rPr>
              <w:t>195,293,093.61</w:t>
            </w:r>
          </w:p>
        </w:tc>
        <w:tc>
          <w:tcPr>
            <w:tcW w:w="1984" w:type="dxa"/>
            <w:vAlign w:val="center"/>
            <w:hideMark/>
          </w:tcPr>
          <w:p>
            <w:pPr>
              <w:jc w:val="right"/>
              <w:rPr>
                <w:rFonts w:ascii="Arial" w:hAnsi="Arial" w:cs="Arial"/>
                <w:b/>
                <w:bCs/>
                <w:sz w:val="20"/>
                <w:szCs w:val="20"/>
                <w:lang w:eastAsia="en-PH"/>
              </w:rPr>
            </w:pPr>
            <w:r>
              <w:rPr>
                <w:rFonts w:ascii="Arial" w:hAnsi="Arial" w:cs="Arial"/>
                <w:sz w:val="20"/>
                <w:szCs w:val="20"/>
                <w:lang w:eastAsia="en-PH"/>
              </w:rPr>
              <w:t>196,295,593.51</w:t>
            </w:r>
          </w:p>
        </w:tc>
        <w:tc>
          <w:tcPr>
            <w:tcW w:w="1901" w:type="dxa"/>
            <w:hideMark/>
          </w:tcPr>
          <w:p>
            <w:pPr>
              <w:jc w:val="right"/>
              <w:rPr>
                <w:rFonts w:ascii="Arial" w:hAnsi="Arial" w:cs="Arial"/>
                <w:sz w:val="20"/>
                <w:szCs w:val="20"/>
                <w:lang w:eastAsia="en-PH"/>
              </w:rPr>
            </w:pPr>
            <w:r>
              <w:rPr>
                <w:rFonts w:ascii="Arial" w:hAnsi="Arial" w:cs="Arial"/>
                <w:sz w:val="20"/>
                <w:szCs w:val="20"/>
                <w:lang w:eastAsia="en-PH"/>
              </w:rPr>
              <w:t>(1,002,499.90)</w:t>
            </w:r>
          </w:p>
        </w:tc>
      </w:tr>
      <w:tr>
        <w:tc>
          <w:tcPr>
            <w:tcW w:w="1604" w:type="dxa"/>
            <w:tcBorders>
              <w:bottom w:val="single" w:sz="4" w:space="0" w:color="auto"/>
            </w:tcBorders>
            <w:hideMark/>
          </w:tcPr>
          <w:p>
            <w:pPr>
              <w:rPr>
                <w:rFonts w:ascii="Arial" w:hAnsi="Arial" w:cs="Arial"/>
                <w:b/>
                <w:bCs/>
                <w:sz w:val="20"/>
                <w:szCs w:val="20"/>
                <w:lang w:eastAsia="en-PH"/>
              </w:rPr>
            </w:pPr>
            <w:r>
              <w:rPr>
                <w:rFonts w:ascii="Arial" w:hAnsi="Arial" w:cs="Arial"/>
                <w:sz w:val="20"/>
                <w:szCs w:val="20"/>
                <w:lang w:eastAsia="en-PH"/>
              </w:rPr>
              <w:t>1-01-02-010-13</w:t>
            </w:r>
          </w:p>
        </w:tc>
        <w:tc>
          <w:tcPr>
            <w:tcW w:w="732" w:type="dxa"/>
            <w:tcBorders>
              <w:bottom w:val="single" w:sz="4" w:space="0" w:color="auto"/>
            </w:tcBorders>
            <w:hideMark/>
          </w:tcPr>
          <w:p>
            <w:pPr>
              <w:jc w:val="center"/>
              <w:rPr>
                <w:rFonts w:ascii="Arial" w:hAnsi="Arial" w:cs="Arial"/>
                <w:b/>
                <w:bCs/>
                <w:sz w:val="20"/>
                <w:szCs w:val="20"/>
                <w:lang w:eastAsia="en-PH"/>
              </w:rPr>
            </w:pPr>
            <w:r>
              <w:rPr>
                <w:rFonts w:ascii="Arial" w:hAnsi="Arial" w:cs="Arial"/>
                <w:sz w:val="20"/>
                <w:szCs w:val="20"/>
                <w:lang w:eastAsia="en-PH"/>
              </w:rPr>
              <w:t>LBP</w:t>
            </w:r>
          </w:p>
        </w:tc>
        <w:tc>
          <w:tcPr>
            <w:tcW w:w="731" w:type="dxa"/>
            <w:tcBorders>
              <w:bottom w:val="single" w:sz="4" w:space="0" w:color="auto"/>
            </w:tcBorders>
            <w:hideMark/>
          </w:tcPr>
          <w:p>
            <w:pPr>
              <w:jc w:val="center"/>
              <w:rPr>
                <w:rFonts w:ascii="Arial" w:hAnsi="Arial" w:cs="Arial"/>
                <w:b/>
                <w:bCs/>
                <w:sz w:val="20"/>
                <w:szCs w:val="20"/>
                <w:lang w:eastAsia="en-PH"/>
              </w:rPr>
            </w:pPr>
            <w:r>
              <w:rPr>
                <w:rFonts w:ascii="Arial" w:hAnsi="Arial" w:cs="Arial"/>
                <w:sz w:val="20"/>
                <w:szCs w:val="20"/>
                <w:lang w:eastAsia="en-PH"/>
              </w:rPr>
              <w:t>TF</w:t>
            </w:r>
          </w:p>
        </w:tc>
        <w:tc>
          <w:tcPr>
            <w:tcW w:w="2041" w:type="dxa"/>
            <w:tcBorders>
              <w:bottom w:val="single" w:sz="4" w:space="0" w:color="auto"/>
            </w:tcBorders>
            <w:hideMark/>
          </w:tcPr>
          <w:p>
            <w:pPr>
              <w:jc w:val="right"/>
              <w:rPr>
                <w:rFonts w:ascii="Arial" w:hAnsi="Arial" w:cs="Arial"/>
                <w:b/>
                <w:bCs/>
                <w:sz w:val="20"/>
                <w:szCs w:val="20"/>
                <w:lang w:eastAsia="en-PH"/>
              </w:rPr>
            </w:pPr>
            <w:r>
              <w:rPr>
                <w:rFonts w:ascii="Arial" w:hAnsi="Arial" w:cs="Arial"/>
                <w:sz w:val="20"/>
                <w:szCs w:val="20"/>
                <w:lang w:eastAsia="en-PH"/>
              </w:rPr>
              <w:t>573,474,334.15</w:t>
            </w:r>
          </w:p>
        </w:tc>
        <w:tc>
          <w:tcPr>
            <w:tcW w:w="1984" w:type="dxa"/>
            <w:tcBorders>
              <w:bottom w:val="single" w:sz="4" w:space="0" w:color="auto"/>
            </w:tcBorders>
            <w:vAlign w:val="center"/>
            <w:hideMark/>
          </w:tcPr>
          <w:p>
            <w:pPr>
              <w:jc w:val="right"/>
              <w:rPr>
                <w:rFonts w:ascii="Arial" w:hAnsi="Arial" w:cs="Arial"/>
                <w:b/>
                <w:bCs/>
                <w:sz w:val="20"/>
                <w:szCs w:val="20"/>
                <w:lang w:eastAsia="en-PH"/>
              </w:rPr>
            </w:pPr>
            <w:r>
              <w:rPr>
                <w:rFonts w:ascii="Arial" w:hAnsi="Arial" w:cs="Arial"/>
                <w:sz w:val="20"/>
                <w:szCs w:val="20"/>
                <w:lang w:eastAsia="en-PH"/>
              </w:rPr>
              <w:t>577,335,353.99</w:t>
            </w:r>
          </w:p>
        </w:tc>
        <w:tc>
          <w:tcPr>
            <w:tcW w:w="1901" w:type="dxa"/>
            <w:tcBorders>
              <w:bottom w:val="single" w:sz="4" w:space="0" w:color="auto"/>
            </w:tcBorders>
            <w:hideMark/>
          </w:tcPr>
          <w:p>
            <w:pPr>
              <w:jc w:val="right"/>
              <w:rPr>
                <w:rFonts w:ascii="Arial" w:hAnsi="Arial" w:cs="Arial"/>
                <w:b/>
                <w:bCs/>
                <w:sz w:val="20"/>
                <w:szCs w:val="20"/>
                <w:lang w:eastAsia="en-PH"/>
              </w:rPr>
            </w:pPr>
            <w:r>
              <w:rPr>
                <w:rFonts w:ascii="Arial" w:hAnsi="Arial" w:cs="Arial"/>
                <w:sz w:val="20"/>
                <w:szCs w:val="20"/>
                <w:lang w:eastAsia="en-PH"/>
              </w:rPr>
              <w:t xml:space="preserve">(3,861,019.84) </w:t>
            </w:r>
          </w:p>
        </w:tc>
      </w:tr>
      <w:tr>
        <w:tc>
          <w:tcPr>
            <w:tcW w:w="1604" w:type="dxa"/>
            <w:tcBorders>
              <w:top w:val="single" w:sz="4" w:space="0" w:color="auto"/>
              <w:bottom w:val="single" w:sz="4" w:space="0" w:color="auto"/>
            </w:tcBorders>
            <w:hideMark/>
          </w:tcPr>
          <w:p>
            <w:pPr>
              <w:jc w:val="center"/>
              <w:rPr>
                <w:rFonts w:ascii="Arial" w:hAnsi="Arial" w:cs="Arial"/>
                <w:b/>
                <w:bCs/>
                <w:sz w:val="20"/>
                <w:szCs w:val="20"/>
                <w:lang w:eastAsia="en-PH"/>
              </w:rPr>
            </w:pPr>
            <w:r>
              <w:rPr>
                <w:rFonts w:ascii="Arial" w:hAnsi="Arial" w:cs="Arial"/>
                <w:b/>
                <w:bCs/>
                <w:sz w:val="20"/>
                <w:szCs w:val="20"/>
                <w:lang w:eastAsia="en-PH"/>
              </w:rPr>
              <w:t>Total</w:t>
            </w:r>
          </w:p>
          <w:p>
            <w:pPr>
              <w:jc w:val="center"/>
              <w:rPr>
                <w:rFonts w:ascii="Arial" w:hAnsi="Arial" w:cs="Arial"/>
                <w:b/>
                <w:bCs/>
                <w:sz w:val="20"/>
                <w:szCs w:val="20"/>
                <w:lang w:eastAsia="en-PH"/>
              </w:rPr>
            </w:pPr>
            <w:r>
              <w:rPr>
                <w:rFonts w:ascii="Arial" w:hAnsi="Arial" w:cs="Arial"/>
                <w:b/>
                <w:bCs/>
                <w:sz w:val="20"/>
                <w:szCs w:val="20"/>
                <w:lang w:eastAsia="en-PH"/>
              </w:rPr>
              <w:t>(10 accounts)</w:t>
            </w:r>
          </w:p>
        </w:tc>
        <w:tc>
          <w:tcPr>
            <w:tcW w:w="732" w:type="dxa"/>
            <w:tcBorders>
              <w:top w:val="single" w:sz="4" w:space="0" w:color="auto"/>
              <w:bottom w:val="single" w:sz="4" w:space="0" w:color="auto"/>
            </w:tcBorders>
          </w:tcPr>
          <w:p>
            <w:pPr>
              <w:rPr>
                <w:rFonts w:ascii="Arial" w:hAnsi="Arial" w:cs="Arial"/>
                <w:b/>
                <w:bCs/>
                <w:sz w:val="20"/>
                <w:szCs w:val="20"/>
                <w:lang w:eastAsia="en-PH"/>
              </w:rPr>
            </w:pPr>
          </w:p>
        </w:tc>
        <w:tc>
          <w:tcPr>
            <w:tcW w:w="731" w:type="dxa"/>
            <w:tcBorders>
              <w:top w:val="single" w:sz="4" w:space="0" w:color="auto"/>
              <w:bottom w:val="single" w:sz="4" w:space="0" w:color="auto"/>
            </w:tcBorders>
          </w:tcPr>
          <w:p>
            <w:pPr>
              <w:rPr>
                <w:rFonts w:ascii="Arial" w:hAnsi="Arial" w:cs="Arial"/>
                <w:b/>
                <w:bCs/>
                <w:sz w:val="20"/>
                <w:szCs w:val="20"/>
                <w:lang w:eastAsia="en-PH"/>
              </w:rPr>
            </w:pPr>
          </w:p>
        </w:tc>
        <w:tc>
          <w:tcPr>
            <w:tcW w:w="2041" w:type="dxa"/>
            <w:tcBorders>
              <w:top w:val="single" w:sz="4" w:space="0" w:color="auto"/>
              <w:bottom w:val="single" w:sz="4" w:space="0" w:color="auto"/>
            </w:tcBorders>
          </w:tcPr>
          <w:p>
            <w:pPr>
              <w:jc w:val="right"/>
              <w:rPr>
                <w:rFonts w:ascii="Arial" w:hAnsi="Arial" w:cs="Arial"/>
                <w:b/>
                <w:bCs/>
                <w:sz w:val="20"/>
                <w:szCs w:val="20"/>
                <w:lang w:eastAsia="en-PH"/>
              </w:rPr>
            </w:pPr>
            <w:r>
              <w:rPr>
                <w:rFonts w:ascii="Arial" w:hAnsi="Arial" w:cs="Arial"/>
                <w:b/>
                <w:bCs/>
                <w:color w:val="000000"/>
                <w:sz w:val="20"/>
                <w:szCs w:val="20"/>
              </w:rPr>
              <w:t>P4,842,235,855.06</w:t>
            </w:r>
          </w:p>
        </w:tc>
        <w:tc>
          <w:tcPr>
            <w:tcW w:w="1984" w:type="dxa"/>
            <w:tcBorders>
              <w:top w:val="single" w:sz="4" w:space="0" w:color="auto"/>
              <w:bottom w:val="single" w:sz="4" w:space="0" w:color="auto"/>
            </w:tcBorders>
          </w:tcPr>
          <w:p>
            <w:pPr>
              <w:jc w:val="right"/>
              <w:rPr>
                <w:rFonts w:ascii="Arial" w:hAnsi="Arial" w:cs="Arial"/>
                <w:b/>
                <w:bCs/>
                <w:sz w:val="20"/>
                <w:szCs w:val="20"/>
                <w:lang w:eastAsia="en-PH"/>
              </w:rPr>
            </w:pPr>
            <w:r>
              <w:rPr>
                <w:rFonts w:ascii="Arial" w:hAnsi="Arial" w:cs="Arial"/>
                <w:b/>
                <w:bCs/>
                <w:color w:val="000000"/>
                <w:sz w:val="20"/>
                <w:szCs w:val="20"/>
              </w:rPr>
              <w:t xml:space="preserve"> P4,948,869,816.73</w:t>
            </w:r>
          </w:p>
        </w:tc>
        <w:tc>
          <w:tcPr>
            <w:tcW w:w="1901" w:type="dxa"/>
            <w:tcBorders>
              <w:top w:val="single" w:sz="4" w:space="0" w:color="auto"/>
              <w:bottom w:val="single" w:sz="4" w:space="0" w:color="auto"/>
            </w:tcBorders>
          </w:tcPr>
          <w:p>
            <w:pPr>
              <w:jc w:val="right"/>
              <w:rPr>
                <w:rFonts w:ascii="Arial" w:hAnsi="Arial" w:cs="Arial"/>
                <w:b/>
                <w:bCs/>
                <w:color w:val="000000"/>
                <w:sz w:val="20"/>
                <w:szCs w:val="20"/>
              </w:rPr>
            </w:pPr>
            <w:r>
              <w:rPr>
                <w:rFonts w:ascii="Arial" w:hAnsi="Arial" w:cs="Arial"/>
                <w:b/>
                <w:bCs/>
                <w:color w:val="000000"/>
                <w:sz w:val="20"/>
                <w:szCs w:val="20"/>
              </w:rPr>
              <w:t>P(106,633,961.67)</w:t>
            </w:r>
          </w:p>
        </w:tc>
      </w:tr>
    </w:tbl>
    <w:p>
      <w:pPr>
        <w:jc w:val="both"/>
        <w:rPr>
          <w:rFonts w:ascii="Arial" w:eastAsia="Calibri" w:hAnsi="Arial" w:cs="Arial"/>
          <w:b/>
          <w:bCs/>
          <w:sz w:val="22"/>
          <w:szCs w:val="22"/>
        </w:rPr>
      </w:pPr>
    </w:p>
    <w:p>
      <w:pPr>
        <w:pStyle w:val="ListParagraph"/>
        <w:numPr>
          <w:ilvl w:val="1"/>
          <w:numId w:val="7"/>
        </w:numPr>
        <w:ind w:left="993" w:hanging="543"/>
        <w:jc w:val="both"/>
        <w:rPr>
          <w:rFonts w:ascii="Arial" w:eastAsia="Calibri" w:hAnsi="Arial" w:cs="Arial"/>
          <w:b/>
          <w:bCs/>
          <w:sz w:val="22"/>
          <w:szCs w:val="22"/>
        </w:rPr>
      </w:pPr>
      <w:r>
        <w:rPr>
          <w:rFonts w:ascii="Arial" w:eastAsia="Calibri" w:hAnsi="Arial" w:cs="Arial"/>
          <w:sz w:val="22"/>
          <w:szCs w:val="22"/>
        </w:rPr>
        <w:t>Analysis of the submitted BRS as of December 31, 2023, revealed the following current and prior years’ reconciling items which remain unadjusted in the City’s books:</w:t>
      </w:r>
    </w:p>
    <w:p>
      <w:pPr>
        <w:jc w:val="both"/>
        <w:rPr>
          <w:rFonts w:ascii="Arial" w:eastAsia="Calibri" w:hAnsi="Arial" w:cs="Arial"/>
          <w:b/>
          <w:bCs/>
          <w:sz w:val="22"/>
          <w:szCs w:val="22"/>
        </w:rPr>
      </w:pPr>
    </w:p>
    <w:p>
      <w:pPr>
        <w:jc w:val="both"/>
        <w:rPr>
          <w:rFonts w:ascii="Arial" w:eastAsia="Calibri" w:hAnsi="Arial" w:cs="Arial"/>
          <w:b/>
          <w:bCs/>
          <w:sz w:val="22"/>
          <w:szCs w:val="22"/>
        </w:rPr>
      </w:pPr>
    </w:p>
    <w:p>
      <w:pPr>
        <w:jc w:val="both"/>
        <w:rPr>
          <w:rFonts w:ascii="Arial" w:eastAsia="Calibri" w:hAnsi="Arial" w:cs="Arial"/>
          <w:b/>
          <w:bCs/>
          <w:sz w:val="22"/>
          <w:szCs w:val="22"/>
        </w:rPr>
      </w:pPr>
    </w:p>
    <w:p>
      <w:pPr>
        <w:ind w:firstLine="284"/>
        <w:jc w:val="center"/>
        <w:rPr>
          <w:rFonts w:ascii="Arial" w:eastAsia="Calibri" w:hAnsi="Arial" w:cs="Arial"/>
          <w:sz w:val="20"/>
          <w:szCs w:val="20"/>
        </w:rPr>
      </w:pPr>
      <w:r>
        <w:rPr>
          <w:rFonts w:ascii="Arial" w:eastAsia="Calibri" w:hAnsi="Arial" w:cs="Arial"/>
          <w:sz w:val="20"/>
          <w:szCs w:val="20"/>
        </w:rPr>
        <w:lastRenderedPageBreak/>
        <w:t>Table 5. Breakdown of current and prior years’ unadjusted reconciling items</w:t>
      </w:r>
    </w:p>
    <w:tbl>
      <w:tblPr>
        <w:tblStyle w:val="TableGrid"/>
        <w:tblW w:w="956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563"/>
        <w:gridCol w:w="1417"/>
        <w:gridCol w:w="1701"/>
        <w:gridCol w:w="1698"/>
        <w:gridCol w:w="1768"/>
      </w:tblGrid>
      <w:tr>
        <w:trPr>
          <w:tblHeader/>
        </w:trPr>
        <w:tc>
          <w:tcPr>
            <w:tcW w:w="1419" w:type="dxa"/>
            <w:tcBorders>
              <w:top w:val="single" w:sz="4" w:space="0" w:color="auto"/>
              <w:bottom w:val="single" w:sz="4" w:space="0" w:color="auto"/>
            </w:tcBorders>
            <w:vAlign w:val="center"/>
            <w:hideMark/>
          </w:tcPr>
          <w:p>
            <w:pPr>
              <w:jc w:val="center"/>
              <w:rPr>
                <w:rFonts w:ascii="Arial" w:eastAsia="Calibri" w:hAnsi="Arial" w:cs="Arial"/>
                <w:b/>
                <w:bCs/>
                <w:sz w:val="18"/>
                <w:szCs w:val="18"/>
                <w:lang w:eastAsia="en-PH"/>
              </w:rPr>
            </w:pPr>
            <w:r>
              <w:rPr>
                <w:rFonts w:ascii="Arial" w:hAnsi="Arial" w:cs="Arial"/>
                <w:b/>
                <w:bCs/>
                <w:sz w:val="18"/>
                <w:szCs w:val="18"/>
                <w:lang w:eastAsia="en-PH"/>
              </w:rPr>
              <w:t>Reconciling Item (RI) per Fund</w:t>
            </w:r>
          </w:p>
        </w:tc>
        <w:tc>
          <w:tcPr>
            <w:tcW w:w="1563" w:type="dxa"/>
            <w:tcBorders>
              <w:top w:val="single" w:sz="4" w:space="0" w:color="auto"/>
              <w:bottom w:val="single" w:sz="4" w:space="0" w:color="auto"/>
            </w:tcBorders>
            <w:vAlign w:val="center"/>
            <w:hideMark/>
          </w:tcPr>
          <w:p>
            <w:pPr>
              <w:jc w:val="center"/>
              <w:rPr>
                <w:rFonts w:ascii="Arial" w:hAnsi="Arial" w:cs="Arial"/>
                <w:b/>
                <w:bCs/>
                <w:sz w:val="18"/>
                <w:szCs w:val="18"/>
                <w:lang w:eastAsia="en-PH"/>
              </w:rPr>
            </w:pPr>
            <w:r>
              <w:rPr>
                <w:rFonts w:ascii="Arial" w:hAnsi="Arial" w:cs="Arial"/>
                <w:b/>
                <w:bCs/>
                <w:sz w:val="18"/>
                <w:szCs w:val="18"/>
                <w:lang w:eastAsia="en-PH"/>
              </w:rPr>
              <w:t>Immediately Preceding Administration</w:t>
            </w:r>
          </w:p>
        </w:tc>
        <w:tc>
          <w:tcPr>
            <w:tcW w:w="3118" w:type="dxa"/>
            <w:gridSpan w:val="2"/>
            <w:tcBorders>
              <w:top w:val="single" w:sz="4" w:space="0" w:color="auto"/>
              <w:bottom w:val="single" w:sz="4" w:space="0" w:color="auto"/>
            </w:tcBorders>
            <w:vAlign w:val="center"/>
            <w:hideMark/>
          </w:tcPr>
          <w:p>
            <w:pPr>
              <w:jc w:val="center"/>
              <w:rPr>
                <w:rFonts w:ascii="Arial" w:hAnsi="Arial" w:cs="Arial"/>
                <w:b/>
                <w:bCs/>
                <w:sz w:val="18"/>
                <w:szCs w:val="18"/>
                <w:lang w:eastAsia="en-PH"/>
              </w:rPr>
            </w:pPr>
            <w:r>
              <w:rPr>
                <w:rFonts w:ascii="Arial" w:hAnsi="Arial" w:cs="Arial"/>
                <w:b/>
                <w:bCs/>
                <w:sz w:val="18"/>
                <w:szCs w:val="18"/>
                <w:lang w:eastAsia="en-PH"/>
              </w:rPr>
              <w:t>Current Administration</w:t>
            </w:r>
          </w:p>
        </w:tc>
        <w:tc>
          <w:tcPr>
            <w:tcW w:w="1698" w:type="dxa"/>
            <w:tcBorders>
              <w:top w:val="single" w:sz="4" w:space="0" w:color="auto"/>
              <w:bottom w:val="single" w:sz="4" w:space="0" w:color="auto"/>
            </w:tcBorders>
            <w:vAlign w:val="center"/>
            <w:hideMark/>
          </w:tcPr>
          <w:p>
            <w:pPr>
              <w:jc w:val="center"/>
              <w:rPr>
                <w:rFonts w:ascii="Arial" w:hAnsi="Arial" w:cs="Arial"/>
                <w:b/>
                <w:bCs/>
                <w:sz w:val="18"/>
                <w:szCs w:val="18"/>
                <w:lang w:eastAsia="en-PH"/>
              </w:rPr>
            </w:pPr>
            <w:r>
              <w:rPr>
                <w:rFonts w:ascii="Arial" w:hAnsi="Arial" w:cs="Arial"/>
                <w:b/>
                <w:bCs/>
                <w:sz w:val="18"/>
                <w:szCs w:val="18"/>
                <w:lang w:eastAsia="en-PH"/>
              </w:rPr>
              <w:t>Total RI per Fund</w:t>
            </w:r>
          </w:p>
        </w:tc>
        <w:tc>
          <w:tcPr>
            <w:tcW w:w="1768" w:type="dxa"/>
            <w:tcBorders>
              <w:top w:val="single" w:sz="4" w:space="0" w:color="auto"/>
              <w:bottom w:val="single" w:sz="4" w:space="0" w:color="auto"/>
            </w:tcBorders>
            <w:vAlign w:val="center"/>
            <w:hideMark/>
          </w:tcPr>
          <w:p>
            <w:pPr>
              <w:jc w:val="center"/>
              <w:rPr>
                <w:rFonts w:ascii="Arial" w:hAnsi="Arial" w:cs="Arial"/>
                <w:b/>
                <w:bCs/>
                <w:sz w:val="18"/>
                <w:szCs w:val="18"/>
                <w:lang w:eastAsia="en-PH"/>
              </w:rPr>
            </w:pPr>
            <w:r>
              <w:rPr>
                <w:rFonts w:ascii="Arial" w:hAnsi="Arial" w:cs="Arial"/>
                <w:b/>
                <w:bCs/>
                <w:sz w:val="18"/>
                <w:szCs w:val="18"/>
                <w:lang w:eastAsia="en-PH"/>
              </w:rPr>
              <w:t>Total</w:t>
            </w:r>
          </w:p>
        </w:tc>
      </w:tr>
      <w:tr>
        <w:tc>
          <w:tcPr>
            <w:tcW w:w="1419" w:type="dxa"/>
            <w:tcBorders>
              <w:top w:val="single" w:sz="4" w:space="0" w:color="auto"/>
              <w:bottom w:val="single" w:sz="4" w:space="0" w:color="auto"/>
            </w:tcBorders>
          </w:tcPr>
          <w:p>
            <w:pPr>
              <w:jc w:val="both"/>
              <w:rPr>
                <w:rFonts w:ascii="Arial" w:hAnsi="Arial" w:cs="Arial"/>
                <w:sz w:val="18"/>
                <w:szCs w:val="18"/>
                <w:lang w:eastAsia="en-PH"/>
              </w:rPr>
            </w:pPr>
          </w:p>
        </w:tc>
        <w:tc>
          <w:tcPr>
            <w:tcW w:w="1563"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2019-2021</w:t>
            </w:r>
          </w:p>
        </w:tc>
        <w:tc>
          <w:tcPr>
            <w:tcW w:w="1417"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2022</w:t>
            </w:r>
          </w:p>
        </w:tc>
        <w:tc>
          <w:tcPr>
            <w:tcW w:w="1701"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2023</w:t>
            </w:r>
          </w:p>
        </w:tc>
        <w:tc>
          <w:tcPr>
            <w:tcW w:w="1698" w:type="dxa"/>
            <w:tcBorders>
              <w:top w:val="single" w:sz="4" w:space="0" w:color="auto"/>
              <w:bottom w:val="single" w:sz="4" w:space="0" w:color="auto"/>
            </w:tcBorders>
          </w:tcPr>
          <w:p>
            <w:pPr>
              <w:jc w:val="both"/>
              <w:rPr>
                <w:rFonts w:ascii="Arial" w:hAnsi="Arial" w:cs="Arial"/>
                <w:sz w:val="18"/>
                <w:szCs w:val="18"/>
                <w:lang w:eastAsia="en-PH"/>
              </w:rPr>
            </w:pPr>
          </w:p>
        </w:tc>
        <w:tc>
          <w:tcPr>
            <w:tcW w:w="1768" w:type="dxa"/>
            <w:tcBorders>
              <w:top w:val="single" w:sz="4" w:space="0" w:color="auto"/>
              <w:bottom w:val="single" w:sz="4" w:space="0" w:color="auto"/>
            </w:tcBorders>
          </w:tcPr>
          <w:p>
            <w:pPr>
              <w:jc w:val="both"/>
              <w:rPr>
                <w:rFonts w:ascii="Arial" w:hAnsi="Arial" w:cs="Arial"/>
                <w:sz w:val="18"/>
                <w:szCs w:val="18"/>
                <w:lang w:eastAsia="en-PH"/>
              </w:rPr>
            </w:pPr>
          </w:p>
        </w:tc>
      </w:tr>
      <w:tr>
        <w:tc>
          <w:tcPr>
            <w:tcW w:w="9566" w:type="dxa"/>
            <w:gridSpan w:val="6"/>
            <w:tcBorders>
              <w:top w:val="single" w:sz="4" w:space="0" w:color="auto"/>
            </w:tcBorders>
            <w:hideMark/>
          </w:tcPr>
          <w:p>
            <w:pPr>
              <w:rPr>
                <w:rFonts w:ascii="Arial" w:hAnsi="Arial" w:cs="Arial"/>
                <w:sz w:val="18"/>
                <w:szCs w:val="18"/>
                <w:lang w:eastAsia="en-PH"/>
              </w:rPr>
            </w:pPr>
            <w:r>
              <w:rPr>
                <w:rFonts w:ascii="Arial" w:hAnsi="Arial" w:cs="Arial"/>
                <w:b/>
                <w:bCs/>
                <w:sz w:val="18"/>
                <w:szCs w:val="18"/>
                <w:lang w:eastAsia="en-PH"/>
              </w:rPr>
              <w:t>Unrecorded Disbursements</w:t>
            </w:r>
          </w:p>
        </w:tc>
      </w:tr>
      <w:tr>
        <w:tc>
          <w:tcPr>
            <w:tcW w:w="1419" w:type="dxa"/>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GF</w:t>
            </w:r>
          </w:p>
        </w:tc>
        <w:tc>
          <w:tcPr>
            <w:tcW w:w="1563" w:type="dxa"/>
            <w:vAlign w:val="center"/>
            <w:hideMark/>
          </w:tcPr>
          <w:p>
            <w:pPr>
              <w:jc w:val="right"/>
              <w:rPr>
                <w:rFonts w:ascii="Arial" w:hAnsi="Arial" w:cs="Arial"/>
                <w:sz w:val="18"/>
                <w:szCs w:val="18"/>
                <w:lang w:eastAsia="en-PH"/>
              </w:rPr>
            </w:pPr>
            <w:r>
              <w:rPr>
                <w:rFonts w:ascii="Arial" w:hAnsi="Arial" w:cs="Arial"/>
                <w:sz w:val="18"/>
                <w:szCs w:val="18"/>
                <w:lang w:eastAsia="en-PH"/>
              </w:rPr>
              <w:t>P24,051,828.50</w:t>
            </w:r>
          </w:p>
        </w:tc>
        <w:tc>
          <w:tcPr>
            <w:tcW w:w="1417" w:type="dxa"/>
            <w:vAlign w:val="center"/>
            <w:hideMark/>
          </w:tcPr>
          <w:p>
            <w:pPr>
              <w:jc w:val="right"/>
              <w:rPr>
                <w:rFonts w:ascii="Arial" w:hAnsi="Arial" w:cs="Arial"/>
                <w:sz w:val="18"/>
                <w:szCs w:val="18"/>
                <w:lang w:eastAsia="en-PH"/>
              </w:rPr>
            </w:pPr>
            <w:r>
              <w:rPr>
                <w:rFonts w:ascii="Arial" w:hAnsi="Arial" w:cs="Arial"/>
                <w:sz w:val="18"/>
                <w:szCs w:val="18"/>
                <w:lang w:eastAsia="en-PH"/>
              </w:rPr>
              <w:t>P4,098,759.63</w:t>
            </w:r>
          </w:p>
        </w:tc>
        <w:tc>
          <w:tcPr>
            <w:tcW w:w="1701" w:type="dxa"/>
            <w:vAlign w:val="center"/>
            <w:hideMark/>
          </w:tcPr>
          <w:p>
            <w:pPr>
              <w:jc w:val="right"/>
              <w:rPr>
                <w:rFonts w:ascii="Arial" w:hAnsi="Arial" w:cs="Arial"/>
                <w:sz w:val="18"/>
                <w:szCs w:val="18"/>
                <w:lang w:eastAsia="en-PH"/>
              </w:rPr>
            </w:pPr>
            <w:r>
              <w:rPr>
                <w:rFonts w:ascii="Arial" w:hAnsi="Arial" w:cs="Arial"/>
                <w:sz w:val="18"/>
                <w:szCs w:val="18"/>
                <w:lang w:eastAsia="en-PH"/>
              </w:rPr>
              <w:t>P97,947,832.62</w:t>
            </w:r>
          </w:p>
        </w:tc>
        <w:tc>
          <w:tcPr>
            <w:tcW w:w="1698" w:type="dxa"/>
            <w:vAlign w:val="center"/>
            <w:hideMark/>
          </w:tcPr>
          <w:p>
            <w:pPr>
              <w:jc w:val="right"/>
              <w:rPr>
                <w:rFonts w:ascii="Arial" w:hAnsi="Arial" w:cs="Arial"/>
                <w:sz w:val="18"/>
                <w:szCs w:val="18"/>
                <w:lang w:eastAsia="en-PH"/>
              </w:rPr>
            </w:pPr>
            <w:r>
              <w:rPr>
                <w:rFonts w:ascii="Arial" w:hAnsi="Arial" w:cs="Arial"/>
                <w:color w:val="000000"/>
                <w:sz w:val="18"/>
                <w:szCs w:val="18"/>
                <w:lang w:eastAsia="en-PH"/>
              </w:rPr>
              <w:t xml:space="preserve">P126,098,420.75 </w:t>
            </w:r>
          </w:p>
        </w:tc>
        <w:tc>
          <w:tcPr>
            <w:tcW w:w="1768" w:type="dxa"/>
            <w:vMerge w:val="restart"/>
            <w:vAlign w:val="center"/>
            <w:hideMark/>
          </w:tcPr>
          <w:p>
            <w:pPr>
              <w:jc w:val="right"/>
              <w:rPr>
                <w:rFonts w:ascii="Arial" w:hAnsi="Arial" w:cs="Arial"/>
                <w:sz w:val="18"/>
                <w:szCs w:val="18"/>
                <w:lang w:eastAsia="en-PH"/>
              </w:rPr>
            </w:pPr>
            <w:r>
              <w:rPr>
                <w:rFonts w:ascii="Arial" w:hAnsi="Arial" w:cs="Arial"/>
                <w:color w:val="000000"/>
                <w:sz w:val="18"/>
                <w:szCs w:val="18"/>
                <w:lang w:eastAsia="en-PH"/>
              </w:rPr>
              <w:t>P134,898,395.36</w:t>
            </w:r>
          </w:p>
        </w:tc>
      </w:tr>
      <w:tr>
        <w:tc>
          <w:tcPr>
            <w:tcW w:w="1419" w:type="dxa"/>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TF</w:t>
            </w:r>
          </w:p>
        </w:tc>
        <w:tc>
          <w:tcPr>
            <w:tcW w:w="1563" w:type="dxa"/>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hideMark/>
          </w:tcPr>
          <w:p>
            <w:pPr>
              <w:jc w:val="right"/>
              <w:rPr>
                <w:rFonts w:ascii="Arial" w:hAnsi="Arial" w:cs="Arial"/>
                <w:sz w:val="18"/>
                <w:szCs w:val="18"/>
                <w:lang w:eastAsia="en-PH"/>
              </w:rPr>
            </w:pPr>
            <w:r>
              <w:rPr>
                <w:rFonts w:ascii="Arial" w:hAnsi="Arial" w:cs="Arial"/>
                <w:sz w:val="18"/>
                <w:szCs w:val="18"/>
                <w:lang w:eastAsia="en-PH"/>
              </w:rPr>
              <w:t>-</w:t>
            </w:r>
          </w:p>
        </w:tc>
        <w:tc>
          <w:tcPr>
            <w:tcW w:w="1701" w:type="dxa"/>
            <w:vAlign w:val="center"/>
            <w:hideMark/>
          </w:tcPr>
          <w:p>
            <w:pPr>
              <w:jc w:val="right"/>
              <w:rPr>
                <w:rFonts w:ascii="Arial" w:hAnsi="Arial" w:cs="Arial"/>
                <w:sz w:val="18"/>
                <w:szCs w:val="18"/>
                <w:lang w:eastAsia="en-PH"/>
              </w:rPr>
            </w:pPr>
            <w:r>
              <w:rPr>
                <w:rFonts w:ascii="Arial" w:hAnsi="Arial" w:cs="Arial"/>
                <w:sz w:val="18"/>
                <w:szCs w:val="18"/>
                <w:lang w:eastAsia="en-PH"/>
              </w:rPr>
              <w:t>8,799,974.61</w:t>
            </w:r>
          </w:p>
        </w:tc>
        <w:tc>
          <w:tcPr>
            <w:tcW w:w="1698" w:type="dxa"/>
            <w:vAlign w:val="center"/>
            <w:hideMark/>
          </w:tcPr>
          <w:p>
            <w:pPr>
              <w:jc w:val="right"/>
              <w:rPr>
                <w:rFonts w:ascii="Arial" w:hAnsi="Arial" w:cs="Arial"/>
                <w:sz w:val="18"/>
                <w:szCs w:val="18"/>
                <w:lang w:eastAsia="en-PH"/>
              </w:rPr>
            </w:pPr>
            <w:r>
              <w:rPr>
                <w:rFonts w:ascii="Arial" w:hAnsi="Arial" w:cs="Arial"/>
                <w:color w:val="000000"/>
                <w:sz w:val="18"/>
                <w:szCs w:val="18"/>
                <w:lang w:eastAsia="en-PH"/>
              </w:rPr>
              <w:t xml:space="preserve"> </w:t>
            </w:r>
            <w:r>
              <w:rPr>
                <w:rFonts w:ascii="Arial" w:hAnsi="Arial" w:cs="Arial"/>
                <w:sz w:val="18"/>
                <w:szCs w:val="18"/>
                <w:lang w:eastAsia="en-PH"/>
              </w:rPr>
              <w:t>8,799,974.61</w:t>
            </w:r>
          </w:p>
        </w:tc>
        <w:tc>
          <w:tcPr>
            <w:tcW w:w="1768" w:type="dxa"/>
            <w:vMerge/>
            <w:vAlign w:val="center"/>
            <w:hideMark/>
          </w:tcPr>
          <w:p>
            <w:pPr>
              <w:rPr>
                <w:rFonts w:ascii="Arial" w:eastAsia="Calibri" w:hAnsi="Arial" w:cs="Arial"/>
                <w:sz w:val="18"/>
                <w:szCs w:val="18"/>
                <w:lang w:eastAsia="en-PH"/>
              </w:rPr>
            </w:pPr>
          </w:p>
        </w:tc>
      </w:tr>
      <w:tr>
        <w:trPr>
          <w:trHeight w:val="215"/>
        </w:trPr>
        <w:tc>
          <w:tcPr>
            <w:tcW w:w="9566" w:type="dxa"/>
            <w:gridSpan w:val="6"/>
            <w:vAlign w:val="center"/>
            <w:hideMark/>
          </w:tcPr>
          <w:p>
            <w:pPr>
              <w:jc w:val="both"/>
              <w:rPr>
                <w:rFonts w:ascii="Arial" w:hAnsi="Arial" w:cs="Arial"/>
                <w:sz w:val="18"/>
                <w:szCs w:val="18"/>
                <w:lang w:eastAsia="en-PH"/>
              </w:rPr>
            </w:pPr>
            <w:r>
              <w:rPr>
                <w:rFonts w:ascii="Arial" w:hAnsi="Arial" w:cs="Arial"/>
                <w:b/>
                <w:bCs/>
                <w:sz w:val="18"/>
                <w:szCs w:val="18"/>
                <w:lang w:eastAsia="en-PH"/>
              </w:rPr>
              <w:t>Unrecorded Deposits</w:t>
            </w:r>
          </w:p>
        </w:tc>
      </w:tr>
      <w:tr>
        <w:tc>
          <w:tcPr>
            <w:tcW w:w="1419" w:type="dxa"/>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GF</w:t>
            </w:r>
          </w:p>
        </w:tc>
        <w:tc>
          <w:tcPr>
            <w:tcW w:w="1563" w:type="dxa"/>
            <w:vAlign w:val="center"/>
            <w:hideMark/>
          </w:tcPr>
          <w:p>
            <w:pPr>
              <w:jc w:val="right"/>
              <w:rPr>
                <w:rFonts w:ascii="Arial" w:hAnsi="Arial" w:cs="Arial"/>
                <w:sz w:val="18"/>
                <w:szCs w:val="18"/>
                <w:lang w:eastAsia="en-PH"/>
              </w:rPr>
            </w:pPr>
            <w:r>
              <w:rPr>
                <w:rFonts w:ascii="Arial" w:hAnsi="Arial" w:cs="Arial"/>
                <w:sz w:val="18"/>
                <w:szCs w:val="18"/>
                <w:lang w:eastAsia="en-PH"/>
              </w:rPr>
              <w:t xml:space="preserve"> 80,256.21 </w:t>
            </w:r>
          </w:p>
        </w:tc>
        <w:tc>
          <w:tcPr>
            <w:tcW w:w="1417" w:type="dxa"/>
            <w:vAlign w:val="center"/>
            <w:hideMark/>
          </w:tcPr>
          <w:p>
            <w:pPr>
              <w:jc w:val="right"/>
              <w:rPr>
                <w:rFonts w:ascii="Arial" w:hAnsi="Arial" w:cs="Arial"/>
                <w:sz w:val="18"/>
                <w:szCs w:val="18"/>
                <w:lang w:eastAsia="en-PH"/>
              </w:rPr>
            </w:pPr>
            <w:r>
              <w:rPr>
                <w:rFonts w:ascii="Arial" w:hAnsi="Arial" w:cs="Arial"/>
                <w:sz w:val="18"/>
                <w:szCs w:val="18"/>
                <w:lang w:eastAsia="en-PH"/>
              </w:rPr>
              <w:t>607,675.20</w:t>
            </w:r>
          </w:p>
        </w:tc>
        <w:tc>
          <w:tcPr>
            <w:tcW w:w="1701" w:type="dxa"/>
            <w:vAlign w:val="center"/>
            <w:hideMark/>
          </w:tcPr>
          <w:p>
            <w:pPr>
              <w:jc w:val="right"/>
              <w:rPr>
                <w:rFonts w:ascii="Arial" w:hAnsi="Arial" w:cs="Arial"/>
                <w:sz w:val="18"/>
                <w:szCs w:val="18"/>
                <w:lang w:eastAsia="en-PH"/>
              </w:rPr>
            </w:pPr>
            <w:r>
              <w:rPr>
                <w:rFonts w:ascii="Arial" w:hAnsi="Arial" w:cs="Arial"/>
                <w:sz w:val="18"/>
                <w:szCs w:val="18"/>
                <w:lang w:eastAsia="en-PH"/>
              </w:rPr>
              <w:t>2,510,657.48</w:t>
            </w:r>
          </w:p>
        </w:tc>
        <w:tc>
          <w:tcPr>
            <w:tcW w:w="1698" w:type="dxa"/>
            <w:vAlign w:val="center"/>
            <w:hideMark/>
          </w:tcPr>
          <w:p>
            <w:pPr>
              <w:jc w:val="right"/>
              <w:rPr>
                <w:rFonts w:ascii="Arial" w:hAnsi="Arial" w:cs="Arial"/>
                <w:sz w:val="18"/>
                <w:szCs w:val="18"/>
                <w:lang w:eastAsia="en-PH"/>
              </w:rPr>
            </w:pPr>
            <w:r>
              <w:rPr>
                <w:rFonts w:ascii="Arial" w:hAnsi="Arial" w:cs="Arial"/>
                <w:sz w:val="18"/>
                <w:szCs w:val="18"/>
                <w:lang w:eastAsia="en-PH"/>
              </w:rPr>
              <w:t>3,198,588.89</w:t>
            </w:r>
          </w:p>
        </w:tc>
        <w:tc>
          <w:tcPr>
            <w:tcW w:w="1768" w:type="dxa"/>
            <w:vMerge w:val="restart"/>
            <w:vAlign w:val="center"/>
            <w:hideMark/>
          </w:tcPr>
          <w:p>
            <w:pPr>
              <w:jc w:val="right"/>
              <w:rPr>
                <w:rFonts w:ascii="Arial" w:hAnsi="Arial" w:cs="Arial"/>
                <w:sz w:val="18"/>
                <w:szCs w:val="18"/>
                <w:lang w:eastAsia="en-PH"/>
              </w:rPr>
            </w:pPr>
            <w:r>
              <w:rPr>
                <w:rFonts w:ascii="Arial" w:hAnsi="Arial" w:cs="Arial"/>
                <w:sz w:val="18"/>
                <w:szCs w:val="18"/>
                <w:lang w:eastAsia="en-PH"/>
              </w:rPr>
              <w:t>35,572,387.02</w:t>
            </w:r>
          </w:p>
        </w:tc>
      </w:tr>
      <w:tr>
        <w:tc>
          <w:tcPr>
            <w:tcW w:w="1419" w:type="dxa"/>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TF</w:t>
            </w:r>
          </w:p>
        </w:tc>
        <w:tc>
          <w:tcPr>
            <w:tcW w:w="1563" w:type="dxa"/>
            <w:vAlign w:val="center"/>
          </w:tcPr>
          <w:p>
            <w:pPr>
              <w:jc w:val="right"/>
              <w:rPr>
                <w:rFonts w:ascii="Arial" w:hAnsi="Arial" w:cs="Arial"/>
                <w:sz w:val="18"/>
                <w:szCs w:val="18"/>
                <w:lang w:eastAsia="en-PH"/>
              </w:rPr>
            </w:pPr>
          </w:p>
        </w:tc>
        <w:tc>
          <w:tcPr>
            <w:tcW w:w="1417" w:type="dxa"/>
            <w:vAlign w:val="center"/>
          </w:tcPr>
          <w:p>
            <w:pPr>
              <w:jc w:val="right"/>
              <w:rPr>
                <w:rFonts w:ascii="Arial" w:hAnsi="Arial" w:cs="Arial"/>
                <w:sz w:val="18"/>
                <w:szCs w:val="18"/>
                <w:lang w:eastAsia="en-PH"/>
              </w:rPr>
            </w:pPr>
          </w:p>
        </w:tc>
        <w:tc>
          <w:tcPr>
            <w:tcW w:w="1701" w:type="dxa"/>
            <w:vAlign w:val="center"/>
            <w:hideMark/>
          </w:tcPr>
          <w:p>
            <w:pPr>
              <w:jc w:val="right"/>
              <w:rPr>
                <w:rFonts w:ascii="Arial" w:hAnsi="Arial" w:cs="Arial"/>
                <w:sz w:val="18"/>
                <w:szCs w:val="18"/>
                <w:lang w:eastAsia="en-PH"/>
              </w:rPr>
            </w:pPr>
            <w:r>
              <w:rPr>
                <w:rFonts w:ascii="Arial" w:hAnsi="Arial" w:cs="Arial"/>
                <w:sz w:val="18"/>
                <w:szCs w:val="18"/>
                <w:lang w:eastAsia="en-PH"/>
              </w:rPr>
              <w:t>32,373,798.13</w:t>
            </w:r>
          </w:p>
        </w:tc>
        <w:tc>
          <w:tcPr>
            <w:tcW w:w="1698" w:type="dxa"/>
            <w:vAlign w:val="center"/>
            <w:hideMark/>
          </w:tcPr>
          <w:p>
            <w:pPr>
              <w:jc w:val="right"/>
              <w:rPr>
                <w:rFonts w:ascii="Arial" w:hAnsi="Arial" w:cs="Arial"/>
                <w:sz w:val="18"/>
                <w:szCs w:val="18"/>
                <w:lang w:eastAsia="en-PH"/>
              </w:rPr>
            </w:pPr>
            <w:r>
              <w:rPr>
                <w:rFonts w:ascii="Arial" w:hAnsi="Arial" w:cs="Arial"/>
                <w:sz w:val="18"/>
                <w:szCs w:val="18"/>
                <w:lang w:eastAsia="en-PH"/>
              </w:rPr>
              <w:t>32,373,798.13</w:t>
            </w:r>
          </w:p>
        </w:tc>
        <w:tc>
          <w:tcPr>
            <w:tcW w:w="1768" w:type="dxa"/>
            <w:vMerge/>
            <w:vAlign w:val="center"/>
            <w:hideMark/>
          </w:tcPr>
          <w:p>
            <w:pPr>
              <w:rPr>
                <w:rFonts w:ascii="Arial" w:eastAsia="Calibri" w:hAnsi="Arial" w:cs="Arial"/>
                <w:sz w:val="18"/>
                <w:szCs w:val="18"/>
                <w:lang w:eastAsia="en-PH"/>
              </w:rPr>
            </w:pPr>
          </w:p>
        </w:tc>
      </w:tr>
      <w:tr>
        <w:tc>
          <w:tcPr>
            <w:tcW w:w="9566" w:type="dxa"/>
            <w:gridSpan w:val="6"/>
            <w:hideMark/>
          </w:tcPr>
          <w:p>
            <w:pPr>
              <w:jc w:val="both"/>
              <w:rPr>
                <w:rFonts w:ascii="Arial" w:hAnsi="Arial" w:cs="Arial"/>
                <w:sz w:val="18"/>
                <w:szCs w:val="18"/>
                <w:lang w:eastAsia="en-PH"/>
              </w:rPr>
            </w:pPr>
            <w:r>
              <w:rPr>
                <w:rFonts w:ascii="Arial" w:hAnsi="Arial" w:cs="Arial"/>
                <w:b/>
                <w:bCs/>
                <w:sz w:val="18"/>
                <w:szCs w:val="18"/>
                <w:lang w:eastAsia="en-PH"/>
              </w:rPr>
              <w:t>Unrecorded Debit Memo</w:t>
            </w:r>
          </w:p>
        </w:tc>
      </w:tr>
      <w:tr>
        <w:tc>
          <w:tcPr>
            <w:tcW w:w="1419" w:type="dxa"/>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TF</w:t>
            </w:r>
          </w:p>
        </w:tc>
        <w:tc>
          <w:tcPr>
            <w:tcW w:w="1563" w:type="dxa"/>
          </w:tcPr>
          <w:p>
            <w:pPr>
              <w:jc w:val="right"/>
              <w:rPr>
                <w:rFonts w:ascii="Arial" w:hAnsi="Arial" w:cs="Arial"/>
                <w:sz w:val="18"/>
                <w:szCs w:val="18"/>
                <w:lang w:eastAsia="en-PH"/>
              </w:rPr>
            </w:pPr>
          </w:p>
        </w:tc>
        <w:tc>
          <w:tcPr>
            <w:tcW w:w="1417" w:type="dxa"/>
            <w:hideMark/>
          </w:tcPr>
          <w:p>
            <w:pPr>
              <w:jc w:val="right"/>
              <w:rPr>
                <w:rFonts w:ascii="Arial" w:hAnsi="Arial" w:cs="Arial"/>
                <w:sz w:val="18"/>
                <w:szCs w:val="18"/>
                <w:lang w:eastAsia="en-PH"/>
              </w:rPr>
            </w:pPr>
            <w:r>
              <w:rPr>
                <w:rFonts w:ascii="Arial" w:hAnsi="Arial" w:cs="Arial"/>
                <w:sz w:val="18"/>
                <w:szCs w:val="18"/>
                <w:lang w:eastAsia="en-PH"/>
              </w:rPr>
              <w:t>35,987.55</w:t>
            </w:r>
          </w:p>
        </w:tc>
        <w:tc>
          <w:tcPr>
            <w:tcW w:w="1701" w:type="dxa"/>
          </w:tcPr>
          <w:p>
            <w:pPr>
              <w:jc w:val="right"/>
              <w:rPr>
                <w:rFonts w:ascii="Arial" w:hAnsi="Arial" w:cs="Arial"/>
                <w:sz w:val="18"/>
                <w:szCs w:val="18"/>
                <w:lang w:eastAsia="en-PH"/>
              </w:rPr>
            </w:pPr>
          </w:p>
        </w:tc>
        <w:tc>
          <w:tcPr>
            <w:tcW w:w="1698" w:type="dxa"/>
            <w:hideMark/>
          </w:tcPr>
          <w:p>
            <w:pPr>
              <w:jc w:val="right"/>
              <w:rPr>
                <w:rFonts w:ascii="Arial" w:hAnsi="Arial" w:cs="Arial"/>
                <w:sz w:val="18"/>
                <w:szCs w:val="18"/>
                <w:lang w:eastAsia="en-PH"/>
              </w:rPr>
            </w:pPr>
            <w:r>
              <w:rPr>
                <w:rFonts w:ascii="Arial" w:hAnsi="Arial" w:cs="Arial"/>
                <w:sz w:val="18"/>
                <w:szCs w:val="18"/>
                <w:lang w:eastAsia="en-PH"/>
              </w:rPr>
              <w:t>35,987.55</w:t>
            </w:r>
          </w:p>
        </w:tc>
        <w:tc>
          <w:tcPr>
            <w:tcW w:w="1768" w:type="dxa"/>
            <w:hideMark/>
          </w:tcPr>
          <w:p>
            <w:pPr>
              <w:jc w:val="right"/>
              <w:rPr>
                <w:rFonts w:ascii="Arial" w:hAnsi="Arial" w:cs="Arial"/>
                <w:sz w:val="18"/>
                <w:szCs w:val="18"/>
                <w:lang w:eastAsia="en-PH"/>
              </w:rPr>
            </w:pPr>
            <w:r>
              <w:rPr>
                <w:rFonts w:ascii="Arial" w:hAnsi="Arial" w:cs="Arial"/>
                <w:sz w:val="18"/>
                <w:szCs w:val="18"/>
                <w:lang w:eastAsia="en-PH"/>
              </w:rPr>
              <w:t>35,987.55</w:t>
            </w:r>
          </w:p>
        </w:tc>
      </w:tr>
      <w:tr>
        <w:tc>
          <w:tcPr>
            <w:tcW w:w="9566" w:type="dxa"/>
            <w:gridSpan w:val="6"/>
            <w:hideMark/>
          </w:tcPr>
          <w:p>
            <w:pPr>
              <w:rPr>
                <w:rFonts w:ascii="Arial" w:hAnsi="Arial" w:cs="Arial"/>
                <w:sz w:val="18"/>
                <w:szCs w:val="18"/>
                <w:lang w:eastAsia="en-PH"/>
              </w:rPr>
            </w:pPr>
            <w:r>
              <w:rPr>
                <w:rFonts w:ascii="Arial" w:hAnsi="Arial" w:cs="Arial"/>
                <w:b/>
                <w:bCs/>
                <w:sz w:val="18"/>
                <w:szCs w:val="18"/>
                <w:lang w:eastAsia="en-PH"/>
              </w:rPr>
              <w:t>Unrecorded Debit Advice</w:t>
            </w:r>
          </w:p>
        </w:tc>
      </w:tr>
      <w:tr>
        <w:tc>
          <w:tcPr>
            <w:tcW w:w="1419" w:type="dxa"/>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TF</w:t>
            </w:r>
          </w:p>
        </w:tc>
        <w:tc>
          <w:tcPr>
            <w:tcW w:w="1563" w:type="dxa"/>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hideMark/>
          </w:tcPr>
          <w:p>
            <w:pPr>
              <w:jc w:val="right"/>
              <w:rPr>
                <w:rFonts w:ascii="Arial" w:hAnsi="Arial" w:cs="Arial"/>
                <w:sz w:val="18"/>
                <w:szCs w:val="18"/>
                <w:lang w:eastAsia="en-PH"/>
              </w:rPr>
            </w:pPr>
            <w:r>
              <w:rPr>
                <w:rFonts w:ascii="Arial" w:hAnsi="Arial" w:cs="Arial"/>
                <w:sz w:val="18"/>
                <w:szCs w:val="18"/>
                <w:lang w:eastAsia="en-PH"/>
              </w:rPr>
              <w:t>-</w:t>
            </w:r>
          </w:p>
        </w:tc>
        <w:tc>
          <w:tcPr>
            <w:tcW w:w="1701" w:type="dxa"/>
            <w:hideMark/>
          </w:tcPr>
          <w:p>
            <w:pPr>
              <w:jc w:val="right"/>
              <w:rPr>
                <w:rFonts w:ascii="Arial" w:hAnsi="Arial" w:cs="Arial"/>
                <w:sz w:val="18"/>
                <w:szCs w:val="18"/>
                <w:lang w:eastAsia="en-PH"/>
              </w:rPr>
            </w:pPr>
            <w:r>
              <w:rPr>
                <w:rFonts w:ascii="Arial" w:hAnsi="Arial" w:cs="Arial"/>
                <w:sz w:val="18"/>
                <w:szCs w:val="18"/>
                <w:lang w:eastAsia="en-PH"/>
              </w:rPr>
              <w:t>2,195,632.30</w:t>
            </w:r>
          </w:p>
        </w:tc>
        <w:tc>
          <w:tcPr>
            <w:tcW w:w="1698" w:type="dxa"/>
            <w:hideMark/>
          </w:tcPr>
          <w:p>
            <w:pPr>
              <w:jc w:val="right"/>
              <w:rPr>
                <w:rFonts w:ascii="Arial" w:hAnsi="Arial" w:cs="Arial"/>
                <w:sz w:val="18"/>
                <w:szCs w:val="18"/>
                <w:lang w:eastAsia="en-PH"/>
              </w:rPr>
            </w:pPr>
            <w:r>
              <w:rPr>
                <w:rFonts w:ascii="Arial" w:hAnsi="Arial" w:cs="Arial"/>
                <w:sz w:val="18"/>
                <w:szCs w:val="18"/>
                <w:lang w:eastAsia="en-PH"/>
              </w:rPr>
              <w:t>2,195,632.30</w:t>
            </w:r>
          </w:p>
        </w:tc>
        <w:tc>
          <w:tcPr>
            <w:tcW w:w="1768" w:type="dxa"/>
            <w:hideMark/>
          </w:tcPr>
          <w:p>
            <w:pPr>
              <w:jc w:val="right"/>
              <w:rPr>
                <w:rFonts w:ascii="Arial" w:hAnsi="Arial" w:cs="Arial"/>
                <w:sz w:val="18"/>
                <w:szCs w:val="18"/>
                <w:lang w:eastAsia="en-PH"/>
              </w:rPr>
            </w:pPr>
            <w:r>
              <w:rPr>
                <w:rFonts w:ascii="Arial" w:hAnsi="Arial" w:cs="Arial"/>
                <w:sz w:val="18"/>
                <w:szCs w:val="18"/>
                <w:lang w:eastAsia="en-PH"/>
              </w:rPr>
              <w:t>2,195,632.30</w:t>
            </w:r>
          </w:p>
        </w:tc>
      </w:tr>
      <w:tr>
        <w:tc>
          <w:tcPr>
            <w:tcW w:w="1419" w:type="dxa"/>
            <w:hideMark/>
          </w:tcPr>
          <w:p>
            <w:pPr>
              <w:jc w:val="both"/>
              <w:rPr>
                <w:rFonts w:ascii="Arial" w:hAnsi="Arial" w:cs="Arial"/>
                <w:b/>
                <w:bCs/>
                <w:sz w:val="18"/>
                <w:szCs w:val="18"/>
                <w:lang w:eastAsia="en-PH"/>
              </w:rPr>
            </w:pPr>
            <w:r>
              <w:rPr>
                <w:rFonts w:ascii="Arial" w:hAnsi="Arial" w:cs="Arial"/>
                <w:b/>
                <w:bCs/>
                <w:sz w:val="18"/>
                <w:szCs w:val="18"/>
                <w:lang w:eastAsia="en-PH"/>
              </w:rPr>
              <w:t>Stale Checks</w:t>
            </w:r>
          </w:p>
        </w:tc>
        <w:tc>
          <w:tcPr>
            <w:tcW w:w="1563" w:type="dxa"/>
          </w:tcPr>
          <w:p>
            <w:pPr>
              <w:jc w:val="right"/>
              <w:rPr>
                <w:rFonts w:ascii="Arial" w:hAnsi="Arial" w:cs="Arial"/>
                <w:sz w:val="18"/>
                <w:szCs w:val="18"/>
                <w:lang w:eastAsia="en-PH"/>
              </w:rPr>
            </w:pPr>
          </w:p>
        </w:tc>
        <w:tc>
          <w:tcPr>
            <w:tcW w:w="1417" w:type="dxa"/>
          </w:tcPr>
          <w:p>
            <w:pPr>
              <w:jc w:val="right"/>
              <w:rPr>
                <w:rFonts w:ascii="Arial" w:hAnsi="Arial" w:cs="Arial"/>
                <w:sz w:val="18"/>
                <w:szCs w:val="18"/>
                <w:lang w:eastAsia="en-PH"/>
              </w:rPr>
            </w:pPr>
          </w:p>
        </w:tc>
        <w:tc>
          <w:tcPr>
            <w:tcW w:w="1701" w:type="dxa"/>
          </w:tcPr>
          <w:p>
            <w:pPr>
              <w:jc w:val="right"/>
              <w:rPr>
                <w:rFonts w:ascii="Arial" w:hAnsi="Arial" w:cs="Arial"/>
                <w:sz w:val="18"/>
                <w:szCs w:val="18"/>
                <w:lang w:eastAsia="en-PH"/>
              </w:rPr>
            </w:pPr>
          </w:p>
        </w:tc>
        <w:tc>
          <w:tcPr>
            <w:tcW w:w="1698" w:type="dxa"/>
          </w:tcPr>
          <w:p>
            <w:pPr>
              <w:jc w:val="right"/>
              <w:rPr>
                <w:rFonts w:ascii="Arial" w:hAnsi="Arial" w:cs="Arial"/>
                <w:sz w:val="18"/>
                <w:szCs w:val="18"/>
                <w:lang w:eastAsia="en-PH"/>
              </w:rPr>
            </w:pPr>
          </w:p>
        </w:tc>
        <w:tc>
          <w:tcPr>
            <w:tcW w:w="1768" w:type="dxa"/>
          </w:tcPr>
          <w:p>
            <w:pPr>
              <w:jc w:val="right"/>
              <w:rPr>
                <w:rFonts w:ascii="Arial" w:hAnsi="Arial" w:cs="Arial"/>
                <w:sz w:val="18"/>
                <w:szCs w:val="18"/>
                <w:lang w:eastAsia="en-PH"/>
              </w:rPr>
            </w:pPr>
          </w:p>
        </w:tc>
      </w:tr>
      <w:tr>
        <w:tc>
          <w:tcPr>
            <w:tcW w:w="1419" w:type="dxa"/>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GF</w:t>
            </w:r>
          </w:p>
        </w:tc>
        <w:tc>
          <w:tcPr>
            <w:tcW w:w="1563" w:type="dxa"/>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hideMark/>
          </w:tcPr>
          <w:p>
            <w:pPr>
              <w:jc w:val="right"/>
              <w:rPr>
                <w:rFonts w:ascii="Arial" w:hAnsi="Arial" w:cs="Arial"/>
                <w:sz w:val="18"/>
                <w:szCs w:val="18"/>
                <w:lang w:eastAsia="en-PH"/>
              </w:rPr>
            </w:pPr>
            <w:r>
              <w:rPr>
                <w:rFonts w:ascii="Arial" w:hAnsi="Arial" w:cs="Arial"/>
                <w:sz w:val="18"/>
                <w:szCs w:val="18"/>
                <w:lang w:eastAsia="en-PH"/>
              </w:rPr>
              <w:t>155,231.08</w:t>
            </w:r>
          </w:p>
        </w:tc>
        <w:tc>
          <w:tcPr>
            <w:tcW w:w="1701" w:type="dxa"/>
            <w:hideMark/>
          </w:tcPr>
          <w:p>
            <w:pPr>
              <w:jc w:val="right"/>
              <w:rPr>
                <w:rFonts w:ascii="Arial" w:hAnsi="Arial" w:cs="Arial"/>
                <w:sz w:val="18"/>
                <w:szCs w:val="18"/>
                <w:lang w:eastAsia="en-PH"/>
              </w:rPr>
            </w:pPr>
            <w:r>
              <w:rPr>
                <w:rFonts w:ascii="Arial" w:hAnsi="Arial" w:cs="Arial"/>
                <w:sz w:val="18"/>
                <w:szCs w:val="18"/>
                <w:lang w:eastAsia="en-PH"/>
              </w:rPr>
              <w:t>5,258,006.38</w:t>
            </w:r>
          </w:p>
        </w:tc>
        <w:tc>
          <w:tcPr>
            <w:tcW w:w="1698" w:type="dxa"/>
            <w:hideMark/>
          </w:tcPr>
          <w:p>
            <w:pPr>
              <w:jc w:val="right"/>
              <w:rPr>
                <w:rFonts w:ascii="Arial" w:hAnsi="Arial" w:cs="Arial"/>
                <w:sz w:val="18"/>
                <w:szCs w:val="18"/>
                <w:lang w:eastAsia="en-PH"/>
              </w:rPr>
            </w:pPr>
            <w:r>
              <w:rPr>
                <w:rFonts w:ascii="Arial" w:hAnsi="Arial" w:cs="Arial"/>
                <w:sz w:val="18"/>
                <w:szCs w:val="18"/>
                <w:lang w:eastAsia="en-PH"/>
              </w:rPr>
              <w:t>5,413,237.46</w:t>
            </w:r>
          </w:p>
        </w:tc>
        <w:tc>
          <w:tcPr>
            <w:tcW w:w="1768" w:type="dxa"/>
            <w:hideMark/>
          </w:tcPr>
          <w:p>
            <w:pPr>
              <w:jc w:val="right"/>
              <w:rPr>
                <w:rFonts w:ascii="Arial" w:hAnsi="Arial" w:cs="Arial"/>
                <w:sz w:val="18"/>
                <w:szCs w:val="18"/>
                <w:lang w:eastAsia="en-PH"/>
              </w:rPr>
            </w:pPr>
            <w:r>
              <w:rPr>
                <w:rFonts w:ascii="Arial" w:hAnsi="Arial" w:cs="Arial"/>
                <w:sz w:val="18"/>
                <w:szCs w:val="18"/>
                <w:lang w:eastAsia="en-PH"/>
              </w:rPr>
              <w:t>5,413,237.46</w:t>
            </w:r>
          </w:p>
        </w:tc>
      </w:tr>
      <w:tr>
        <w:tc>
          <w:tcPr>
            <w:tcW w:w="9566" w:type="dxa"/>
            <w:gridSpan w:val="6"/>
            <w:hideMark/>
          </w:tcPr>
          <w:p>
            <w:pPr>
              <w:rPr>
                <w:rFonts w:ascii="Arial" w:hAnsi="Arial" w:cs="Arial"/>
                <w:sz w:val="18"/>
                <w:szCs w:val="18"/>
                <w:lang w:eastAsia="en-PH"/>
              </w:rPr>
            </w:pPr>
            <w:r>
              <w:rPr>
                <w:rFonts w:ascii="Arial" w:hAnsi="Arial" w:cs="Arial"/>
                <w:b/>
                <w:bCs/>
                <w:sz w:val="18"/>
                <w:szCs w:val="18"/>
                <w:lang w:eastAsia="en-PH"/>
              </w:rPr>
              <w:t>Book Errors Debited</w:t>
            </w:r>
          </w:p>
        </w:tc>
      </w:tr>
      <w:tr>
        <w:tc>
          <w:tcPr>
            <w:tcW w:w="1419" w:type="dxa"/>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GF</w:t>
            </w:r>
          </w:p>
        </w:tc>
        <w:tc>
          <w:tcPr>
            <w:tcW w:w="1563" w:type="dxa"/>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hideMark/>
          </w:tcPr>
          <w:p>
            <w:pPr>
              <w:jc w:val="right"/>
              <w:rPr>
                <w:rFonts w:ascii="Arial" w:hAnsi="Arial" w:cs="Arial"/>
                <w:sz w:val="18"/>
                <w:szCs w:val="18"/>
                <w:lang w:eastAsia="en-PH"/>
              </w:rPr>
            </w:pPr>
            <w:r>
              <w:rPr>
                <w:rFonts w:ascii="Arial" w:hAnsi="Arial" w:cs="Arial"/>
                <w:sz w:val="18"/>
                <w:szCs w:val="18"/>
                <w:lang w:eastAsia="en-PH"/>
              </w:rPr>
              <w:t>-</w:t>
            </w:r>
          </w:p>
        </w:tc>
        <w:tc>
          <w:tcPr>
            <w:tcW w:w="1701" w:type="dxa"/>
            <w:hideMark/>
          </w:tcPr>
          <w:p>
            <w:pPr>
              <w:jc w:val="right"/>
              <w:rPr>
                <w:rFonts w:ascii="Arial" w:hAnsi="Arial" w:cs="Arial"/>
                <w:sz w:val="18"/>
                <w:szCs w:val="18"/>
                <w:lang w:eastAsia="en-PH"/>
              </w:rPr>
            </w:pPr>
            <w:r>
              <w:rPr>
                <w:rFonts w:ascii="Arial" w:hAnsi="Arial" w:cs="Arial"/>
                <w:sz w:val="18"/>
                <w:szCs w:val="18"/>
                <w:lang w:eastAsia="en-PH"/>
              </w:rPr>
              <w:t>1,887,800.49</w:t>
            </w:r>
          </w:p>
        </w:tc>
        <w:tc>
          <w:tcPr>
            <w:tcW w:w="1698" w:type="dxa"/>
            <w:hideMark/>
          </w:tcPr>
          <w:p>
            <w:pPr>
              <w:jc w:val="right"/>
              <w:rPr>
                <w:rFonts w:ascii="Arial" w:hAnsi="Arial" w:cs="Arial"/>
                <w:sz w:val="18"/>
                <w:szCs w:val="18"/>
                <w:lang w:eastAsia="en-PH"/>
              </w:rPr>
            </w:pPr>
            <w:r>
              <w:rPr>
                <w:rFonts w:ascii="Arial" w:hAnsi="Arial" w:cs="Arial"/>
                <w:sz w:val="18"/>
                <w:szCs w:val="18"/>
                <w:lang w:eastAsia="en-PH"/>
              </w:rPr>
              <w:t>1,887,800.49</w:t>
            </w:r>
          </w:p>
        </w:tc>
        <w:tc>
          <w:tcPr>
            <w:tcW w:w="1768" w:type="dxa"/>
            <w:hideMark/>
          </w:tcPr>
          <w:p>
            <w:pPr>
              <w:jc w:val="right"/>
              <w:rPr>
                <w:rFonts w:ascii="Arial" w:hAnsi="Arial" w:cs="Arial"/>
                <w:sz w:val="18"/>
                <w:szCs w:val="18"/>
                <w:lang w:eastAsia="en-PH"/>
              </w:rPr>
            </w:pPr>
            <w:r>
              <w:rPr>
                <w:rFonts w:ascii="Arial" w:hAnsi="Arial" w:cs="Arial"/>
                <w:sz w:val="18"/>
                <w:szCs w:val="18"/>
                <w:lang w:eastAsia="en-PH"/>
              </w:rPr>
              <w:t>1,887,800.49</w:t>
            </w:r>
          </w:p>
        </w:tc>
      </w:tr>
      <w:tr>
        <w:tc>
          <w:tcPr>
            <w:tcW w:w="9566" w:type="dxa"/>
            <w:gridSpan w:val="6"/>
            <w:hideMark/>
          </w:tcPr>
          <w:p>
            <w:pPr>
              <w:rPr>
                <w:rFonts w:ascii="Arial" w:hAnsi="Arial" w:cs="Arial"/>
                <w:sz w:val="18"/>
                <w:szCs w:val="18"/>
                <w:lang w:eastAsia="en-PH"/>
              </w:rPr>
            </w:pPr>
            <w:r>
              <w:rPr>
                <w:rFonts w:ascii="Arial" w:hAnsi="Arial" w:cs="Arial"/>
                <w:b/>
                <w:bCs/>
                <w:sz w:val="18"/>
                <w:szCs w:val="18"/>
                <w:lang w:eastAsia="en-PH"/>
              </w:rPr>
              <w:t>Book Errors Credited</w:t>
            </w:r>
          </w:p>
        </w:tc>
      </w:tr>
      <w:tr>
        <w:tc>
          <w:tcPr>
            <w:tcW w:w="1419" w:type="dxa"/>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GF</w:t>
            </w:r>
          </w:p>
        </w:tc>
        <w:tc>
          <w:tcPr>
            <w:tcW w:w="1563" w:type="dxa"/>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hideMark/>
          </w:tcPr>
          <w:p>
            <w:pPr>
              <w:jc w:val="right"/>
              <w:rPr>
                <w:rFonts w:ascii="Arial" w:hAnsi="Arial" w:cs="Arial"/>
                <w:sz w:val="18"/>
                <w:szCs w:val="18"/>
                <w:lang w:eastAsia="en-PH"/>
              </w:rPr>
            </w:pPr>
            <w:r>
              <w:rPr>
                <w:rFonts w:ascii="Arial" w:hAnsi="Arial" w:cs="Arial"/>
                <w:sz w:val="18"/>
                <w:szCs w:val="18"/>
                <w:lang w:eastAsia="en-PH"/>
              </w:rPr>
              <w:t>414,270.98</w:t>
            </w:r>
          </w:p>
        </w:tc>
        <w:tc>
          <w:tcPr>
            <w:tcW w:w="1701" w:type="dxa"/>
            <w:hideMark/>
          </w:tcPr>
          <w:p>
            <w:pPr>
              <w:jc w:val="right"/>
              <w:rPr>
                <w:rFonts w:ascii="Arial" w:hAnsi="Arial" w:cs="Arial"/>
                <w:sz w:val="18"/>
                <w:szCs w:val="18"/>
                <w:lang w:eastAsia="en-PH"/>
              </w:rPr>
            </w:pPr>
            <w:r>
              <w:rPr>
                <w:rFonts w:ascii="Arial" w:hAnsi="Arial" w:cs="Arial"/>
                <w:sz w:val="18"/>
                <w:szCs w:val="18"/>
                <w:lang w:eastAsia="en-PH"/>
              </w:rPr>
              <w:t>1,417,052.36</w:t>
            </w:r>
          </w:p>
        </w:tc>
        <w:tc>
          <w:tcPr>
            <w:tcW w:w="1698" w:type="dxa"/>
            <w:hideMark/>
          </w:tcPr>
          <w:p>
            <w:pPr>
              <w:jc w:val="right"/>
              <w:rPr>
                <w:rFonts w:ascii="Arial" w:hAnsi="Arial" w:cs="Arial"/>
                <w:sz w:val="18"/>
                <w:szCs w:val="18"/>
                <w:lang w:eastAsia="en-PH"/>
              </w:rPr>
            </w:pPr>
            <w:r>
              <w:rPr>
                <w:rFonts w:ascii="Arial" w:hAnsi="Arial" w:cs="Arial"/>
                <w:sz w:val="18"/>
                <w:szCs w:val="18"/>
                <w:lang w:eastAsia="en-PH"/>
              </w:rPr>
              <w:t>1,831,323.34</w:t>
            </w:r>
          </w:p>
        </w:tc>
        <w:tc>
          <w:tcPr>
            <w:tcW w:w="1768" w:type="dxa"/>
            <w:vMerge w:val="restart"/>
            <w:vAlign w:val="center"/>
            <w:hideMark/>
          </w:tcPr>
          <w:p>
            <w:pPr>
              <w:jc w:val="right"/>
              <w:rPr>
                <w:rFonts w:ascii="Arial" w:hAnsi="Arial" w:cs="Arial"/>
                <w:sz w:val="18"/>
                <w:szCs w:val="18"/>
                <w:lang w:eastAsia="en-PH"/>
              </w:rPr>
            </w:pPr>
            <w:r>
              <w:rPr>
                <w:rFonts w:ascii="Arial" w:hAnsi="Arial" w:cs="Arial"/>
                <w:sz w:val="18"/>
                <w:szCs w:val="18"/>
                <w:lang w:eastAsia="en-PH"/>
              </w:rPr>
              <w:t>2,119,298.88</w:t>
            </w:r>
          </w:p>
        </w:tc>
      </w:tr>
      <w:tr>
        <w:trPr>
          <w:trHeight w:val="201"/>
        </w:trPr>
        <w:tc>
          <w:tcPr>
            <w:tcW w:w="1419" w:type="dxa"/>
            <w:tcBorders>
              <w:bottom w:val="single" w:sz="4" w:space="0" w:color="auto"/>
            </w:tcBorders>
            <w:vAlign w:val="center"/>
            <w:hideMark/>
          </w:tcPr>
          <w:p>
            <w:pPr>
              <w:pStyle w:val="ListParagraph"/>
              <w:numPr>
                <w:ilvl w:val="0"/>
                <w:numId w:val="9"/>
              </w:numPr>
              <w:ind w:left="174" w:hanging="142"/>
              <w:jc w:val="both"/>
              <w:rPr>
                <w:rFonts w:ascii="Arial" w:hAnsi="Arial" w:cs="Arial"/>
                <w:sz w:val="18"/>
                <w:szCs w:val="18"/>
                <w:lang w:eastAsia="en-PH"/>
              </w:rPr>
            </w:pPr>
            <w:r>
              <w:rPr>
                <w:rFonts w:ascii="Arial" w:hAnsi="Arial" w:cs="Arial"/>
                <w:sz w:val="18"/>
                <w:szCs w:val="18"/>
                <w:lang w:eastAsia="en-PH"/>
              </w:rPr>
              <w:t>TF</w:t>
            </w:r>
          </w:p>
        </w:tc>
        <w:tc>
          <w:tcPr>
            <w:tcW w:w="1563" w:type="dxa"/>
            <w:tcBorders>
              <w:bottom w:val="single" w:sz="4" w:space="0" w:color="auto"/>
            </w:tcBorders>
            <w:hideMark/>
          </w:tcPr>
          <w:p>
            <w:pPr>
              <w:jc w:val="right"/>
              <w:rPr>
                <w:rFonts w:ascii="Arial" w:hAnsi="Arial" w:cs="Arial"/>
                <w:sz w:val="18"/>
                <w:szCs w:val="18"/>
                <w:lang w:eastAsia="en-PH"/>
              </w:rPr>
            </w:pPr>
            <w:r>
              <w:rPr>
                <w:rFonts w:ascii="Arial" w:hAnsi="Arial" w:cs="Arial"/>
                <w:sz w:val="18"/>
                <w:szCs w:val="18"/>
                <w:lang w:eastAsia="en-PH"/>
              </w:rPr>
              <w:t>-</w:t>
            </w:r>
          </w:p>
        </w:tc>
        <w:tc>
          <w:tcPr>
            <w:tcW w:w="1417" w:type="dxa"/>
            <w:tcBorders>
              <w:bottom w:val="single" w:sz="4" w:space="0" w:color="auto"/>
            </w:tcBorders>
            <w:hideMark/>
          </w:tcPr>
          <w:p>
            <w:pPr>
              <w:jc w:val="right"/>
              <w:rPr>
                <w:rFonts w:ascii="Arial" w:hAnsi="Arial" w:cs="Arial"/>
                <w:sz w:val="18"/>
                <w:szCs w:val="18"/>
                <w:lang w:eastAsia="en-PH"/>
              </w:rPr>
            </w:pPr>
            <w:r>
              <w:rPr>
                <w:rFonts w:ascii="Arial" w:hAnsi="Arial" w:cs="Arial"/>
                <w:sz w:val="18"/>
                <w:szCs w:val="18"/>
                <w:lang w:eastAsia="en-PH"/>
              </w:rPr>
              <w:t>-</w:t>
            </w:r>
          </w:p>
        </w:tc>
        <w:tc>
          <w:tcPr>
            <w:tcW w:w="1701" w:type="dxa"/>
            <w:tcBorders>
              <w:bottom w:val="single" w:sz="4" w:space="0" w:color="auto"/>
            </w:tcBorders>
            <w:vAlign w:val="center"/>
            <w:hideMark/>
          </w:tcPr>
          <w:p>
            <w:pPr>
              <w:jc w:val="right"/>
              <w:rPr>
                <w:rFonts w:ascii="Arial" w:hAnsi="Arial" w:cs="Arial"/>
                <w:sz w:val="18"/>
                <w:szCs w:val="18"/>
                <w:lang w:eastAsia="en-PH"/>
              </w:rPr>
            </w:pPr>
            <w:r>
              <w:rPr>
                <w:rFonts w:ascii="Arial" w:hAnsi="Arial" w:cs="Arial"/>
                <w:sz w:val="18"/>
                <w:szCs w:val="18"/>
                <w:lang w:eastAsia="en-PH"/>
              </w:rPr>
              <w:t>287,975.54</w:t>
            </w:r>
          </w:p>
        </w:tc>
        <w:tc>
          <w:tcPr>
            <w:tcW w:w="1698" w:type="dxa"/>
            <w:tcBorders>
              <w:bottom w:val="single" w:sz="4" w:space="0" w:color="auto"/>
            </w:tcBorders>
            <w:vAlign w:val="center"/>
            <w:hideMark/>
          </w:tcPr>
          <w:p>
            <w:pPr>
              <w:jc w:val="right"/>
              <w:rPr>
                <w:rFonts w:ascii="Arial" w:hAnsi="Arial" w:cs="Arial"/>
                <w:sz w:val="18"/>
                <w:szCs w:val="18"/>
                <w:lang w:eastAsia="en-PH"/>
              </w:rPr>
            </w:pPr>
            <w:r>
              <w:rPr>
                <w:rFonts w:ascii="Arial" w:hAnsi="Arial" w:cs="Arial"/>
                <w:sz w:val="18"/>
                <w:szCs w:val="18"/>
                <w:lang w:eastAsia="en-PH"/>
              </w:rPr>
              <w:t>287,975.54</w:t>
            </w:r>
          </w:p>
        </w:tc>
        <w:tc>
          <w:tcPr>
            <w:tcW w:w="1768" w:type="dxa"/>
            <w:vMerge/>
            <w:tcBorders>
              <w:bottom w:val="single" w:sz="4" w:space="0" w:color="auto"/>
            </w:tcBorders>
            <w:vAlign w:val="center"/>
            <w:hideMark/>
          </w:tcPr>
          <w:p>
            <w:pPr>
              <w:rPr>
                <w:rFonts w:ascii="Arial" w:eastAsia="Calibri" w:hAnsi="Arial" w:cs="Arial"/>
                <w:sz w:val="18"/>
                <w:szCs w:val="18"/>
                <w:lang w:eastAsia="en-PH"/>
              </w:rPr>
            </w:pPr>
          </w:p>
        </w:tc>
      </w:tr>
      <w:tr>
        <w:tc>
          <w:tcPr>
            <w:tcW w:w="1419" w:type="dxa"/>
            <w:tcBorders>
              <w:top w:val="single" w:sz="4" w:space="0" w:color="auto"/>
              <w:bottom w:val="single" w:sz="4" w:space="0" w:color="auto"/>
            </w:tcBorders>
            <w:hideMark/>
          </w:tcPr>
          <w:p>
            <w:pPr>
              <w:jc w:val="center"/>
              <w:rPr>
                <w:rFonts w:ascii="Arial" w:hAnsi="Arial" w:cs="Arial"/>
                <w:b/>
                <w:bCs/>
                <w:sz w:val="18"/>
                <w:szCs w:val="18"/>
                <w:lang w:eastAsia="en-PH"/>
              </w:rPr>
            </w:pPr>
            <w:r>
              <w:rPr>
                <w:rFonts w:ascii="Arial" w:hAnsi="Arial" w:cs="Arial"/>
                <w:b/>
                <w:bCs/>
                <w:sz w:val="18"/>
                <w:szCs w:val="18"/>
                <w:lang w:eastAsia="en-PH"/>
              </w:rPr>
              <w:t>Total</w:t>
            </w:r>
          </w:p>
        </w:tc>
        <w:tc>
          <w:tcPr>
            <w:tcW w:w="1563" w:type="dxa"/>
            <w:tcBorders>
              <w:top w:val="single" w:sz="4" w:space="0" w:color="auto"/>
              <w:bottom w:val="single" w:sz="4" w:space="0" w:color="auto"/>
            </w:tcBorders>
            <w:vAlign w:val="center"/>
            <w:hideMark/>
          </w:tcPr>
          <w:p>
            <w:pPr>
              <w:jc w:val="right"/>
              <w:rPr>
                <w:rFonts w:ascii="Arial" w:hAnsi="Arial" w:cs="Arial"/>
                <w:b/>
                <w:bCs/>
                <w:sz w:val="18"/>
                <w:szCs w:val="18"/>
                <w:lang w:eastAsia="en-PH"/>
              </w:rPr>
            </w:pPr>
            <w:r>
              <w:rPr>
                <w:rFonts w:ascii="Arial" w:hAnsi="Arial" w:cs="Arial"/>
                <w:b/>
                <w:bCs/>
                <w:sz w:val="18"/>
                <w:szCs w:val="18"/>
                <w:lang w:eastAsia="en-PH"/>
              </w:rPr>
              <w:t>P24,132,084.71</w:t>
            </w:r>
          </w:p>
        </w:tc>
        <w:tc>
          <w:tcPr>
            <w:tcW w:w="1417" w:type="dxa"/>
            <w:tcBorders>
              <w:top w:val="single" w:sz="4" w:space="0" w:color="auto"/>
              <w:bottom w:val="single" w:sz="4" w:space="0" w:color="auto"/>
            </w:tcBorders>
            <w:vAlign w:val="center"/>
            <w:hideMark/>
          </w:tcPr>
          <w:p>
            <w:pPr>
              <w:jc w:val="right"/>
              <w:rPr>
                <w:rFonts w:ascii="Arial" w:hAnsi="Arial" w:cs="Arial"/>
                <w:b/>
                <w:bCs/>
                <w:sz w:val="18"/>
                <w:szCs w:val="18"/>
                <w:lang w:eastAsia="en-PH"/>
              </w:rPr>
            </w:pPr>
            <w:r>
              <w:rPr>
                <w:rFonts w:ascii="Arial" w:hAnsi="Arial" w:cs="Arial"/>
                <w:b/>
                <w:bCs/>
                <w:sz w:val="18"/>
                <w:szCs w:val="18"/>
                <w:lang w:eastAsia="en-PH"/>
              </w:rPr>
              <w:t>P5,311,924.44</w:t>
            </w:r>
          </w:p>
        </w:tc>
        <w:tc>
          <w:tcPr>
            <w:tcW w:w="1701" w:type="dxa"/>
            <w:tcBorders>
              <w:top w:val="single" w:sz="4" w:space="0" w:color="auto"/>
              <w:bottom w:val="single" w:sz="4" w:space="0" w:color="auto"/>
            </w:tcBorders>
            <w:vAlign w:val="center"/>
            <w:hideMark/>
          </w:tcPr>
          <w:p>
            <w:pPr>
              <w:jc w:val="right"/>
              <w:rPr>
                <w:rFonts w:ascii="Arial" w:hAnsi="Arial" w:cs="Arial"/>
                <w:b/>
                <w:bCs/>
                <w:sz w:val="18"/>
                <w:szCs w:val="18"/>
                <w:lang w:eastAsia="en-PH"/>
              </w:rPr>
            </w:pPr>
            <w:r>
              <w:rPr>
                <w:rFonts w:ascii="Arial" w:hAnsi="Arial" w:cs="Arial"/>
                <w:b/>
                <w:bCs/>
                <w:sz w:val="18"/>
                <w:szCs w:val="18"/>
                <w:lang w:eastAsia="en-PH"/>
              </w:rPr>
              <w:t>P152,678,729.91</w:t>
            </w:r>
          </w:p>
        </w:tc>
        <w:tc>
          <w:tcPr>
            <w:tcW w:w="1698" w:type="dxa"/>
            <w:tcBorders>
              <w:top w:val="single" w:sz="4" w:space="0" w:color="auto"/>
              <w:bottom w:val="single" w:sz="4" w:space="0" w:color="auto"/>
            </w:tcBorders>
            <w:vAlign w:val="center"/>
          </w:tcPr>
          <w:p>
            <w:pPr>
              <w:jc w:val="right"/>
              <w:rPr>
                <w:rFonts w:ascii="Arial" w:hAnsi="Arial" w:cs="Arial"/>
                <w:b/>
                <w:bCs/>
                <w:sz w:val="18"/>
                <w:szCs w:val="18"/>
                <w:lang w:eastAsia="en-PH"/>
              </w:rPr>
            </w:pPr>
          </w:p>
        </w:tc>
        <w:tc>
          <w:tcPr>
            <w:tcW w:w="1768" w:type="dxa"/>
            <w:tcBorders>
              <w:top w:val="single" w:sz="4" w:space="0" w:color="auto"/>
              <w:bottom w:val="single" w:sz="4" w:space="0" w:color="auto"/>
            </w:tcBorders>
            <w:vAlign w:val="center"/>
            <w:hideMark/>
          </w:tcPr>
          <w:p>
            <w:pPr>
              <w:jc w:val="right"/>
              <w:rPr>
                <w:rFonts w:ascii="Arial" w:hAnsi="Arial" w:cs="Arial"/>
                <w:b/>
                <w:bCs/>
                <w:sz w:val="18"/>
                <w:szCs w:val="18"/>
                <w:lang w:eastAsia="en-PH"/>
              </w:rPr>
            </w:pPr>
            <w:r>
              <w:rPr>
                <w:rFonts w:ascii="Arial" w:hAnsi="Arial" w:cs="Arial"/>
                <w:b/>
                <w:bCs/>
                <w:sz w:val="18"/>
                <w:szCs w:val="18"/>
                <w:lang w:eastAsia="en-PH"/>
              </w:rPr>
              <w:t>P182,122,739.06</w:t>
            </w:r>
          </w:p>
        </w:tc>
      </w:tr>
    </w:tbl>
    <w:p>
      <w:pPr>
        <w:jc w:val="both"/>
        <w:rPr>
          <w:rFonts w:ascii="Arial" w:eastAsia="Calibri" w:hAnsi="Arial" w:cs="Arial"/>
          <w:b/>
          <w:bCs/>
          <w:sz w:val="22"/>
          <w:szCs w:val="22"/>
        </w:rPr>
      </w:pPr>
    </w:p>
    <w:p>
      <w:pPr>
        <w:pStyle w:val="ListParagraph"/>
        <w:numPr>
          <w:ilvl w:val="1"/>
          <w:numId w:val="7"/>
        </w:numPr>
        <w:ind w:left="993" w:hanging="543"/>
        <w:jc w:val="both"/>
        <w:rPr>
          <w:rFonts w:ascii="Arial" w:eastAsia="Calibri" w:hAnsi="Arial" w:cs="Arial"/>
          <w:sz w:val="22"/>
          <w:szCs w:val="22"/>
        </w:rPr>
      </w:pPr>
      <w:r>
        <w:rPr>
          <w:rFonts w:ascii="Arial" w:eastAsia="Calibri" w:hAnsi="Arial" w:cs="Arial"/>
          <w:sz w:val="22"/>
          <w:szCs w:val="22"/>
        </w:rPr>
        <w:t>The discrepancies are due to unrecorded disbursements/deposits, debit memo, debit advice and stale checks, and uncorrected book errors from CYs 2019 to 2023. Of the P182,122,739.06 unadjusted book reconciling items, a total of P170,470,782.38 or 93.60 percent are attributable to unrecorded disbursements and deposits. The position of the Office of the City Accountant (OCAT) on the significant amounts from the two reconciling items are the following:</w:t>
      </w:r>
    </w:p>
    <w:p>
      <w:pPr>
        <w:ind w:left="1134" w:hanging="141"/>
        <w:jc w:val="both"/>
        <w:rPr>
          <w:rFonts w:ascii="Arial" w:eastAsia="Calibri" w:hAnsi="Arial" w:cs="Arial"/>
          <w:b/>
          <w:bCs/>
          <w:sz w:val="22"/>
          <w:szCs w:val="22"/>
        </w:rPr>
      </w:pPr>
    </w:p>
    <w:p>
      <w:pPr>
        <w:pStyle w:val="ListParagraph"/>
        <w:numPr>
          <w:ilvl w:val="0"/>
          <w:numId w:val="9"/>
        </w:numPr>
        <w:ind w:left="1134" w:hanging="141"/>
        <w:jc w:val="both"/>
        <w:rPr>
          <w:rFonts w:ascii="Arial" w:eastAsia="Calibri" w:hAnsi="Arial" w:cs="Arial"/>
          <w:sz w:val="22"/>
          <w:szCs w:val="22"/>
        </w:rPr>
      </w:pPr>
      <w:r>
        <w:rPr>
          <w:rFonts w:ascii="Arial" w:eastAsia="Calibri" w:hAnsi="Arial" w:cs="Arial"/>
          <w:sz w:val="22"/>
          <w:szCs w:val="22"/>
        </w:rPr>
        <w:t>Unrecorded disbursements – these are approved disbursement vouchers that were already forwarded by the OCAT to the City Treasurer’s Office (CTO) for check preparation and payment. The CTO had already prepared and issued the check and the amounts were already reflected in the bank statements. However, the supporting documents, including the copies of checks issued were not returned to the OCAT for recording which resulted to overstatement of the applicable CiB account and other affected accounts in the FS; and</w:t>
      </w:r>
    </w:p>
    <w:p>
      <w:pPr>
        <w:pStyle w:val="ListParagraph"/>
        <w:ind w:left="1134" w:hanging="141"/>
        <w:jc w:val="both"/>
        <w:rPr>
          <w:rFonts w:ascii="Arial" w:eastAsia="Calibri" w:hAnsi="Arial" w:cs="Arial"/>
          <w:sz w:val="22"/>
          <w:szCs w:val="22"/>
        </w:rPr>
      </w:pPr>
    </w:p>
    <w:p>
      <w:pPr>
        <w:pStyle w:val="ListParagraph"/>
        <w:numPr>
          <w:ilvl w:val="0"/>
          <w:numId w:val="9"/>
        </w:numPr>
        <w:ind w:left="1134" w:hanging="141"/>
        <w:jc w:val="both"/>
        <w:rPr>
          <w:rFonts w:ascii="Arial" w:eastAsia="Calibri" w:hAnsi="Arial" w:cs="Arial"/>
          <w:sz w:val="22"/>
          <w:szCs w:val="22"/>
        </w:rPr>
      </w:pPr>
      <w:r>
        <w:rPr>
          <w:rFonts w:ascii="Arial" w:eastAsia="Calibri" w:hAnsi="Arial" w:cs="Arial"/>
          <w:sz w:val="22"/>
          <w:szCs w:val="22"/>
        </w:rPr>
        <w:t>Unrecorded deposits – are collections mostly obtained from unknown third-party deposits. The income to be recognized or the liability to be derecognized in connection with the deposits remain undetermined. Thus, understated cash in bank, the related income, and/or overstated the associated liability account.</w:t>
      </w:r>
    </w:p>
    <w:p>
      <w:pPr>
        <w:jc w:val="both"/>
        <w:rPr>
          <w:rFonts w:ascii="Arial" w:eastAsia="Calibri" w:hAnsi="Arial" w:cs="Arial"/>
          <w:b/>
          <w:bCs/>
          <w:sz w:val="22"/>
          <w:szCs w:val="22"/>
        </w:rPr>
      </w:pPr>
    </w:p>
    <w:p>
      <w:pPr>
        <w:pStyle w:val="ListParagraph"/>
        <w:numPr>
          <w:ilvl w:val="1"/>
          <w:numId w:val="7"/>
        </w:numPr>
        <w:ind w:left="993" w:hanging="543"/>
        <w:jc w:val="both"/>
        <w:rPr>
          <w:rFonts w:ascii="Arial" w:eastAsia="Calibri" w:hAnsi="Arial" w:cs="Arial"/>
          <w:sz w:val="22"/>
          <w:szCs w:val="22"/>
        </w:rPr>
      </w:pPr>
      <w:r>
        <w:rPr>
          <w:rFonts w:ascii="Arial" w:eastAsia="Calibri" w:hAnsi="Arial" w:cs="Arial"/>
          <w:sz w:val="22"/>
          <w:szCs w:val="22"/>
        </w:rPr>
        <w:t>The fundamental purpose of the preparation of the BRS is to evaluate recorded balances against that of bank accounts and to determine causes of variances, if any. The OCAT should draw journal entry vouchers to record all valid reconciling items that require correction in the books. However, the retention of records in the CTO after the preparation and issuance of checks, and the absence of a timely reconciliation between the two offices hindered the prompt recording of reconciling items. Hence, the faithful representation of transactions affecting the cash in bank accounts was not attained which affected the fair presentation of FS.</w:t>
      </w:r>
    </w:p>
    <w:p>
      <w:pPr>
        <w:jc w:val="both"/>
        <w:rPr>
          <w:rFonts w:ascii="Arial" w:eastAsia="Calibri" w:hAnsi="Arial" w:cs="Arial"/>
          <w:b/>
          <w:bCs/>
          <w:sz w:val="22"/>
          <w:szCs w:val="22"/>
        </w:rPr>
      </w:pPr>
    </w:p>
    <w:p>
      <w:pPr>
        <w:rPr>
          <w:rFonts w:ascii="Arial" w:eastAsia="Calibri" w:hAnsi="Arial" w:cs="Arial"/>
          <w:b/>
          <w:bCs/>
          <w:sz w:val="22"/>
          <w:szCs w:val="22"/>
        </w:rPr>
      </w:pPr>
      <w:r>
        <w:rPr>
          <w:rFonts w:ascii="Arial" w:eastAsia="Calibri" w:hAnsi="Arial" w:cs="Arial"/>
          <w:b/>
          <w:bCs/>
          <w:sz w:val="22"/>
          <w:szCs w:val="22"/>
        </w:rPr>
        <w:br w:type="page"/>
      </w:r>
    </w:p>
    <w:p>
      <w:pPr>
        <w:pStyle w:val="ListParagraph"/>
        <w:numPr>
          <w:ilvl w:val="1"/>
          <w:numId w:val="16"/>
        </w:numPr>
        <w:ind w:left="993" w:hanging="567"/>
        <w:jc w:val="both"/>
        <w:rPr>
          <w:rFonts w:ascii="Arial" w:eastAsia="Calibri" w:hAnsi="Arial" w:cs="Arial"/>
          <w:b/>
          <w:bCs/>
          <w:sz w:val="22"/>
          <w:szCs w:val="22"/>
        </w:rPr>
      </w:pPr>
      <w:r>
        <w:rPr>
          <w:rFonts w:ascii="Arial" w:eastAsia="Calibri" w:hAnsi="Arial" w:cs="Arial"/>
          <w:b/>
          <w:bCs/>
          <w:sz w:val="22"/>
          <w:szCs w:val="22"/>
        </w:rPr>
        <w:lastRenderedPageBreak/>
        <w:t>We recommended and Management agreed that the OCAT and the CTO:</w:t>
      </w:r>
    </w:p>
    <w:p>
      <w:pPr>
        <w:pStyle w:val="ListParagraph"/>
        <w:rPr>
          <w:rFonts w:ascii="Arial" w:eastAsia="Calibri" w:hAnsi="Arial" w:cs="Arial"/>
          <w:b/>
          <w:bCs/>
          <w:sz w:val="22"/>
          <w:szCs w:val="22"/>
        </w:rPr>
      </w:pPr>
    </w:p>
    <w:p>
      <w:pPr>
        <w:pStyle w:val="ListParagraph"/>
        <w:numPr>
          <w:ilvl w:val="1"/>
          <w:numId w:val="17"/>
        </w:numPr>
        <w:ind w:left="1418"/>
        <w:jc w:val="both"/>
        <w:rPr>
          <w:rFonts w:ascii="Arial" w:eastAsia="Calibri" w:hAnsi="Arial" w:cs="Arial"/>
          <w:b/>
          <w:bCs/>
          <w:sz w:val="22"/>
          <w:szCs w:val="22"/>
        </w:rPr>
      </w:pPr>
      <w:r>
        <w:rPr>
          <w:rFonts w:ascii="Arial" w:eastAsia="Calibri" w:hAnsi="Arial" w:cs="Arial"/>
          <w:b/>
          <w:bCs/>
          <w:sz w:val="22"/>
          <w:szCs w:val="22"/>
        </w:rPr>
        <w:t xml:space="preserve">Reconcile the variances between the balances per bank confirmations and book balance, and accordingly effect the necessary adjustments to reflect correct ending balances of CiB accounts; </w:t>
      </w:r>
    </w:p>
    <w:p>
      <w:pPr>
        <w:pStyle w:val="ListParagraph"/>
        <w:ind w:left="1418"/>
        <w:jc w:val="both"/>
        <w:rPr>
          <w:rFonts w:ascii="Arial" w:eastAsia="Calibri" w:hAnsi="Arial" w:cs="Arial"/>
          <w:b/>
          <w:bCs/>
          <w:sz w:val="22"/>
          <w:szCs w:val="22"/>
        </w:rPr>
      </w:pPr>
    </w:p>
    <w:p>
      <w:pPr>
        <w:pStyle w:val="ListParagraph"/>
        <w:numPr>
          <w:ilvl w:val="1"/>
          <w:numId w:val="17"/>
        </w:numPr>
        <w:ind w:left="1418"/>
        <w:jc w:val="both"/>
        <w:rPr>
          <w:rFonts w:ascii="Arial" w:eastAsia="Calibri" w:hAnsi="Arial" w:cs="Arial"/>
          <w:b/>
          <w:bCs/>
          <w:sz w:val="22"/>
          <w:szCs w:val="22"/>
        </w:rPr>
      </w:pPr>
      <w:r>
        <w:rPr>
          <w:rFonts w:ascii="Arial" w:eastAsia="Calibri" w:hAnsi="Arial" w:cs="Arial"/>
          <w:b/>
          <w:bCs/>
          <w:sz w:val="22"/>
          <w:szCs w:val="22"/>
        </w:rPr>
        <w:t xml:space="preserve">Cause the timely preparation and submission of monthly BRS for each bank account pursuant to Section 74 of PD No. 1445; and </w:t>
      </w:r>
    </w:p>
    <w:p>
      <w:pPr>
        <w:pStyle w:val="ListParagraph"/>
        <w:ind w:left="1418"/>
        <w:rPr>
          <w:rFonts w:ascii="Arial" w:eastAsia="Calibri" w:hAnsi="Arial" w:cs="Arial"/>
          <w:b/>
          <w:bCs/>
          <w:sz w:val="22"/>
          <w:szCs w:val="22"/>
        </w:rPr>
      </w:pPr>
    </w:p>
    <w:p>
      <w:pPr>
        <w:pStyle w:val="ListParagraph"/>
        <w:numPr>
          <w:ilvl w:val="1"/>
          <w:numId w:val="17"/>
        </w:numPr>
        <w:ind w:left="1418"/>
        <w:jc w:val="both"/>
        <w:rPr>
          <w:rFonts w:ascii="Arial" w:eastAsia="Calibri" w:hAnsi="Arial" w:cs="Arial"/>
          <w:b/>
          <w:bCs/>
          <w:sz w:val="22"/>
          <w:szCs w:val="22"/>
        </w:rPr>
      </w:pPr>
      <w:r>
        <w:rPr>
          <w:rFonts w:ascii="Arial" w:eastAsia="Calibri" w:hAnsi="Arial" w:cs="Arial"/>
          <w:b/>
          <w:bCs/>
          <w:sz w:val="22"/>
          <w:szCs w:val="22"/>
        </w:rPr>
        <w:t xml:space="preserve">Formulate a document tracking system to establish accountability for records to provide an effective internal control tool for documentation and recording of the City’s transactions. </w:t>
      </w:r>
    </w:p>
    <w:p>
      <w:pPr>
        <w:tabs>
          <w:tab w:val="left" w:pos="425"/>
          <w:tab w:val="left" w:pos="1200"/>
        </w:tabs>
        <w:jc w:val="both"/>
        <w:rPr>
          <w:rFonts w:ascii="Arial" w:hAnsi="Arial" w:cs="Arial"/>
          <w:b/>
          <w:bCs/>
          <w:sz w:val="22"/>
          <w:szCs w:val="22"/>
          <w:lang w:val="en-PH"/>
        </w:rPr>
      </w:pPr>
    </w:p>
    <w:p>
      <w:pPr>
        <w:tabs>
          <w:tab w:val="left" w:pos="425"/>
          <w:tab w:val="left" w:pos="1200"/>
        </w:tabs>
        <w:jc w:val="both"/>
        <w:rPr>
          <w:rFonts w:ascii="Arial" w:hAnsi="Arial" w:cs="Arial"/>
          <w:b/>
          <w:bCs/>
          <w:sz w:val="22"/>
          <w:szCs w:val="22"/>
          <w:lang w:val="en-PH"/>
        </w:rPr>
      </w:pPr>
    </w:p>
    <w:p>
      <w:pPr>
        <w:pStyle w:val="ListParagraph"/>
        <w:numPr>
          <w:ilvl w:val="0"/>
          <w:numId w:val="7"/>
        </w:numPr>
        <w:ind w:left="360" w:hanging="450"/>
        <w:jc w:val="both"/>
        <w:rPr>
          <w:rFonts w:ascii="Arial" w:hAnsi="Arial" w:cs="Arial"/>
          <w:b/>
          <w:color w:val="000000" w:themeColor="text1"/>
          <w:sz w:val="22"/>
          <w:szCs w:val="22"/>
        </w:rPr>
      </w:pPr>
      <w:bookmarkStart w:id="2" w:name="_Hlk165993873"/>
      <w:r>
        <w:rPr>
          <w:rFonts w:ascii="Arial" w:hAnsi="Arial" w:cs="Arial"/>
          <w:b/>
          <w:sz w:val="22"/>
          <w:szCs w:val="22"/>
        </w:rPr>
        <w:t xml:space="preserve">The </w:t>
      </w:r>
      <w:r>
        <w:rPr>
          <w:rFonts w:ascii="Arial" w:hAnsi="Arial" w:cs="Arial"/>
          <w:b/>
          <w:bCs/>
          <w:color w:val="000000" w:themeColor="text1"/>
          <w:sz w:val="22"/>
          <w:szCs w:val="22"/>
        </w:rPr>
        <w:t>accuracy, completeness, and reliability of the year-end balance of Accounts Payable (AP)</w:t>
      </w:r>
      <w:r>
        <w:rPr>
          <w:rStyle w:val="FootnoteReference"/>
          <w:rFonts w:ascii="Arial" w:hAnsi="Arial" w:cs="Arial"/>
          <w:b/>
          <w:bCs/>
          <w:color w:val="000000" w:themeColor="text1"/>
          <w:sz w:val="22"/>
          <w:szCs w:val="22"/>
        </w:rPr>
        <w:footnoteReference w:id="1"/>
      </w:r>
      <w:r>
        <w:rPr>
          <w:rFonts w:ascii="Arial" w:hAnsi="Arial" w:cs="Arial"/>
          <w:b/>
          <w:bCs/>
          <w:color w:val="000000" w:themeColor="text1"/>
          <w:sz w:val="22"/>
          <w:szCs w:val="22"/>
        </w:rPr>
        <w:t xml:space="preserve"> amounting to P4.577 billion could not be determined due to net understatement variance of P525.085 million from confirmation results with contractors/suppliers as against balances per books contrary to Paragraph 27</w:t>
      </w:r>
      <w:r>
        <w:rPr>
          <w:rStyle w:val="FootnoteReference"/>
          <w:rFonts w:ascii="Arial" w:hAnsi="Arial" w:cs="Arial"/>
          <w:b/>
          <w:bCs/>
          <w:color w:val="000000" w:themeColor="text1"/>
          <w:sz w:val="22"/>
          <w:szCs w:val="22"/>
        </w:rPr>
        <w:footnoteReference w:id="2"/>
      </w:r>
      <w:r>
        <w:rPr>
          <w:rFonts w:ascii="Arial" w:hAnsi="Arial" w:cs="Arial"/>
          <w:b/>
          <w:bCs/>
          <w:color w:val="000000" w:themeColor="text1"/>
          <w:sz w:val="22"/>
          <w:szCs w:val="22"/>
        </w:rPr>
        <w:t xml:space="preserve"> of International Public Sector Accounting Standard (IPSAS) 1. Thus, affecting the fair presentation of the FS.</w:t>
      </w:r>
    </w:p>
    <w:bookmarkEnd w:id="2"/>
    <w:p>
      <w:pPr>
        <w:ind w:right="778"/>
        <w:jc w:val="both"/>
        <w:rPr>
          <w:rFonts w:ascii="Arial" w:hAnsi="Arial" w:cs="Arial"/>
          <w:iCs/>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We audited the City’s Accounts Payable to ascertain if carrying amounts presented in the FS as of December 31, 2023: (a) exist and are indeed firm liabilities; (b) complete and accurately valued; (c) have been accounted for in accordance with pertinent laws, rules and regulations and the IPSAS.</w:t>
      </w:r>
    </w:p>
    <w:p>
      <w:pPr>
        <w:pStyle w:val="ListParagraph"/>
        <w:ind w:left="1080" w:hanging="630"/>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Our procedures include, among others, (i) vouching against procurement and disbursement documents; (ii) examination of procurement documents; (iii) cut-off test and other test of details, balances and disclosures; (iv) confirmation; and</w:t>
      </w:r>
      <w:r>
        <w:rPr>
          <w:rFonts w:ascii="Arial" w:hAnsi="Arial" w:cs="Arial"/>
          <w:color w:val="000000" w:themeColor="text1"/>
          <w:sz w:val="22"/>
          <w:szCs w:val="22"/>
        </w:rPr>
        <w:br/>
        <w:t>(v) account analysis.</w:t>
      </w:r>
    </w:p>
    <w:p>
      <w:pPr>
        <w:pStyle w:val="ListParagraph"/>
        <w:ind w:left="1080" w:hanging="630"/>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Section 10, Chapter 1, of the MNGAS for LGUs, Volume II, prescribes the use of a SL. The SL is a book of final entry containing the details or breakdown of the balances of the controlling account appearing in the General Ledger (GL). Postings to the SLs generally come from source documents. The totals of the SL balances shall be reconciled with their respective control account in the GL at the end of every month.</w:t>
      </w:r>
    </w:p>
    <w:p>
      <w:pPr>
        <w:pStyle w:val="ListParagraph"/>
        <w:ind w:left="1080" w:hanging="630"/>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Verification of the Statement of Financial Position as of December 31, 2023, and its GLs and SLs, under all funds, shows that the AP had an outstanding balance of P4,577,292,672.32.  Details are as follows:</w:t>
      </w:r>
    </w:p>
    <w:p>
      <w:pPr>
        <w:jc w:val="both"/>
        <w:rPr>
          <w:rFonts w:ascii="Arial" w:hAnsi="Arial" w:cs="Arial"/>
          <w:color w:val="000000" w:themeColor="text1"/>
          <w:sz w:val="22"/>
          <w:szCs w:val="22"/>
        </w:rPr>
      </w:pPr>
    </w:p>
    <w:p>
      <w:pPr>
        <w:rPr>
          <w:rFonts w:ascii="Arial" w:hAnsi="Arial" w:cs="Arial"/>
          <w:color w:val="000000" w:themeColor="text1"/>
          <w:sz w:val="20"/>
          <w:szCs w:val="20"/>
        </w:rPr>
      </w:pPr>
      <w:r>
        <w:rPr>
          <w:rFonts w:ascii="Arial" w:hAnsi="Arial" w:cs="Arial"/>
          <w:color w:val="000000" w:themeColor="text1"/>
          <w:sz w:val="20"/>
          <w:szCs w:val="20"/>
        </w:rPr>
        <w:br w:type="page"/>
      </w:r>
    </w:p>
    <w:p>
      <w:pPr>
        <w:ind w:left="644" w:firstLine="436"/>
        <w:jc w:val="center"/>
        <w:rPr>
          <w:rFonts w:ascii="Arial" w:hAnsi="Arial" w:cs="Arial"/>
          <w:color w:val="000000" w:themeColor="text1"/>
          <w:sz w:val="20"/>
          <w:szCs w:val="20"/>
        </w:rPr>
      </w:pPr>
      <w:r>
        <w:rPr>
          <w:rFonts w:ascii="Arial" w:hAnsi="Arial" w:cs="Arial"/>
          <w:color w:val="000000" w:themeColor="text1"/>
          <w:sz w:val="20"/>
          <w:szCs w:val="20"/>
        </w:rPr>
        <w:lastRenderedPageBreak/>
        <w:t>Table 6- Comparative CYs 2023 and 2022 Payables</w:t>
      </w:r>
    </w:p>
    <w:tbl>
      <w:tblPr>
        <w:tblW w:w="7938" w:type="dxa"/>
        <w:tblInd w:w="1134" w:type="dxa"/>
        <w:tblLook w:val="04A0" w:firstRow="1" w:lastRow="0" w:firstColumn="1" w:lastColumn="0" w:noHBand="0" w:noVBand="1"/>
      </w:tblPr>
      <w:tblGrid>
        <w:gridCol w:w="1115"/>
        <w:gridCol w:w="1890"/>
        <w:gridCol w:w="1800"/>
        <w:gridCol w:w="1945"/>
        <w:gridCol w:w="1188"/>
      </w:tblGrid>
      <w:tr>
        <w:trPr>
          <w:trHeight w:val="310"/>
          <w:tblHeader/>
        </w:trPr>
        <w:tc>
          <w:tcPr>
            <w:tcW w:w="1115" w:type="dxa"/>
            <w:tcBorders>
              <w:top w:val="single" w:sz="4" w:space="0" w:color="auto"/>
              <w:bottom w:val="single" w:sz="4" w:space="0" w:color="auto"/>
            </w:tcBorders>
            <w:shd w:val="clear" w:color="auto" w:fill="auto"/>
            <w:vAlign w:val="center"/>
            <w:hideMark/>
          </w:tcPr>
          <w:p>
            <w:pPr>
              <w:jc w:val="center"/>
              <w:rPr>
                <w:rFonts w:ascii="Arial" w:hAnsi="Arial" w:cs="Arial"/>
                <w:b/>
                <w:bCs/>
                <w:sz w:val="18"/>
                <w:szCs w:val="18"/>
                <w:lang w:val="en-PH" w:eastAsia="en-PH"/>
              </w:rPr>
            </w:pPr>
            <w:r>
              <w:rPr>
                <w:rFonts w:ascii="Arial" w:hAnsi="Arial" w:cs="Arial"/>
                <w:b/>
                <w:bCs/>
                <w:sz w:val="18"/>
                <w:szCs w:val="18"/>
                <w:lang w:val="en-PH" w:eastAsia="en-PH"/>
              </w:rPr>
              <w:t>Fund</w:t>
            </w:r>
          </w:p>
        </w:tc>
        <w:tc>
          <w:tcPr>
            <w:tcW w:w="1890" w:type="dxa"/>
            <w:tcBorders>
              <w:top w:val="single" w:sz="4" w:space="0" w:color="auto"/>
              <w:bottom w:val="single" w:sz="4" w:space="0" w:color="auto"/>
            </w:tcBorders>
            <w:shd w:val="clear" w:color="auto" w:fill="auto"/>
            <w:vAlign w:val="center"/>
            <w:hideMark/>
          </w:tcPr>
          <w:p>
            <w:pPr>
              <w:jc w:val="center"/>
              <w:rPr>
                <w:rFonts w:ascii="Arial" w:hAnsi="Arial" w:cs="Arial"/>
                <w:b/>
                <w:bCs/>
                <w:sz w:val="18"/>
                <w:szCs w:val="18"/>
                <w:lang w:val="en-PH" w:eastAsia="en-PH"/>
              </w:rPr>
            </w:pPr>
            <w:r>
              <w:rPr>
                <w:rFonts w:ascii="Arial" w:hAnsi="Arial" w:cs="Arial"/>
                <w:b/>
                <w:bCs/>
                <w:sz w:val="18"/>
                <w:szCs w:val="18"/>
                <w:lang w:val="en-PH" w:eastAsia="en-PH"/>
              </w:rPr>
              <w:t>2023</w:t>
            </w:r>
          </w:p>
        </w:tc>
        <w:tc>
          <w:tcPr>
            <w:tcW w:w="1800" w:type="dxa"/>
            <w:tcBorders>
              <w:top w:val="single" w:sz="4" w:space="0" w:color="auto"/>
              <w:bottom w:val="single" w:sz="4" w:space="0" w:color="auto"/>
            </w:tcBorders>
            <w:shd w:val="clear" w:color="auto" w:fill="auto"/>
            <w:vAlign w:val="center"/>
            <w:hideMark/>
          </w:tcPr>
          <w:p>
            <w:pPr>
              <w:jc w:val="center"/>
              <w:rPr>
                <w:rFonts w:ascii="Arial" w:hAnsi="Arial" w:cs="Arial"/>
                <w:b/>
                <w:bCs/>
                <w:sz w:val="18"/>
                <w:szCs w:val="18"/>
                <w:lang w:val="en-PH" w:eastAsia="en-PH"/>
              </w:rPr>
            </w:pPr>
            <w:r>
              <w:rPr>
                <w:rFonts w:ascii="Arial" w:hAnsi="Arial" w:cs="Arial"/>
                <w:b/>
                <w:bCs/>
                <w:sz w:val="18"/>
                <w:szCs w:val="18"/>
                <w:lang w:val="en-PH" w:eastAsia="en-PH"/>
              </w:rPr>
              <w:t xml:space="preserve">2022 </w:t>
            </w:r>
          </w:p>
        </w:tc>
        <w:tc>
          <w:tcPr>
            <w:tcW w:w="1945" w:type="dxa"/>
            <w:tcBorders>
              <w:top w:val="single" w:sz="4" w:space="0" w:color="auto"/>
              <w:bottom w:val="single" w:sz="4" w:space="0" w:color="auto"/>
            </w:tcBorders>
            <w:shd w:val="clear" w:color="auto" w:fill="auto"/>
            <w:vAlign w:val="center"/>
            <w:hideMark/>
          </w:tcPr>
          <w:p>
            <w:pPr>
              <w:jc w:val="center"/>
              <w:rPr>
                <w:rFonts w:ascii="Arial" w:hAnsi="Arial" w:cs="Arial"/>
                <w:b/>
                <w:bCs/>
                <w:sz w:val="18"/>
                <w:szCs w:val="18"/>
                <w:lang w:val="en-PH" w:eastAsia="en-PH"/>
              </w:rPr>
            </w:pPr>
            <w:r>
              <w:rPr>
                <w:rFonts w:ascii="Arial" w:hAnsi="Arial" w:cs="Arial"/>
                <w:b/>
                <w:bCs/>
                <w:sz w:val="18"/>
                <w:szCs w:val="18"/>
                <w:lang w:val="en-PH" w:eastAsia="en-PH"/>
              </w:rPr>
              <w:t xml:space="preserve">Inc. (Dec.) </w:t>
            </w:r>
          </w:p>
        </w:tc>
        <w:tc>
          <w:tcPr>
            <w:tcW w:w="1188" w:type="dxa"/>
            <w:tcBorders>
              <w:top w:val="single" w:sz="4" w:space="0" w:color="auto"/>
              <w:bottom w:val="single" w:sz="4" w:space="0" w:color="auto"/>
            </w:tcBorders>
            <w:shd w:val="clear" w:color="auto" w:fill="auto"/>
            <w:vAlign w:val="center"/>
            <w:hideMark/>
          </w:tcPr>
          <w:p>
            <w:pPr>
              <w:jc w:val="center"/>
              <w:rPr>
                <w:rFonts w:ascii="Arial" w:hAnsi="Arial" w:cs="Arial"/>
                <w:b/>
                <w:bCs/>
                <w:sz w:val="18"/>
                <w:szCs w:val="18"/>
                <w:lang w:val="en-PH" w:eastAsia="en-PH"/>
              </w:rPr>
            </w:pPr>
            <w:r>
              <w:rPr>
                <w:rFonts w:ascii="Arial" w:hAnsi="Arial" w:cs="Arial"/>
                <w:b/>
                <w:bCs/>
                <w:sz w:val="18"/>
                <w:szCs w:val="18"/>
                <w:lang w:val="en-PH" w:eastAsia="en-PH"/>
              </w:rPr>
              <w:t>% Change</w:t>
            </w:r>
            <w:r>
              <w:rPr>
                <w:rFonts w:ascii="Arial" w:hAnsi="Arial" w:cs="Arial"/>
                <w:b/>
                <w:bCs/>
                <w:sz w:val="18"/>
                <w:szCs w:val="18"/>
                <w:lang w:val="en-PH" w:eastAsia="en-PH"/>
              </w:rPr>
              <w:br/>
            </w:r>
          </w:p>
        </w:tc>
      </w:tr>
      <w:tr>
        <w:trPr>
          <w:trHeight w:val="140"/>
        </w:trPr>
        <w:tc>
          <w:tcPr>
            <w:tcW w:w="1115" w:type="dxa"/>
            <w:tcBorders>
              <w:top w:val="single" w:sz="4" w:space="0" w:color="auto"/>
            </w:tcBorders>
            <w:vAlign w:val="bottom"/>
            <w:hideMark/>
          </w:tcPr>
          <w:p>
            <w:pPr>
              <w:rPr>
                <w:rFonts w:ascii="Arial" w:hAnsi="Arial" w:cs="Arial"/>
                <w:sz w:val="18"/>
                <w:szCs w:val="18"/>
                <w:lang w:val="en-PH" w:eastAsia="en-PH"/>
              </w:rPr>
            </w:pPr>
            <w:r>
              <w:rPr>
                <w:rFonts w:ascii="Arial" w:hAnsi="Arial" w:cs="Arial"/>
                <w:sz w:val="18"/>
                <w:szCs w:val="18"/>
                <w:lang w:val="en-PH" w:eastAsia="en-PH"/>
              </w:rPr>
              <w:t>GF</w:t>
            </w:r>
          </w:p>
        </w:tc>
        <w:tc>
          <w:tcPr>
            <w:tcW w:w="1890" w:type="dxa"/>
            <w:tcBorders>
              <w:top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P3,402,911,945.76</w:t>
            </w:r>
          </w:p>
        </w:tc>
        <w:tc>
          <w:tcPr>
            <w:tcW w:w="1800" w:type="dxa"/>
            <w:tcBorders>
              <w:top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P4,724,971,723.56</w:t>
            </w:r>
          </w:p>
        </w:tc>
        <w:tc>
          <w:tcPr>
            <w:tcW w:w="1945" w:type="dxa"/>
            <w:tcBorders>
              <w:top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rPr>
              <w:t xml:space="preserve"> (P1,322,059,777.80) </w:t>
            </w:r>
          </w:p>
        </w:tc>
        <w:tc>
          <w:tcPr>
            <w:tcW w:w="1188" w:type="dxa"/>
            <w:tcBorders>
              <w:top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rPr>
              <w:t>-28%</w:t>
            </w:r>
          </w:p>
        </w:tc>
      </w:tr>
      <w:tr>
        <w:trPr>
          <w:trHeight w:val="300"/>
        </w:trPr>
        <w:tc>
          <w:tcPr>
            <w:tcW w:w="1115" w:type="dxa"/>
            <w:vAlign w:val="bottom"/>
            <w:hideMark/>
          </w:tcPr>
          <w:p>
            <w:pPr>
              <w:rPr>
                <w:rFonts w:ascii="Arial" w:hAnsi="Arial" w:cs="Arial"/>
                <w:sz w:val="18"/>
                <w:szCs w:val="18"/>
                <w:lang w:val="en-PH" w:eastAsia="en-PH"/>
              </w:rPr>
            </w:pPr>
            <w:r>
              <w:rPr>
                <w:rFonts w:ascii="Arial" w:hAnsi="Arial" w:cs="Arial"/>
                <w:sz w:val="18"/>
                <w:szCs w:val="18"/>
                <w:lang w:val="en-PH" w:eastAsia="en-PH"/>
              </w:rPr>
              <w:t>SEF</w:t>
            </w:r>
          </w:p>
        </w:tc>
        <w:tc>
          <w:tcPr>
            <w:tcW w:w="1890" w:type="dxa"/>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1,152,098,415.86</w:t>
            </w:r>
          </w:p>
        </w:tc>
        <w:tc>
          <w:tcPr>
            <w:tcW w:w="1800" w:type="dxa"/>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324,350,345.48</w:t>
            </w:r>
          </w:p>
        </w:tc>
        <w:tc>
          <w:tcPr>
            <w:tcW w:w="1945" w:type="dxa"/>
            <w:noWrap/>
            <w:vAlign w:val="bottom"/>
            <w:hideMark/>
          </w:tcPr>
          <w:p>
            <w:pPr>
              <w:jc w:val="right"/>
              <w:rPr>
                <w:rFonts w:ascii="Arial" w:hAnsi="Arial" w:cs="Arial"/>
                <w:sz w:val="18"/>
                <w:szCs w:val="18"/>
                <w:lang w:val="en-PH" w:eastAsia="en-PH"/>
              </w:rPr>
            </w:pPr>
            <w:r>
              <w:rPr>
                <w:rFonts w:ascii="Arial" w:hAnsi="Arial" w:cs="Arial"/>
                <w:sz w:val="18"/>
                <w:szCs w:val="18"/>
              </w:rPr>
              <w:t xml:space="preserve">    827,748,070.38</w:t>
            </w:r>
          </w:p>
        </w:tc>
        <w:tc>
          <w:tcPr>
            <w:tcW w:w="1188" w:type="dxa"/>
            <w:noWrap/>
            <w:vAlign w:val="bottom"/>
            <w:hideMark/>
          </w:tcPr>
          <w:p>
            <w:pPr>
              <w:jc w:val="right"/>
              <w:rPr>
                <w:rFonts w:ascii="Arial" w:hAnsi="Arial" w:cs="Arial"/>
                <w:sz w:val="18"/>
                <w:szCs w:val="18"/>
                <w:lang w:val="en-PH" w:eastAsia="en-PH"/>
              </w:rPr>
            </w:pPr>
            <w:r>
              <w:rPr>
                <w:rFonts w:ascii="Arial" w:hAnsi="Arial" w:cs="Arial"/>
                <w:sz w:val="18"/>
                <w:szCs w:val="18"/>
              </w:rPr>
              <w:t>255%</w:t>
            </w:r>
          </w:p>
        </w:tc>
      </w:tr>
      <w:tr>
        <w:trPr>
          <w:trHeight w:val="300"/>
        </w:trPr>
        <w:tc>
          <w:tcPr>
            <w:tcW w:w="1115" w:type="dxa"/>
            <w:tcBorders>
              <w:bottom w:val="single" w:sz="4" w:space="0" w:color="auto"/>
            </w:tcBorders>
            <w:vAlign w:val="bottom"/>
            <w:hideMark/>
          </w:tcPr>
          <w:p>
            <w:pPr>
              <w:rPr>
                <w:rFonts w:ascii="Arial" w:hAnsi="Arial" w:cs="Arial"/>
                <w:sz w:val="18"/>
                <w:szCs w:val="18"/>
                <w:lang w:val="en-PH" w:eastAsia="en-PH"/>
              </w:rPr>
            </w:pPr>
            <w:r>
              <w:rPr>
                <w:rFonts w:ascii="Arial" w:hAnsi="Arial" w:cs="Arial"/>
                <w:sz w:val="18"/>
                <w:szCs w:val="18"/>
                <w:lang w:val="en-PH" w:eastAsia="en-PH"/>
              </w:rPr>
              <w:t>TF</w:t>
            </w:r>
          </w:p>
        </w:tc>
        <w:tc>
          <w:tcPr>
            <w:tcW w:w="1890" w:type="dxa"/>
            <w:tcBorders>
              <w:bottom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22,282,310.7</w:t>
            </w:r>
          </w:p>
        </w:tc>
        <w:tc>
          <w:tcPr>
            <w:tcW w:w="1800" w:type="dxa"/>
            <w:tcBorders>
              <w:bottom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lang w:val="en-PH" w:eastAsia="en-PH"/>
              </w:rPr>
              <w:t>29,092,419.59</w:t>
            </w:r>
          </w:p>
        </w:tc>
        <w:tc>
          <w:tcPr>
            <w:tcW w:w="1945" w:type="dxa"/>
            <w:tcBorders>
              <w:bottom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rPr>
              <w:t xml:space="preserve">(6,810,108.89) </w:t>
            </w:r>
          </w:p>
        </w:tc>
        <w:tc>
          <w:tcPr>
            <w:tcW w:w="1188" w:type="dxa"/>
            <w:tcBorders>
              <w:bottom w:val="single" w:sz="4" w:space="0" w:color="auto"/>
            </w:tcBorders>
            <w:noWrap/>
            <w:vAlign w:val="bottom"/>
            <w:hideMark/>
          </w:tcPr>
          <w:p>
            <w:pPr>
              <w:jc w:val="right"/>
              <w:rPr>
                <w:rFonts w:ascii="Arial" w:hAnsi="Arial" w:cs="Arial"/>
                <w:sz w:val="18"/>
                <w:szCs w:val="18"/>
                <w:lang w:val="en-PH" w:eastAsia="en-PH"/>
              </w:rPr>
            </w:pPr>
            <w:r>
              <w:rPr>
                <w:rFonts w:ascii="Arial" w:hAnsi="Arial" w:cs="Arial"/>
                <w:sz w:val="18"/>
                <w:szCs w:val="18"/>
              </w:rPr>
              <w:t>-23%</w:t>
            </w:r>
          </w:p>
        </w:tc>
      </w:tr>
      <w:tr>
        <w:trPr>
          <w:trHeight w:val="300"/>
        </w:trPr>
        <w:tc>
          <w:tcPr>
            <w:tcW w:w="1115" w:type="dxa"/>
            <w:tcBorders>
              <w:top w:val="single" w:sz="4" w:space="0" w:color="auto"/>
              <w:bottom w:val="single" w:sz="4" w:space="0" w:color="auto"/>
            </w:tcBorders>
            <w:vAlign w:val="bottom"/>
            <w:hideMark/>
          </w:tcPr>
          <w:p>
            <w:pPr>
              <w:jc w:val="center"/>
              <w:rPr>
                <w:rFonts w:ascii="Arial" w:hAnsi="Arial" w:cs="Arial"/>
                <w:b/>
                <w:bCs/>
                <w:sz w:val="18"/>
                <w:szCs w:val="18"/>
                <w:lang w:val="en-PH" w:eastAsia="en-PH"/>
              </w:rPr>
            </w:pPr>
            <w:r>
              <w:rPr>
                <w:rFonts w:ascii="Arial" w:hAnsi="Arial" w:cs="Arial"/>
                <w:b/>
                <w:bCs/>
                <w:sz w:val="18"/>
                <w:szCs w:val="18"/>
                <w:lang w:val="en-PH" w:eastAsia="en-PH"/>
              </w:rPr>
              <w:t>Total</w:t>
            </w:r>
          </w:p>
        </w:tc>
        <w:tc>
          <w:tcPr>
            <w:tcW w:w="1890" w:type="dxa"/>
            <w:tcBorders>
              <w:top w:val="single" w:sz="4" w:space="0" w:color="auto"/>
              <w:bottom w:val="single" w:sz="4" w:space="0" w:color="auto"/>
            </w:tcBorders>
            <w:noWrap/>
            <w:vAlign w:val="bottom"/>
            <w:hideMark/>
          </w:tcPr>
          <w:p>
            <w:pPr>
              <w:jc w:val="right"/>
              <w:rPr>
                <w:rFonts w:ascii="Arial" w:hAnsi="Arial" w:cs="Arial"/>
                <w:b/>
                <w:bCs/>
                <w:sz w:val="18"/>
                <w:szCs w:val="18"/>
                <w:lang w:val="en-PH" w:eastAsia="en-PH"/>
              </w:rPr>
            </w:pPr>
            <w:r>
              <w:rPr>
                <w:rFonts w:ascii="Arial" w:hAnsi="Arial" w:cs="Arial"/>
                <w:b/>
                <w:bCs/>
                <w:sz w:val="18"/>
                <w:szCs w:val="18"/>
                <w:lang w:val="en-PH" w:eastAsia="en-PH"/>
              </w:rPr>
              <w:t>P4,577,292,672.32</w:t>
            </w:r>
          </w:p>
        </w:tc>
        <w:tc>
          <w:tcPr>
            <w:tcW w:w="1800" w:type="dxa"/>
            <w:tcBorders>
              <w:top w:val="single" w:sz="4" w:space="0" w:color="auto"/>
              <w:bottom w:val="single" w:sz="4" w:space="0" w:color="auto"/>
            </w:tcBorders>
            <w:noWrap/>
            <w:vAlign w:val="bottom"/>
            <w:hideMark/>
          </w:tcPr>
          <w:p>
            <w:pPr>
              <w:jc w:val="right"/>
              <w:rPr>
                <w:rFonts w:ascii="Arial" w:hAnsi="Arial" w:cs="Arial"/>
                <w:b/>
                <w:bCs/>
                <w:sz w:val="18"/>
                <w:szCs w:val="18"/>
                <w:lang w:val="en-PH" w:eastAsia="en-PH"/>
              </w:rPr>
            </w:pPr>
            <w:r>
              <w:rPr>
                <w:rFonts w:ascii="Arial" w:hAnsi="Arial" w:cs="Arial"/>
                <w:b/>
                <w:bCs/>
                <w:sz w:val="18"/>
                <w:szCs w:val="18"/>
                <w:lang w:val="en-PH" w:eastAsia="en-PH"/>
              </w:rPr>
              <w:t>P5,078,414,488.63</w:t>
            </w:r>
          </w:p>
        </w:tc>
        <w:tc>
          <w:tcPr>
            <w:tcW w:w="1945" w:type="dxa"/>
            <w:tcBorders>
              <w:top w:val="single" w:sz="4" w:space="0" w:color="auto"/>
              <w:bottom w:val="single" w:sz="4" w:space="0" w:color="auto"/>
            </w:tcBorders>
            <w:noWrap/>
            <w:vAlign w:val="bottom"/>
            <w:hideMark/>
          </w:tcPr>
          <w:p>
            <w:pPr>
              <w:jc w:val="right"/>
              <w:rPr>
                <w:rFonts w:ascii="Arial" w:hAnsi="Arial" w:cs="Arial"/>
                <w:b/>
                <w:bCs/>
                <w:sz w:val="18"/>
                <w:szCs w:val="18"/>
                <w:lang w:val="en-PH" w:eastAsia="en-PH"/>
              </w:rPr>
            </w:pPr>
            <w:r>
              <w:rPr>
                <w:rFonts w:ascii="Arial" w:hAnsi="Arial" w:cs="Arial"/>
                <w:b/>
                <w:bCs/>
                <w:sz w:val="18"/>
                <w:szCs w:val="18"/>
              </w:rPr>
              <w:t>(P501,121,816.31)</w:t>
            </w:r>
            <w:r>
              <w:rPr>
                <w:rFonts w:ascii="Arial" w:hAnsi="Arial" w:cs="Arial"/>
                <w:sz w:val="18"/>
                <w:szCs w:val="18"/>
              </w:rPr>
              <w:t xml:space="preserve"> </w:t>
            </w:r>
          </w:p>
        </w:tc>
        <w:tc>
          <w:tcPr>
            <w:tcW w:w="1188" w:type="dxa"/>
            <w:tcBorders>
              <w:top w:val="single" w:sz="4" w:space="0" w:color="auto"/>
              <w:bottom w:val="single" w:sz="4" w:space="0" w:color="auto"/>
            </w:tcBorders>
            <w:noWrap/>
            <w:vAlign w:val="bottom"/>
            <w:hideMark/>
          </w:tcPr>
          <w:p>
            <w:pPr>
              <w:jc w:val="right"/>
              <w:rPr>
                <w:rFonts w:ascii="Arial" w:hAnsi="Arial" w:cs="Arial"/>
                <w:b/>
                <w:bCs/>
                <w:sz w:val="18"/>
                <w:szCs w:val="18"/>
                <w:lang w:val="en-PH" w:eastAsia="en-PH"/>
              </w:rPr>
            </w:pPr>
            <w:r>
              <w:rPr>
                <w:rFonts w:ascii="Arial" w:hAnsi="Arial" w:cs="Arial"/>
                <w:b/>
                <w:bCs/>
                <w:sz w:val="18"/>
                <w:szCs w:val="18"/>
              </w:rPr>
              <w:t>-10%</w:t>
            </w:r>
          </w:p>
        </w:tc>
      </w:tr>
    </w:tbl>
    <w:p>
      <w:pPr>
        <w:jc w:val="both"/>
        <w:rPr>
          <w:rFonts w:ascii="Arial" w:eastAsia="Calibri" w:hAnsi="Arial" w:cs="Arial"/>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 xml:space="preserve">Confirmation letters (CLs) were sent by the Audit Team to </w:t>
      </w:r>
      <w:r>
        <w:rPr>
          <w:rFonts w:ascii="Arial" w:hAnsi="Arial" w:cs="Arial"/>
          <w:color w:val="000000" w:themeColor="text1"/>
          <w:sz w:val="22"/>
          <w:szCs w:val="22"/>
        </w:rPr>
        <w:br/>
        <w:t>24 contractors/suppliers to verify their respective claims/receivables against the City’s financial records. The book balance of the AP subjected for confirmation amounted to P1,518,577,125.73 or equivalent to 33.18 percent of the total AP balance.</w:t>
      </w:r>
    </w:p>
    <w:p>
      <w:pPr>
        <w:pStyle w:val="ListParagraph"/>
        <w:ind w:left="1350"/>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As of writing, out of the 24 CLs, eight replies or 33 percent had been received for payables totaling P766,770,889.59 as against its book balance of P241,684,969.43. The results of the confirmation disclosed a net understatement of P525,085,920.16. Details are presented in Table 7:</w:t>
      </w:r>
    </w:p>
    <w:p>
      <w:pPr>
        <w:pStyle w:val="ListParagraph"/>
        <w:ind w:left="1022"/>
        <w:jc w:val="both"/>
        <w:rPr>
          <w:rFonts w:ascii="Arial" w:hAnsi="Arial" w:cs="Arial"/>
          <w:color w:val="000000" w:themeColor="text1"/>
          <w:sz w:val="22"/>
          <w:szCs w:val="22"/>
        </w:rPr>
      </w:pPr>
    </w:p>
    <w:p>
      <w:pPr>
        <w:pStyle w:val="ListParagraph"/>
        <w:ind w:left="426"/>
        <w:jc w:val="center"/>
        <w:rPr>
          <w:rFonts w:ascii="Arial" w:hAnsi="Arial" w:cs="Arial"/>
          <w:color w:val="000000" w:themeColor="text1"/>
          <w:sz w:val="20"/>
          <w:szCs w:val="20"/>
        </w:rPr>
      </w:pPr>
      <w:r>
        <w:rPr>
          <w:rFonts w:ascii="Arial" w:hAnsi="Arial" w:cs="Arial"/>
          <w:color w:val="000000" w:themeColor="text1"/>
          <w:sz w:val="20"/>
          <w:szCs w:val="20"/>
        </w:rPr>
        <w:t>Table 7- Comparison of Accounts Payable per books and per confirmation</w:t>
      </w:r>
    </w:p>
    <w:tbl>
      <w:tblPr>
        <w:tblW w:w="4750" w:type="pct"/>
        <w:tblInd w:w="426" w:type="dxa"/>
        <w:tblLayout w:type="fixed"/>
        <w:tblLook w:val="04A0" w:firstRow="1" w:lastRow="0" w:firstColumn="1" w:lastColumn="0" w:noHBand="0" w:noVBand="1"/>
      </w:tblPr>
      <w:tblGrid>
        <w:gridCol w:w="1721"/>
        <w:gridCol w:w="2296"/>
        <w:gridCol w:w="2297"/>
        <w:gridCol w:w="2441"/>
      </w:tblGrid>
      <w:tr>
        <w:trPr>
          <w:trHeight w:val="20"/>
          <w:tblHeader/>
        </w:trPr>
        <w:tc>
          <w:tcPr>
            <w:tcW w:w="983" w:type="pct"/>
            <w:tcBorders>
              <w:top w:val="single" w:sz="4" w:space="0" w:color="auto"/>
              <w:bottom w:val="single" w:sz="4" w:space="0" w:color="auto"/>
            </w:tcBorders>
            <w:vAlign w:val="center"/>
            <w:hideMark/>
          </w:tcPr>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Contractor/</w:t>
            </w:r>
          </w:p>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 xml:space="preserve">Supplier </w:t>
            </w:r>
          </w:p>
        </w:tc>
        <w:tc>
          <w:tcPr>
            <w:tcW w:w="1311" w:type="pct"/>
            <w:tcBorders>
              <w:top w:val="single" w:sz="4" w:space="0" w:color="auto"/>
              <w:bottom w:val="single" w:sz="4" w:space="0" w:color="auto"/>
            </w:tcBorders>
            <w:noWrap/>
            <w:vAlign w:val="center"/>
            <w:hideMark/>
          </w:tcPr>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 xml:space="preserve"> Per Books </w:t>
            </w:r>
          </w:p>
        </w:tc>
        <w:tc>
          <w:tcPr>
            <w:tcW w:w="1312" w:type="pct"/>
            <w:tcBorders>
              <w:top w:val="single" w:sz="4" w:space="0" w:color="auto"/>
              <w:bottom w:val="single" w:sz="4" w:space="0" w:color="auto"/>
            </w:tcBorders>
            <w:noWrap/>
            <w:vAlign w:val="center"/>
            <w:hideMark/>
          </w:tcPr>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Per CL</w:t>
            </w:r>
          </w:p>
        </w:tc>
        <w:tc>
          <w:tcPr>
            <w:tcW w:w="1394" w:type="pct"/>
            <w:tcBorders>
              <w:top w:val="single" w:sz="4" w:space="0" w:color="auto"/>
              <w:bottom w:val="single" w:sz="4" w:space="0" w:color="auto"/>
            </w:tcBorders>
            <w:noWrap/>
            <w:vAlign w:val="center"/>
            <w:hideMark/>
          </w:tcPr>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 xml:space="preserve"> Over (Under) </w:t>
            </w:r>
          </w:p>
        </w:tc>
      </w:tr>
      <w:tr>
        <w:trPr>
          <w:trHeight w:val="20"/>
        </w:trPr>
        <w:tc>
          <w:tcPr>
            <w:tcW w:w="983" w:type="pct"/>
            <w:tcBorders>
              <w:top w:val="single" w:sz="4" w:space="0" w:color="auto"/>
            </w:tcBorders>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1</w:t>
            </w:r>
          </w:p>
        </w:tc>
        <w:tc>
          <w:tcPr>
            <w:tcW w:w="1311" w:type="pct"/>
            <w:tcBorders>
              <w:top w:val="single" w:sz="4" w:space="0" w:color="auto"/>
            </w:tcBorders>
            <w:noWrap/>
            <w:hideMark/>
          </w:tcPr>
          <w:p>
            <w:pPr>
              <w:jc w:val="right"/>
              <w:rPr>
                <w:rFonts w:ascii="Arial" w:hAnsi="Arial" w:cs="Arial"/>
                <w:sz w:val="20"/>
                <w:szCs w:val="20"/>
                <w:lang w:val="en-PH" w:eastAsia="en-PH"/>
              </w:rPr>
            </w:pPr>
            <w:r>
              <w:rPr>
                <w:rFonts w:ascii="Arial" w:hAnsi="Arial" w:cs="Arial"/>
                <w:sz w:val="20"/>
                <w:szCs w:val="20"/>
              </w:rPr>
              <w:t xml:space="preserve">P40,874,177.52 </w:t>
            </w:r>
          </w:p>
        </w:tc>
        <w:tc>
          <w:tcPr>
            <w:tcW w:w="1312" w:type="pct"/>
            <w:tcBorders>
              <w:top w:val="single" w:sz="4" w:space="0" w:color="auto"/>
            </w:tcBorders>
            <w:noWrap/>
            <w:hideMark/>
          </w:tcPr>
          <w:p>
            <w:pPr>
              <w:jc w:val="right"/>
              <w:rPr>
                <w:rFonts w:ascii="Arial" w:hAnsi="Arial" w:cs="Arial"/>
                <w:color w:val="000000"/>
                <w:sz w:val="20"/>
                <w:szCs w:val="20"/>
                <w:lang w:val="en-PH" w:eastAsia="en-PH"/>
              </w:rPr>
            </w:pPr>
            <w:r>
              <w:rPr>
                <w:rFonts w:ascii="Arial" w:hAnsi="Arial" w:cs="Arial"/>
                <w:sz w:val="20"/>
                <w:szCs w:val="20"/>
              </w:rPr>
              <w:t xml:space="preserve">P 92,108,963.25 </w:t>
            </w:r>
          </w:p>
        </w:tc>
        <w:tc>
          <w:tcPr>
            <w:tcW w:w="1394" w:type="pct"/>
            <w:tcBorders>
              <w:top w:val="single" w:sz="4" w:space="0" w:color="auto"/>
            </w:tcBorders>
            <w:noWrap/>
            <w:hideMark/>
          </w:tcPr>
          <w:p>
            <w:pPr>
              <w:jc w:val="right"/>
              <w:rPr>
                <w:rFonts w:ascii="Arial" w:hAnsi="Arial" w:cs="Arial"/>
                <w:color w:val="000000"/>
                <w:sz w:val="20"/>
                <w:szCs w:val="20"/>
                <w:lang w:val="en-PH" w:eastAsia="en-PH"/>
              </w:rPr>
            </w:pPr>
            <w:r>
              <w:rPr>
                <w:rFonts w:ascii="Arial" w:hAnsi="Arial" w:cs="Arial"/>
                <w:sz w:val="20"/>
                <w:szCs w:val="20"/>
              </w:rPr>
              <w:t>(P51,234,785.73)</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2</w:t>
            </w:r>
          </w:p>
        </w:tc>
        <w:tc>
          <w:tcPr>
            <w:tcW w:w="1311" w:type="pct"/>
            <w:noWrap/>
            <w:hideMark/>
          </w:tcPr>
          <w:p>
            <w:pPr>
              <w:jc w:val="right"/>
              <w:rPr>
                <w:rFonts w:ascii="Arial" w:hAnsi="Arial" w:cs="Arial"/>
                <w:sz w:val="20"/>
                <w:szCs w:val="20"/>
                <w:lang w:val="en-PH" w:eastAsia="en-PH"/>
              </w:rPr>
            </w:pPr>
            <w:r>
              <w:rPr>
                <w:rFonts w:ascii="Arial" w:hAnsi="Arial" w:cs="Arial"/>
                <w:sz w:val="20"/>
                <w:szCs w:val="20"/>
              </w:rPr>
              <w:t xml:space="preserve"> 15,955,008.14 </w:t>
            </w:r>
          </w:p>
        </w:tc>
        <w:tc>
          <w:tcPr>
            <w:tcW w:w="1312"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25,458,066.52 </w:t>
            </w:r>
          </w:p>
        </w:tc>
        <w:tc>
          <w:tcPr>
            <w:tcW w:w="1394"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(9,503,058.38)</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3</w:t>
            </w:r>
          </w:p>
        </w:tc>
        <w:tc>
          <w:tcPr>
            <w:tcW w:w="1311" w:type="pct"/>
            <w:noWrap/>
            <w:hideMark/>
          </w:tcPr>
          <w:p>
            <w:pPr>
              <w:jc w:val="right"/>
              <w:rPr>
                <w:rFonts w:ascii="Arial" w:hAnsi="Arial" w:cs="Arial"/>
                <w:sz w:val="20"/>
                <w:szCs w:val="20"/>
                <w:lang w:val="en-PH" w:eastAsia="en-PH"/>
              </w:rPr>
            </w:pPr>
            <w:r>
              <w:rPr>
                <w:rFonts w:ascii="Arial" w:hAnsi="Arial" w:cs="Arial"/>
                <w:sz w:val="20"/>
                <w:szCs w:val="20"/>
                <w:lang w:val="en-PH" w:eastAsia="en-PH"/>
              </w:rPr>
              <w:t>30,421,764.36</w:t>
            </w:r>
          </w:p>
        </w:tc>
        <w:tc>
          <w:tcPr>
            <w:tcW w:w="1312" w:type="pct"/>
            <w:noWrap/>
            <w:hideMark/>
          </w:tcPr>
          <w:p>
            <w:pPr>
              <w:jc w:val="right"/>
              <w:rPr>
                <w:rFonts w:ascii="Arial" w:hAnsi="Arial" w:cs="Arial"/>
                <w:color w:val="000000"/>
                <w:sz w:val="20"/>
                <w:szCs w:val="20"/>
                <w:lang w:val="en-PH" w:eastAsia="en-PH"/>
              </w:rPr>
            </w:pPr>
            <w:r>
              <w:rPr>
                <w:rFonts w:ascii="Arial" w:hAnsi="Arial" w:cs="Arial"/>
                <w:color w:val="000000"/>
                <w:sz w:val="20"/>
                <w:szCs w:val="20"/>
                <w:lang w:val="en-PH" w:eastAsia="en-PH"/>
              </w:rPr>
              <w:t>286,009,237.91</w:t>
            </w:r>
          </w:p>
        </w:tc>
        <w:tc>
          <w:tcPr>
            <w:tcW w:w="1394" w:type="pct"/>
            <w:noWrap/>
            <w:hideMark/>
          </w:tcPr>
          <w:p>
            <w:pPr>
              <w:jc w:val="right"/>
              <w:rPr>
                <w:rFonts w:ascii="Arial" w:hAnsi="Arial" w:cs="Arial"/>
                <w:color w:val="000000"/>
                <w:sz w:val="20"/>
                <w:szCs w:val="20"/>
                <w:lang w:val="en-PH" w:eastAsia="en-PH"/>
              </w:rPr>
            </w:pPr>
            <w:r>
              <w:rPr>
                <w:rFonts w:ascii="Arial" w:hAnsi="Arial" w:cs="Arial"/>
                <w:color w:val="000000"/>
                <w:sz w:val="20"/>
                <w:szCs w:val="20"/>
                <w:lang w:val="en-PH" w:eastAsia="en-PH"/>
              </w:rPr>
              <w:t>(255,587,473.55)</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4</w:t>
            </w:r>
          </w:p>
        </w:tc>
        <w:tc>
          <w:tcPr>
            <w:tcW w:w="1311" w:type="pct"/>
            <w:noWrap/>
            <w:hideMark/>
          </w:tcPr>
          <w:p>
            <w:pPr>
              <w:jc w:val="right"/>
              <w:rPr>
                <w:rFonts w:ascii="Arial" w:hAnsi="Arial" w:cs="Arial"/>
                <w:sz w:val="20"/>
                <w:szCs w:val="20"/>
              </w:rPr>
            </w:pPr>
            <w:r>
              <w:rPr>
                <w:rFonts w:ascii="Arial" w:hAnsi="Arial" w:cs="Arial"/>
                <w:sz w:val="20"/>
                <w:szCs w:val="20"/>
              </w:rPr>
              <w:t xml:space="preserve"> 43,126,979.89 </w:t>
            </w:r>
          </w:p>
        </w:tc>
        <w:tc>
          <w:tcPr>
            <w:tcW w:w="1312" w:type="pct"/>
            <w:noWrap/>
            <w:hideMark/>
          </w:tcPr>
          <w:p>
            <w:pPr>
              <w:jc w:val="right"/>
              <w:rPr>
                <w:rFonts w:ascii="Arial" w:hAnsi="Arial" w:cs="Arial"/>
                <w:sz w:val="20"/>
                <w:szCs w:val="20"/>
              </w:rPr>
            </w:pPr>
            <w:r>
              <w:rPr>
                <w:rFonts w:ascii="Arial" w:hAnsi="Arial" w:cs="Arial"/>
                <w:sz w:val="20"/>
                <w:szCs w:val="20"/>
              </w:rPr>
              <w:t xml:space="preserve"> 37,283,099.99 </w:t>
            </w:r>
          </w:p>
        </w:tc>
        <w:tc>
          <w:tcPr>
            <w:tcW w:w="1394" w:type="pct"/>
            <w:noWrap/>
            <w:hideMark/>
          </w:tcPr>
          <w:p>
            <w:pPr>
              <w:jc w:val="right"/>
              <w:rPr>
                <w:rFonts w:ascii="Arial" w:hAnsi="Arial" w:cs="Arial"/>
                <w:sz w:val="20"/>
                <w:szCs w:val="20"/>
              </w:rPr>
            </w:pPr>
            <w:r>
              <w:rPr>
                <w:rFonts w:ascii="Arial" w:hAnsi="Arial" w:cs="Arial"/>
                <w:sz w:val="20"/>
                <w:szCs w:val="20"/>
              </w:rPr>
              <w:t xml:space="preserve"> 5,843,879.90 </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5</w:t>
            </w:r>
          </w:p>
        </w:tc>
        <w:tc>
          <w:tcPr>
            <w:tcW w:w="1311" w:type="pct"/>
            <w:noWrap/>
            <w:hideMark/>
          </w:tcPr>
          <w:p>
            <w:pPr>
              <w:jc w:val="right"/>
              <w:rPr>
                <w:rFonts w:ascii="Arial" w:hAnsi="Arial" w:cs="Arial"/>
                <w:sz w:val="20"/>
                <w:szCs w:val="20"/>
                <w:lang w:val="en-PH" w:eastAsia="en-PH"/>
              </w:rPr>
            </w:pPr>
            <w:r>
              <w:rPr>
                <w:rFonts w:ascii="Arial" w:hAnsi="Arial" w:cs="Arial"/>
                <w:sz w:val="20"/>
                <w:szCs w:val="20"/>
              </w:rPr>
              <w:t xml:space="preserve"> 2,080,028.58 </w:t>
            </w:r>
          </w:p>
        </w:tc>
        <w:tc>
          <w:tcPr>
            <w:tcW w:w="1312"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82,386,012.65 </w:t>
            </w:r>
          </w:p>
        </w:tc>
        <w:tc>
          <w:tcPr>
            <w:tcW w:w="1394"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(80,305,984.07)</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6</w:t>
            </w:r>
          </w:p>
        </w:tc>
        <w:tc>
          <w:tcPr>
            <w:tcW w:w="1311" w:type="pct"/>
            <w:noWrap/>
            <w:hideMark/>
          </w:tcPr>
          <w:p>
            <w:pPr>
              <w:jc w:val="right"/>
              <w:rPr>
                <w:rFonts w:ascii="Arial" w:hAnsi="Arial" w:cs="Arial"/>
                <w:sz w:val="20"/>
                <w:szCs w:val="20"/>
                <w:lang w:val="en-PH" w:eastAsia="en-PH"/>
              </w:rPr>
            </w:pPr>
            <w:r>
              <w:rPr>
                <w:rFonts w:ascii="Arial" w:hAnsi="Arial" w:cs="Arial"/>
                <w:sz w:val="20"/>
                <w:szCs w:val="20"/>
              </w:rPr>
              <w:t xml:space="preserve"> 14,870,005.88 </w:t>
            </w:r>
          </w:p>
        </w:tc>
        <w:tc>
          <w:tcPr>
            <w:tcW w:w="1312"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15,861,339.61 </w:t>
            </w:r>
          </w:p>
        </w:tc>
        <w:tc>
          <w:tcPr>
            <w:tcW w:w="1394"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(991,333.73)</w:t>
            </w:r>
          </w:p>
        </w:tc>
      </w:tr>
      <w:tr>
        <w:trPr>
          <w:trHeight w:val="20"/>
        </w:trPr>
        <w:tc>
          <w:tcPr>
            <w:tcW w:w="983" w:type="pct"/>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7</w:t>
            </w:r>
          </w:p>
        </w:tc>
        <w:tc>
          <w:tcPr>
            <w:tcW w:w="1311" w:type="pct"/>
            <w:noWrap/>
            <w:hideMark/>
          </w:tcPr>
          <w:p>
            <w:pPr>
              <w:jc w:val="right"/>
              <w:rPr>
                <w:rFonts w:ascii="Arial" w:hAnsi="Arial" w:cs="Arial"/>
                <w:sz w:val="20"/>
                <w:szCs w:val="20"/>
                <w:lang w:val="en-PH" w:eastAsia="en-PH"/>
              </w:rPr>
            </w:pPr>
            <w:r>
              <w:rPr>
                <w:rFonts w:ascii="Arial" w:hAnsi="Arial" w:cs="Arial"/>
                <w:sz w:val="20"/>
                <w:szCs w:val="20"/>
              </w:rPr>
              <w:t xml:space="preserve"> 15,586,319.10 </w:t>
            </w:r>
          </w:p>
        </w:tc>
        <w:tc>
          <w:tcPr>
            <w:tcW w:w="1312"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127,424,305.29 </w:t>
            </w:r>
          </w:p>
        </w:tc>
        <w:tc>
          <w:tcPr>
            <w:tcW w:w="1394" w:type="pct"/>
            <w:noWrap/>
            <w:hideMark/>
          </w:tcPr>
          <w:p>
            <w:pPr>
              <w:jc w:val="right"/>
              <w:rPr>
                <w:rFonts w:ascii="Arial" w:hAnsi="Arial" w:cs="Arial"/>
                <w:color w:val="000000"/>
                <w:sz w:val="20"/>
                <w:szCs w:val="20"/>
                <w:lang w:val="en-PH" w:eastAsia="en-PH"/>
              </w:rPr>
            </w:pPr>
            <w:r>
              <w:rPr>
                <w:rFonts w:ascii="Arial" w:hAnsi="Arial" w:cs="Arial"/>
                <w:sz w:val="20"/>
                <w:szCs w:val="20"/>
              </w:rPr>
              <w:t xml:space="preserve"> (111,837,986.19)</w:t>
            </w:r>
          </w:p>
        </w:tc>
      </w:tr>
      <w:tr>
        <w:trPr>
          <w:trHeight w:val="20"/>
        </w:trPr>
        <w:tc>
          <w:tcPr>
            <w:tcW w:w="983" w:type="pct"/>
            <w:tcBorders>
              <w:bottom w:val="single" w:sz="4" w:space="0" w:color="auto"/>
            </w:tcBorders>
            <w:hideMark/>
          </w:tcPr>
          <w:p>
            <w:pPr>
              <w:rPr>
                <w:rFonts w:ascii="Arial" w:hAnsi="Arial" w:cs="Arial"/>
                <w:color w:val="000000"/>
                <w:sz w:val="20"/>
                <w:szCs w:val="20"/>
                <w:lang w:val="en-PH" w:eastAsia="en-PH"/>
              </w:rPr>
            </w:pPr>
            <w:r>
              <w:rPr>
                <w:rFonts w:ascii="Arial" w:hAnsi="Arial" w:cs="Arial"/>
                <w:color w:val="000000"/>
                <w:sz w:val="20"/>
                <w:szCs w:val="20"/>
                <w:lang w:val="en-PH" w:eastAsia="en-PH"/>
              </w:rPr>
              <w:t>Supplier No. 8</w:t>
            </w:r>
          </w:p>
        </w:tc>
        <w:tc>
          <w:tcPr>
            <w:tcW w:w="1311" w:type="pct"/>
            <w:tcBorders>
              <w:bottom w:val="single" w:sz="4" w:space="0" w:color="auto"/>
            </w:tcBorders>
            <w:noWrap/>
            <w:hideMark/>
          </w:tcPr>
          <w:p>
            <w:pPr>
              <w:jc w:val="right"/>
              <w:rPr>
                <w:rFonts w:ascii="Arial" w:hAnsi="Arial" w:cs="Arial"/>
                <w:sz w:val="20"/>
                <w:szCs w:val="20"/>
                <w:lang w:val="en-PH" w:eastAsia="en-PH"/>
              </w:rPr>
            </w:pPr>
            <w:r>
              <w:rPr>
                <w:rFonts w:ascii="Arial" w:hAnsi="Arial" w:cs="Arial"/>
                <w:sz w:val="20"/>
                <w:szCs w:val="20"/>
              </w:rPr>
              <w:t xml:space="preserve"> 78,770,685.96 </w:t>
            </w:r>
          </w:p>
        </w:tc>
        <w:tc>
          <w:tcPr>
            <w:tcW w:w="1312" w:type="pct"/>
            <w:tcBorders>
              <w:bottom w:val="single" w:sz="4" w:space="0" w:color="auto"/>
            </w:tcBorders>
            <w:noWrap/>
            <w:hideMark/>
          </w:tcPr>
          <w:p>
            <w:pPr>
              <w:jc w:val="right"/>
              <w:rPr>
                <w:rFonts w:ascii="Arial" w:hAnsi="Arial" w:cs="Arial"/>
                <w:color w:val="000000"/>
                <w:sz w:val="20"/>
                <w:szCs w:val="20"/>
                <w:lang w:val="en-PH" w:eastAsia="en-PH"/>
              </w:rPr>
            </w:pPr>
            <w:r>
              <w:rPr>
                <w:rFonts w:ascii="Arial" w:hAnsi="Arial" w:cs="Arial"/>
                <w:sz w:val="20"/>
                <w:szCs w:val="20"/>
              </w:rPr>
              <w:t xml:space="preserve"> 100,239,864.37 </w:t>
            </w:r>
          </w:p>
        </w:tc>
        <w:tc>
          <w:tcPr>
            <w:tcW w:w="1394" w:type="pct"/>
            <w:tcBorders>
              <w:bottom w:val="single" w:sz="4" w:space="0" w:color="auto"/>
            </w:tcBorders>
            <w:noWrap/>
            <w:hideMark/>
          </w:tcPr>
          <w:p>
            <w:pPr>
              <w:jc w:val="right"/>
              <w:rPr>
                <w:rFonts w:ascii="Arial" w:hAnsi="Arial" w:cs="Arial"/>
                <w:color w:val="000000"/>
                <w:sz w:val="20"/>
                <w:szCs w:val="20"/>
                <w:lang w:val="en-PH" w:eastAsia="en-PH"/>
              </w:rPr>
            </w:pPr>
            <w:r>
              <w:rPr>
                <w:rFonts w:ascii="Arial" w:hAnsi="Arial" w:cs="Arial"/>
                <w:sz w:val="20"/>
                <w:szCs w:val="20"/>
              </w:rPr>
              <w:t xml:space="preserve"> (21,469,178.41)</w:t>
            </w:r>
          </w:p>
        </w:tc>
      </w:tr>
      <w:tr>
        <w:trPr>
          <w:trHeight w:val="20"/>
        </w:trPr>
        <w:tc>
          <w:tcPr>
            <w:tcW w:w="983" w:type="pct"/>
            <w:tcBorders>
              <w:top w:val="single" w:sz="4" w:space="0" w:color="auto"/>
              <w:bottom w:val="single" w:sz="4" w:space="0" w:color="auto"/>
            </w:tcBorders>
            <w:vAlign w:val="center"/>
            <w:hideMark/>
          </w:tcPr>
          <w:p>
            <w:pPr>
              <w:jc w:val="center"/>
              <w:rPr>
                <w:rFonts w:ascii="Arial" w:hAnsi="Arial" w:cs="Arial"/>
                <w:b/>
                <w:bCs/>
                <w:color w:val="000000"/>
                <w:sz w:val="20"/>
                <w:szCs w:val="20"/>
                <w:lang w:val="en-PH" w:eastAsia="en-PH"/>
              </w:rPr>
            </w:pPr>
            <w:r>
              <w:rPr>
                <w:rFonts w:ascii="Arial" w:hAnsi="Arial" w:cs="Arial"/>
                <w:b/>
                <w:bCs/>
                <w:color w:val="000000"/>
                <w:sz w:val="20"/>
                <w:szCs w:val="20"/>
                <w:lang w:val="en-PH" w:eastAsia="en-PH"/>
              </w:rPr>
              <w:t>Total</w:t>
            </w:r>
          </w:p>
        </w:tc>
        <w:tc>
          <w:tcPr>
            <w:tcW w:w="1311" w:type="pct"/>
            <w:tcBorders>
              <w:top w:val="single" w:sz="4" w:space="0" w:color="auto"/>
              <w:bottom w:val="single" w:sz="4" w:space="0" w:color="auto"/>
            </w:tcBorders>
            <w:noWrap/>
            <w:hideMark/>
          </w:tcPr>
          <w:p>
            <w:pPr>
              <w:jc w:val="right"/>
              <w:rPr>
                <w:rFonts w:ascii="Arial" w:hAnsi="Arial" w:cs="Arial"/>
                <w:b/>
                <w:bCs/>
                <w:color w:val="000000"/>
                <w:sz w:val="20"/>
                <w:szCs w:val="20"/>
                <w:lang w:val="en-PH" w:eastAsia="en-PH"/>
              </w:rPr>
            </w:pPr>
            <w:r>
              <w:rPr>
                <w:rFonts w:ascii="Arial" w:hAnsi="Arial" w:cs="Arial"/>
                <w:b/>
                <w:bCs/>
                <w:color w:val="000000" w:themeColor="text1"/>
                <w:sz w:val="20"/>
                <w:szCs w:val="20"/>
              </w:rPr>
              <w:t>P241,684,969.43</w:t>
            </w:r>
          </w:p>
        </w:tc>
        <w:tc>
          <w:tcPr>
            <w:tcW w:w="1312" w:type="pct"/>
            <w:tcBorders>
              <w:top w:val="single" w:sz="4" w:space="0" w:color="auto"/>
              <w:bottom w:val="single" w:sz="4" w:space="0" w:color="auto"/>
            </w:tcBorders>
            <w:noWrap/>
            <w:hideMark/>
          </w:tcPr>
          <w:p>
            <w:pPr>
              <w:jc w:val="right"/>
              <w:rPr>
                <w:rFonts w:ascii="Arial" w:hAnsi="Arial" w:cs="Arial"/>
                <w:b/>
                <w:bCs/>
                <w:color w:val="000000"/>
                <w:sz w:val="20"/>
                <w:szCs w:val="20"/>
                <w:lang w:val="en-PH" w:eastAsia="en-PH"/>
              </w:rPr>
            </w:pPr>
            <w:r>
              <w:rPr>
                <w:rFonts w:ascii="Arial" w:hAnsi="Arial" w:cs="Arial"/>
                <w:b/>
                <w:bCs/>
                <w:sz w:val="20"/>
                <w:szCs w:val="20"/>
              </w:rPr>
              <w:t xml:space="preserve"> </w:t>
            </w:r>
            <w:r>
              <w:rPr>
                <w:rFonts w:ascii="Arial" w:hAnsi="Arial" w:cs="Arial"/>
                <w:b/>
                <w:bCs/>
                <w:color w:val="000000" w:themeColor="text1"/>
                <w:sz w:val="20"/>
                <w:szCs w:val="20"/>
              </w:rPr>
              <w:t>P766,770,889.59</w:t>
            </w:r>
          </w:p>
        </w:tc>
        <w:tc>
          <w:tcPr>
            <w:tcW w:w="1394" w:type="pct"/>
            <w:tcBorders>
              <w:top w:val="single" w:sz="4" w:space="0" w:color="auto"/>
              <w:bottom w:val="single" w:sz="4" w:space="0" w:color="auto"/>
            </w:tcBorders>
            <w:noWrap/>
            <w:hideMark/>
          </w:tcPr>
          <w:p>
            <w:pPr>
              <w:jc w:val="right"/>
              <w:rPr>
                <w:rFonts w:ascii="Arial" w:hAnsi="Arial" w:cs="Arial"/>
                <w:b/>
                <w:bCs/>
                <w:color w:val="000000"/>
                <w:sz w:val="20"/>
                <w:szCs w:val="20"/>
                <w:lang w:val="en-PH" w:eastAsia="en-PH"/>
              </w:rPr>
            </w:pPr>
            <w:r>
              <w:rPr>
                <w:rFonts w:ascii="Arial" w:hAnsi="Arial" w:cs="Arial"/>
                <w:b/>
                <w:bCs/>
                <w:color w:val="000000" w:themeColor="text1"/>
                <w:sz w:val="20"/>
                <w:szCs w:val="20"/>
              </w:rPr>
              <w:t xml:space="preserve"> (P525,085,920.16)</w:t>
            </w:r>
          </w:p>
        </w:tc>
      </w:tr>
    </w:tbl>
    <w:p>
      <w:pPr>
        <w:pStyle w:val="ListParagraph"/>
        <w:ind w:left="1022"/>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Considering that only 33.18 percent of the total AP balance had undergone confirmation and only 33 percent thereof replied, it may be presumed the net variance of P525,085,920.16 will substantially change as the sample size is increased.</w:t>
      </w:r>
    </w:p>
    <w:p>
      <w:pPr>
        <w:pStyle w:val="ListParagraph"/>
        <w:ind w:left="1350"/>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Moreover, it was observed that the OCAT did not maintain a separate SL for each of the contractors/suppliers but instead only SLs grouped generally as to the class of expenditure such as Maintenance and Other Operating Expenses (MOOE) and Capital Outlay (CO). The ledger should reflect the recognition of payables to a contractor/supplier as well as payments/settlements made thereafter and the outstanding balance. The absence of individual/separate SL balances resulted in unmonitored outstanding payable balances for each creditor at any given time which is contrary to Paragraph 27 of IPSAS 1.</w:t>
      </w:r>
    </w:p>
    <w:p>
      <w:pPr>
        <w:pStyle w:val="ListParagraph"/>
        <w:spacing w:after="160"/>
        <w:ind w:left="360"/>
        <w:jc w:val="both"/>
        <w:rPr>
          <w:rFonts w:ascii="Arial" w:hAnsi="Arial" w:cs="Arial"/>
          <w:color w:val="000000" w:themeColor="text1"/>
          <w:sz w:val="22"/>
          <w:szCs w:val="22"/>
        </w:rPr>
      </w:pPr>
    </w:p>
    <w:p>
      <w:pPr>
        <w:rPr>
          <w:rFonts w:ascii="Arial" w:hAnsi="Arial" w:cs="Arial"/>
          <w:b/>
          <w:bCs/>
          <w:color w:val="000000" w:themeColor="text1"/>
          <w:sz w:val="22"/>
          <w:szCs w:val="22"/>
        </w:rPr>
      </w:pPr>
      <w:r>
        <w:rPr>
          <w:rFonts w:ascii="Arial" w:hAnsi="Arial" w:cs="Arial"/>
          <w:b/>
          <w:bCs/>
          <w:color w:val="000000" w:themeColor="text1"/>
          <w:sz w:val="22"/>
          <w:szCs w:val="22"/>
        </w:rPr>
        <w:br w:type="page"/>
      </w:r>
    </w:p>
    <w:p>
      <w:pPr>
        <w:pStyle w:val="ListParagraph"/>
        <w:numPr>
          <w:ilvl w:val="1"/>
          <w:numId w:val="18"/>
        </w:numPr>
        <w:ind w:hanging="654"/>
        <w:jc w:val="both"/>
        <w:rPr>
          <w:rFonts w:ascii="Arial" w:hAnsi="Arial" w:cs="Arial"/>
          <w:b/>
          <w:bCs/>
          <w:color w:val="000000" w:themeColor="text1"/>
          <w:sz w:val="22"/>
          <w:szCs w:val="22"/>
        </w:rPr>
      </w:pPr>
      <w:r>
        <w:rPr>
          <w:rFonts w:ascii="Arial" w:hAnsi="Arial" w:cs="Arial"/>
          <w:b/>
          <w:bCs/>
          <w:color w:val="000000" w:themeColor="text1"/>
          <w:sz w:val="22"/>
          <w:szCs w:val="22"/>
        </w:rPr>
        <w:lastRenderedPageBreak/>
        <w:t>We recommended that Management direct:</w:t>
      </w:r>
    </w:p>
    <w:p>
      <w:pPr>
        <w:pStyle w:val="ListParagraph"/>
        <w:rPr>
          <w:rFonts w:ascii="Arial" w:hAnsi="Arial" w:cs="Arial"/>
          <w:b/>
          <w:bCs/>
          <w:color w:val="000000" w:themeColor="text1"/>
          <w:sz w:val="22"/>
          <w:szCs w:val="22"/>
        </w:rPr>
      </w:pPr>
    </w:p>
    <w:p>
      <w:pPr>
        <w:pStyle w:val="ListParagraph"/>
        <w:numPr>
          <w:ilvl w:val="2"/>
          <w:numId w:val="19"/>
        </w:numPr>
        <w:ind w:left="1418"/>
        <w:jc w:val="both"/>
        <w:rPr>
          <w:rFonts w:ascii="Arial" w:hAnsi="Arial" w:cs="Arial"/>
          <w:b/>
          <w:bCs/>
          <w:color w:val="000000" w:themeColor="text1"/>
          <w:sz w:val="22"/>
          <w:szCs w:val="22"/>
        </w:rPr>
      </w:pPr>
      <w:r>
        <w:rPr>
          <w:rFonts w:ascii="Arial" w:hAnsi="Arial" w:cs="Arial"/>
          <w:b/>
          <w:bCs/>
          <w:color w:val="000000" w:themeColor="text1"/>
          <w:sz w:val="22"/>
          <w:szCs w:val="22"/>
        </w:rPr>
        <w:t>The</w:t>
      </w:r>
      <w:r>
        <w:rPr>
          <w:rFonts w:ascii="Arial" w:hAnsi="Arial" w:cs="Arial"/>
          <w:b/>
          <w:bCs/>
          <w:sz w:val="22"/>
          <w:szCs w:val="22"/>
        </w:rPr>
        <w:t xml:space="preserve"> OCAT to:</w:t>
      </w:r>
    </w:p>
    <w:p>
      <w:pPr>
        <w:pStyle w:val="ListParagraph"/>
        <w:ind w:left="1701" w:hanging="279"/>
        <w:rPr>
          <w:rFonts w:ascii="Arial" w:hAnsi="Arial" w:cs="Arial"/>
          <w:b/>
          <w:bCs/>
          <w:sz w:val="22"/>
          <w:szCs w:val="22"/>
        </w:rPr>
      </w:pPr>
    </w:p>
    <w:p>
      <w:pPr>
        <w:pStyle w:val="ListParagraph"/>
        <w:numPr>
          <w:ilvl w:val="3"/>
          <w:numId w:val="20"/>
        </w:numPr>
        <w:ind w:left="1701" w:hanging="279"/>
        <w:jc w:val="both"/>
        <w:rPr>
          <w:rFonts w:ascii="Arial" w:hAnsi="Arial" w:cs="Arial"/>
          <w:b/>
          <w:bCs/>
          <w:sz w:val="22"/>
          <w:szCs w:val="22"/>
        </w:rPr>
      </w:pPr>
      <w:r>
        <w:rPr>
          <w:rFonts w:ascii="Arial" w:hAnsi="Arial" w:cs="Arial"/>
          <w:b/>
          <w:bCs/>
          <w:sz w:val="22"/>
          <w:szCs w:val="22"/>
        </w:rPr>
        <w:t>I</w:t>
      </w:r>
      <w:r>
        <w:rPr>
          <w:rFonts w:ascii="Arial" w:hAnsi="Arial" w:cs="Arial"/>
          <w:b/>
          <w:bCs/>
          <w:color w:val="000000" w:themeColor="text1"/>
          <w:sz w:val="22"/>
          <w:szCs w:val="22"/>
        </w:rPr>
        <w:t>dentify the causes of variances between recorded accounts payable and the contractors/suppliers’ confirmed balances and reconcile the same;</w:t>
      </w:r>
    </w:p>
    <w:p>
      <w:pPr>
        <w:pStyle w:val="ListParagraph"/>
        <w:ind w:left="1701" w:hanging="279"/>
        <w:jc w:val="both"/>
        <w:rPr>
          <w:rFonts w:ascii="Arial" w:hAnsi="Arial" w:cs="Arial"/>
          <w:b/>
          <w:bCs/>
          <w:sz w:val="22"/>
          <w:szCs w:val="22"/>
        </w:rPr>
      </w:pPr>
    </w:p>
    <w:p>
      <w:pPr>
        <w:pStyle w:val="ListParagraph"/>
        <w:numPr>
          <w:ilvl w:val="3"/>
          <w:numId w:val="20"/>
        </w:numPr>
        <w:ind w:left="1701" w:hanging="279"/>
        <w:jc w:val="both"/>
        <w:rPr>
          <w:rFonts w:ascii="Arial" w:hAnsi="Arial" w:cs="Arial"/>
          <w:b/>
          <w:bCs/>
          <w:sz w:val="22"/>
          <w:szCs w:val="22"/>
        </w:rPr>
      </w:pPr>
      <w:r>
        <w:rPr>
          <w:rFonts w:ascii="Arial" w:hAnsi="Arial" w:cs="Arial"/>
          <w:b/>
          <w:bCs/>
          <w:color w:val="000000" w:themeColor="text1"/>
          <w:sz w:val="22"/>
          <w:szCs w:val="22"/>
        </w:rPr>
        <w:t>Coordinate with the City General Services Office (CGSO) as to status of deliveries of goods and services and recognize the corresponding liability if no payment had been made; and</w:t>
      </w:r>
    </w:p>
    <w:p>
      <w:pPr>
        <w:pStyle w:val="ListParagraph"/>
        <w:ind w:left="1701" w:hanging="279"/>
        <w:rPr>
          <w:rFonts w:ascii="Arial" w:hAnsi="Arial" w:cs="Arial"/>
          <w:b/>
          <w:bCs/>
          <w:sz w:val="22"/>
          <w:szCs w:val="22"/>
        </w:rPr>
      </w:pPr>
    </w:p>
    <w:p>
      <w:pPr>
        <w:pStyle w:val="ListParagraph"/>
        <w:numPr>
          <w:ilvl w:val="3"/>
          <w:numId w:val="20"/>
        </w:numPr>
        <w:ind w:left="1701" w:hanging="279"/>
        <w:jc w:val="both"/>
        <w:rPr>
          <w:rFonts w:ascii="Arial" w:hAnsi="Arial" w:cs="Arial"/>
          <w:b/>
          <w:bCs/>
          <w:sz w:val="22"/>
          <w:szCs w:val="22"/>
        </w:rPr>
      </w:pPr>
      <w:r>
        <w:rPr>
          <w:rFonts w:ascii="Arial" w:hAnsi="Arial" w:cs="Arial"/>
          <w:b/>
          <w:bCs/>
          <w:color w:val="000000" w:themeColor="text1"/>
          <w:sz w:val="22"/>
          <w:szCs w:val="22"/>
        </w:rPr>
        <w:t>Maintain a separate SL for each contractor/supplier for proper monitoring of each outstanding payable and status of accounts.</w:t>
      </w:r>
    </w:p>
    <w:p>
      <w:pPr>
        <w:pStyle w:val="ListParagraph"/>
        <w:ind w:left="1980" w:hanging="810"/>
        <w:rPr>
          <w:rFonts w:ascii="Arial" w:hAnsi="Arial" w:cs="Arial"/>
          <w:b/>
          <w:bCs/>
          <w:sz w:val="22"/>
          <w:szCs w:val="22"/>
        </w:rPr>
      </w:pPr>
    </w:p>
    <w:p>
      <w:pPr>
        <w:pStyle w:val="ListParagraph"/>
        <w:numPr>
          <w:ilvl w:val="2"/>
          <w:numId w:val="19"/>
        </w:numPr>
        <w:ind w:left="1418"/>
        <w:jc w:val="both"/>
        <w:rPr>
          <w:rFonts w:ascii="Arial" w:hAnsi="Arial" w:cs="Arial"/>
          <w:b/>
          <w:bCs/>
          <w:color w:val="000000" w:themeColor="text1"/>
          <w:sz w:val="22"/>
          <w:szCs w:val="22"/>
        </w:rPr>
      </w:pPr>
      <w:r>
        <w:rPr>
          <w:rFonts w:ascii="Arial" w:hAnsi="Arial" w:cs="Arial"/>
          <w:b/>
          <w:bCs/>
          <w:color w:val="000000" w:themeColor="text1"/>
          <w:sz w:val="22"/>
          <w:szCs w:val="22"/>
        </w:rPr>
        <w:t xml:space="preserve">The CGSO to promptly inform the OCAT of deliveries of procured goods and services and furnish the latter with required documents to support the timely recording of transactions.  </w:t>
      </w:r>
    </w:p>
    <w:p>
      <w:pPr>
        <w:jc w:val="both"/>
        <w:rPr>
          <w:rFonts w:ascii="Arial" w:hAnsi="Arial" w:cs="Arial"/>
          <w:b/>
          <w:bCs/>
          <w:color w:val="000000" w:themeColor="text1"/>
          <w:sz w:val="22"/>
          <w:szCs w:val="22"/>
        </w:rPr>
      </w:pPr>
    </w:p>
    <w:p>
      <w:pPr>
        <w:ind w:firstLine="450"/>
        <w:jc w:val="both"/>
        <w:rPr>
          <w:rFonts w:ascii="Arial" w:hAnsi="Arial" w:cs="Arial"/>
          <w:color w:val="000000" w:themeColor="text1"/>
          <w:sz w:val="22"/>
          <w:szCs w:val="22"/>
        </w:rPr>
      </w:pPr>
      <w:r>
        <w:rPr>
          <w:rFonts w:ascii="Arial" w:hAnsi="Arial" w:cs="Arial"/>
          <w:color w:val="000000" w:themeColor="text1"/>
          <w:sz w:val="22"/>
          <w:szCs w:val="22"/>
        </w:rPr>
        <w:t>Management comments/actions:</w:t>
      </w:r>
    </w:p>
    <w:p>
      <w:pPr>
        <w:jc w:val="both"/>
        <w:rPr>
          <w:rFonts w:ascii="Arial" w:hAnsi="Arial" w:cs="Arial"/>
          <w:color w:val="000000" w:themeColor="text1"/>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Upon verification of details, these variances are related to executory contracts, purchase orders, work orders not yet delivered or implemented or those already delivered, implemented, or performed but not yet inspected or accepted. A disclosure in the Notes to FS will be provided accordingly.</w:t>
      </w:r>
    </w:p>
    <w:p>
      <w:pPr>
        <w:jc w:val="both"/>
        <w:rPr>
          <w:rFonts w:ascii="Arial" w:hAnsi="Arial" w:cs="Arial"/>
          <w:color w:val="000000" w:themeColor="text1"/>
          <w:sz w:val="22"/>
          <w:szCs w:val="22"/>
        </w:rPr>
      </w:pPr>
    </w:p>
    <w:p>
      <w:pPr>
        <w:jc w:val="both"/>
        <w:rPr>
          <w:rFonts w:ascii="Arial" w:hAnsi="Arial" w:cs="Arial"/>
          <w:b/>
          <w:sz w:val="22"/>
          <w:szCs w:val="22"/>
        </w:rPr>
      </w:pPr>
    </w:p>
    <w:p>
      <w:pPr>
        <w:pStyle w:val="NoSpacing"/>
        <w:numPr>
          <w:ilvl w:val="0"/>
          <w:numId w:val="7"/>
        </w:numPr>
        <w:ind w:left="450" w:hanging="450"/>
        <w:jc w:val="both"/>
        <w:rPr>
          <w:b/>
          <w:bCs/>
          <w:sz w:val="22"/>
          <w:u w:val="none"/>
          <w:shd w:val="clear" w:color="auto" w:fill="FFFFFF"/>
        </w:rPr>
      </w:pPr>
      <w:r>
        <w:rPr>
          <w:b/>
          <w:bCs/>
          <w:sz w:val="22"/>
          <w:u w:val="none"/>
          <w:shd w:val="clear" w:color="auto" w:fill="FFFFFF"/>
        </w:rPr>
        <w:t xml:space="preserve">Insufficient imposition of Real Property Tax (RPT) and Special Education Tax (SET) by the City due to: a) </w:t>
      </w:r>
      <w:bookmarkStart w:id="3" w:name="_Hlk167129650"/>
      <w:r>
        <w:rPr>
          <w:b/>
          <w:bCs/>
          <w:sz w:val="22"/>
          <w:u w:val="none"/>
          <w:shd w:val="clear" w:color="auto" w:fill="FFFFFF"/>
        </w:rPr>
        <w:t xml:space="preserve">Misplaced application of the Assessment Levels (ALs) </w:t>
      </w:r>
      <w:bookmarkEnd w:id="3"/>
      <w:r>
        <w:rPr>
          <w:b/>
          <w:bCs/>
          <w:sz w:val="22"/>
          <w:u w:val="none"/>
          <w:shd w:val="clear" w:color="auto" w:fill="FFFFFF"/>
        </w:rPr>
        <w:t>prescribed under Section 12 of Ordinance No. 8331, s. 2013;</w:t>
      </w:r>
      <w:r>
        <w:rPr>
          <w:b/>
          <w:bCs/>
          <w:sz w:val="20"/>
          <w:szCs w:val="32"/>
          <w:u w:val="none"/>
          <w:shd w:val="clear" w:color="auto" w:fill="FFFFFF"/>
          <w:vertAlign w:val="superscript"/>
        </w:rPr>
        <w:footnoteReference w:id="3"/>
      </w:r>
      <w:r>
        <w:rPr>
          <w:b/>
          <w:bCs/>
          <w:sz w:val="22"/>
          <w:u w:val="none"/>
          <w:shd w:val="clear" w:color="auto" w:fill="FFFFFF"/>
        </w:rPr>
        <w:t xml:space="preserve"> and b) Omission of 1,130 Real Property Units (RPUs) in the Assessment Rolls (AR) contrary to Section 2, Chapter II, Manual on Real Property Appraisal and Assessment Operations (MRPAAO),</w:t>
      </w:r>
      <w:r>
        <w:rPr>
          <w:b/>
          <w:bCs/>
          <w:sz w:val="20"/>
          <w:szCs w:val="32"/>
          <w:u w:val="none"/>
          <w:shd w:val="clear" w:color="auto" w:fill="FFFFFF"/>
          <w:vertAlign w:val="superscript"/>
        </w:rPr>
        <w:footnoteReference w:id="4"/>
      </w:r>
      <w:r>
        <w:rPr>
          <w:b/>
          <w:bCs/>
          <w:sz w:val="22"/>
          <w:u w:val="none"/>
          <w:shd w:val="clear" w:color="auto" w:fill="FFFFFF"/>
        </w:rPr>
        <w:t xml:space="preserve"> thereby diminishing the City’s earnings to be utilized to finance its programs/projects/activities (PPAs).</w:t>
      </w:r>
    </w:p>
    <w:p>
      <w:pPr>
        <w:pStyle w:val="ListParagraph"/>
        <w:ind w:left="360"/>
        <w:jc w:val="both"/>
        <w:rPr>
          <w:rFonts w:ascii="Arial" w:hAnsi="Arial" w:cs="Arial"/>
          <w:sz w:val="22"/>
          <w:szCs w:val="22"/>
        </w:rPr>
      </w:pPr>
    </w:p>
    <w:p>
      <w:pPr>
        <w:pStyle w:val="ListParagraph"/>
        <w:numPr>
          <w:ilvl w:val="1"/>
          <w:numId w:val="7"/>
        </w:numPr>
        <w:ind w:hanging="630"/>
        <w:jc w:val="both"/>
        <w:rPr>
          <w:rFonts w:ascii="Arial" w:hAnsi="Arial" w:cs="Arial"/>
          <w:color w:val="000000" w:themeColor="text1"/>
          <w:sz w:val="22"/>
          <w:szCs w:val="22"/>
        </w:rPr>
      </w:pPr>
      <w:r>
        <w:rPr>
          <w:rFonts w:ascii="Arial" w:hAnsi="Arial" w:cs="Arial"/>
          <w:color w:val="000000" w:themeColor="text1"/>
          <w:sz w:val="22"/>
          <w:szCs w:val="22"/>
        </w:rPr>
        <w:t>The Assessed Values (AVs) of 452 RPUs were understated due to the misplaced application of Assessment Levels (ALs) prescribed under Section 12 of Ordinance No. 8331, s. 2013</w:t>
      </w:r>
      <w:r>
        <w:rPr>
          <w:color w:val="000000" w:themeColor="text1"/>
          <w:vertAlign w:val="superscript"/>
        </w:rPr>
        <w:footnoteReference w:id="5"/>
      </w:r>
      <w:r>
        <w:rPr>
          <w:rFonts w:ascii="Arial" w:hAnsi="Arial" w:cs="Arial"/>
          <w:color w:val="000000" w:themeColor="text1"/>
          <w:sz w:val="22"/>
          <w:szCs w:val="22"/>
        </w:rPr>
        <w:t xml:space="preserve"> resulting in insufficient imposition of RPT and SET by P2,182,761.77 and P1,153,777.74, respectively, for a total of P3,336,539.51 in CY 2023. </w:t>
      </w:r>
    </w:p>
    <w:p>
      <w:pPr>
        <w:ind w:left="567" w:hanging="567"/>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Section</w:t>
      </w:r>
      <w:r>
        <w:rPr>
          <w:rFonts w:ascii="Arial" w:hAnsi="Arial" w:cs="Arial"/>
          <w:sz w:val="22"/>
          <w:szCs w:val="22"/>
        </w:rPr>
        <w:t xml:space="preserve"> 12 of Ordinance No. 8331, s. 2013, states that:</w:t>
      </w:r>
    </w:p>
    <w:p>
      <w:pPr>
        <w:jc w:val="both"/>
        <w:rPr>
          <w:rFonts w:ascii="Arial" w:hAnsi="Arial" w:cs="Arial"/>
          <w:sz w:val="22"/>
          <w:szCs w:val="22"/>
        </w:rPr>
      </w:pPr>
    </w:p>
    <w:p>
      <w:pPr>
        <w:pStyle w:val="ListParagraph"/>
        <w:numPr>
          <w:ilvl w:val="0"/>
          <w:numId w:val="2"/>
        </w:numPr>
        <w:jc w:val="both"/>
        <w:rPr>
          <w:rFonts w:ascii="Arial" w:hAnsi="Arial" w:cs="Arial"/>
          <w:i/>
          <w:iCs/>
          <w:sz w:val="22"/>
          <w:szCs w:val="22"/>
        </w:rPr>
      </w:pPr>
      <w:r>
        <w:rPr>
          <w:rFonts w:ascii="Arial" w:hAnsi="Arial" w:cs="Arial"/>
          <w:i/>
          <w:iCs/>
          <w:sz w:val="22"/>
          <w:szCs w:val="22"/>
        </w:rPr>
        <w:t xml:space="preserve"> The assessment levels to be applied to the fair market value of real property to determine its assessed value shall be as follows:</w:t>
      </w:r>
    </w:p>
    <w:p>
      <w:pPr>
        <w:jc w:val="both"/>
        <w:rPr>
          <w:rFonts w:ascii="Arial" w:hAnsi="Arial" w:cs="Arial"/>
          <w:sz w:val="22"/>
          <w:szCs w:val="22"/>
        </w:rPr>
      </w:pPr>
    </w:p>
    <w:p>
      <w:pPr>
        <w:jc w:val="both"/>
        <w:rPr>
          <w:rFonts w:ascii="Arial" w:hAnsi="Arial" w:cs="Arial"/>
          <w:sz w:val="22"/>
          <w:szCs w:val="22"/>
        </w:rPr>
      </w:pPr>
    </w:p>
    <w:p>
      <w:pPr>
        <w:pStyle w:val="ListParagraph"/>
        <w:numPr>
          <w:ilvl w:val="0"/>
          <w:numId w:val="3"/>
        </w:numPr>
        <w:ind w:left="2070" w:right="558"/>
        <w:jc w:val="both"/>
        <w:rPr>
          <w:rFonts w:ascii="Arial" w:hAnsi="Arial" w:cs="Arial"/>
          <w:i/>
          <w:iCs/>
          <w:sz w:val="22"/>
          <w:szCs w:val="22"/>
        </w:rPr>
      </w:pPr>
      <w:r>
        <w:rPr>
          <w:rFonts w:ascii="Arial" w:hAnsi="Arial" w:cs="Arial"/>
          <w:i/>
          <w:iCs/>
          <w:sz w:val="22"/>
          <w:szCs w:val="22"/>
        </w:rPr>
        <w:lastRenderedPageBreak/>
        <w:t>On lands:</w:t>
      </w:r>
    </w:p>
    <w:p>
      <w:pPr>
        <w:pStyle w:val="ListParagraph"/>
        <w:ind w:left="1230"/>
        <w:jc w:val="both"/>
        <w:rPr>
          <w:rFonts w:ascii="Arial" w:hAnsi="Arial" w:cs="Arial"/>
          <w:i/>
          <w:iCs/>
          <w:sz w:val="22"/>
          <w:szCs w:val="22"/>
        </w:rPr>
      </w:pPr>
    </w:p>
    <w:tbl>
      <w:tblPr>
        <w:tblStyle w:val="TableGrid"/>
        <w:tblW w:w="0" w:type="auto"/>
        <w:tblInd w:w="2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790"/>
      </w:tblGrid>
      <w:tr>
        <w:tc>
          <w:tcPr>
            <w:tcW w:w="1440" w:type="dxa"/>
          </w:tcPr>
          <w:p>
            <w:pPr>
              <w:pStyle w:val="ListParagraph"/>
              <w:spacing w:before="100" w:beforeAutospacing="1"/>
              <w:ind w:left="0"/>
              <w:jc w:val="center"/>
              <w:rPr>
                <w:rFonts w:ascii="Arial" w:hAnsi="Arial" w:cs="Arial"/>
                <w:i/>
                <w:iCs/>
                <w:color w:val="000000" w:themeColor="text1"/>
                <w:sz w:val="22"/>
                <w:szCs w:val="22"/>
                <w:u w:val="single"/>
              </w:rPr>
            </w:pPr>
            <w:r>
              <w:rPr>
                <w:rFonts w:ascii="Arial" w:hAnsi="Arial" w:cs="Arial"/>
                <w:i/>
                <w:iCs/>
                <w:color w:val="000000" w:themeColor="text1"/>
                <w:sz w:val="22"/>
                <w:szCs w:val="22"/>
                <w:u w:val="single"/>
              </w:rPr>
              <w:t>Class</w:t>
            </w:r>
          </w:p>
        </w:tc>
        <w:tc>
          <w:tcPr>
            <w:tcW w:w="2790" w:type="dxa"/>
          </w:tcPr>
          <w:p>
            <w:pPr>
              <w:pStyle w:val="ListParagraph"/>
              <w:spacing w:before="100" w:beforeAutospacing="1"/>
              <w:ind w:left="0"/>
              <w:jc w:val="center"/>
              <w:rPr>
                <w:rFonts w:ascii="Arial" w:hAnsi="Arial" w:cs="Arial"/>
                <w:i/>
                <w:iCs/>
                <w:color w:val="000000" w:themeColor="text1"/>
                <w:sz w:val="22"/>
                <w:szCs w:val="22"/>
                <w:u w:val="single"/>
              </w:rPr>
            </w:pPr>
            <w:r>
              <w:rPr>
                <w:rFonts w:ascii="Arial" w:hAnsi="Arial" w:cs="Arial"/>
                <w:i/>
                <w:iCs/>
                <w:color w:val="000000" w:themeColor="text1"/>
                <w:sz w:val="22"/>
                <w:szCs w:val="22"/>
                <w:u w:val="single"/>
              </w:rPr>
              <w:t>Assessment Levels</w:t>
            </w:r>
          </w:p>
        </w:tc>
      </w:tr>
      <w:tr>
        <w:tc>
          <w:tcPr>
            <w:tcW w:w="1440" w:type="dxa"/>
          </w:tcPr>
          <w:p>
            <w:pPr>
              <w:spacing w:before="100" w:beforeAutospacing="1" w:after="100" w:afterAutospacing="1"/>
              <w:rPr>
                <w:rFonts w:ascii="Arial" w:hAnsi="Arial" w:cs="Arial"/>
                <w:i/>
                <w:iCs/>
                <w:color w:val="000000" w:themeColor="text1"/>
                <w:sz w:val="22"/>
                <w:szCs w:val="22"/>
              </w:rPr>
            </w:pPr>
            <w:r>
              <w:rPr>
                <w:rFonts w:ascii="Arial" w:hAnsi="Arial" w:cs="Arial"/>
                <w:i/>
                <w:iCs/>
                <w:color w:val="000000" w:themeColor="text1"/>
                <w:sz w:val="22"/>
                <w:szCs w:val="22"/>
              </w:rPr>
              <w:t>Residential</w:t>
            </w:r>
          </w:p>
        </w:tc>
        <w:tc>
          <w:tcPr>
            <w:tcW w:w="2790" w:type="dxa"/>
          </w:tcPr>
          <w:p>
            <w:pPr>
              <w:pStyle w:val="ListParagraph"/>
              <w:spacing w:before="100" w:beforeAutospacing="1"/>
              <w:ind w:left="0"/>
              <w:jc w:val="center"/>
              <w:rPr>
                <w:rFonts w:ascii="Arial" w:hAnsi="Arial" w:cs="Arial"/>
                <w:i/>
                <w:iCs/>
                <w:color w:val="000000" w:themeColor="text1"/>
                <w:sz w:val="22"/>
                <w:szCs w:val="22"/>
              </w:rPr>
            </w:pPr>
            <w:r>
              <w:rPr>
                <w:rFonts w:ascii="Arial" w:hAnsi="Arial" w:cs="Arial"/>
                <w:i/>
                <w:iCs/>
                <w:color w:val="000000" w:themeColor="text1"/>
                <w:sz w:val="22"/>
                <w:szCs w:val="22"/>
              </w:rPr>
              <w:t>10%</w:t>
            </w:r>
          </w:p>
        </w:tc>
      </w:tr>
      <w:tr>
        <w:tc>
          <w:tcPr>
            <w:tcW w:w="1440" w:type="dxa"/>
          </w:tcPr>
          <w:p>
            <w:pPr>
              <w:spacing w:before="100" w:beforeAutospacing="1" w:after="100" w:afterAutospacing="1"/>
              <w:rPr>
                <w:rFonts w:ascii="Arial" w:hAnsi="Arial" w:cs="Arial"/>
                <w:i/>
                <w:iCs/>
                <w:color w:val="000000" w:themeColor="text1"/>
                <w:sz w:val="22"/>
                <w:szCs w:val="22"/>
              </w:rPr>
            </w:pPr>
            <w:r>
              <w:rPr>
                <w:rFonts w:ascii="Arial" w:hAnsi="Arial" w:cs="Arial"/>
                <w:i/>
                <w:iCs/>
                <w:color w:val="000000" w:themeColor="text1"/>
                <w:sz w:val="22"/>
                <w:szCs w:val="22"/>
              </w:rPr>
              <w:t>Commercial</w:t>
            </w:r>
          </w:p>
        </w:tc>
        <w:tc>
          <w:tcPr>
            <w:tcW w:w="2790" w:type="dxa"/>
          </w:tcPr>
          <w:p>
            <w:pPr>
              <w:pStyle w:val="ListParagraph"/>
              <w:spacing w:before="100" w:beforeAutospacing="1"/>
              <w:ind w:left="0"/>
              <w:jc w:val="center"/>
              <w:rPr>
                <w:rFonts w:ascii="Arial" w:hAnsi="Arial" w:cs="Arial"/>
                <w:i/>
                <w:iCs/>
                <w:color w:val="000000" w:themeColor="text1"/>
                <w:sz w:val="22"/>
                <w:szCs w:val="22"/>
              </w:rPr>
            </w:pPr>
            <w:r>
              <w:rPr>
                <w:rFonts w:ascii="Arial" w:hAnsi="Arial" w:cs="Arial"/>
                <w:i/>
                <w:iCs/>
                <w:color w:val="000000" w:themeColor="text1"/>
                <w:sz w:val="22"/>
                <w:szCs w:val="22"/>
              </w:rPr>
              <w:t>30%</w:t>
            </w:r>
          </w:p>
        </w:tc>
      </w:tr>
      <w:tr>
        <w:tc>
          <w:tcPr>
            <w:tcW w:w="1440" w:type="dxa"/>
          </w:tcPr>
          <w:p>
            <w:pPr>
              <w:spacing w:before="100" w:beforeAutospacing="1" w:after="100" w:afterAutospacing="1"/>
              <w:rPr>
                <w:rFonts w:ascii="Arial" w:hAnsi="Arial" w:cs="Arial"/>
                <w:i/>
                <w:iCs/>
                <w:color w:val="000000" w:themeColor="text1"/>
                <w:sz w:val="22"/>
                <w:szCs w:val="22"/>
              </w:rPr>
            </w:pPr>
            <w:r>
              <w:rPr>
                <w:rFonts w:ascii="Arial" w:hAnsi="Arial" w:cs="Arial"/>
                <w:i/>
                <w:iCs/>
                <w:color w:val="000000" w:themeColor="text1"/>
                <w:sz w:val="22"/>
                <w:szCs w:val="22"/>
              </w:rPr>
              <w:t>Industrial</w:t>
            </w:r>
          </w:p>
        </w:tc>
        <w:tc>
          <w:tcPr>
            <w:tcW w:w="2790" w:type="dxa"/>
          </w:tcPr>
          <w:p>
            <w:pPr>
              <w:pStyle w:val="ListParagraph"/>
              <w:spacing w:before="100" w:beforeAutospacing="1"/>
              <w:ind w:left="0"/>
              <w:jc w:val="center"/>
              <w:rPr>
                <w:rFonts w:ascii="Arial" w:hAnsi="Arial" w:cs="Arial"/>
                <w:i/>
                <w:iCs/>
                <w:color w:val="000000" w:themeColor="text1"/>
                <w:sz w:val="22"/>
                <w:szCs w:val="22"/>
              </w:rPr>
            </w:pPr>
            <w:r>
              <w:rPr>
                <w:rFonts w:ascii="Arial" w:hAnsi="Arial" w:cs="Arial"/>
                <w:i/>
                <w:iCs/>
                <w:color w:val="000000" w:themeColor="text1"/>
                <w:sz w:val="22"/>
                <w:szCs w:val="22"/>
              </w:rPr>
              <w:t>30%</w:t>
            </w:r>
          </w:p>
        </w:tc>
      </w:tr>
    </w:tbl>
    <w:p>
      <w:pPr>
        <w:pStyle w:val="ListParagraph"/>
        <w:ind w:left="1230"/>
        <w:jc w:val="both"/>
        <w:rPr>
          <w:rFonts w:ascii="Arial" w:hAnsi="Arial" w:cs="Arial"/>
          <w:i/>
          <w:iCs/>
          <w:sz w:val="22"/>
          <w:szCs w:val="22"/>
        </w:rPr>
      </w:pPr>
    </w:p>
    <w:p>
      <w:pPr>
        <w:pStyle w:val="ListParagraph"/>
        <w:numPr>
          <w:ilvl w:val="0"/>
          <w:numId w:val="3"/>
        </w:numPr>
        <w:ind w:left="2070" w:right="558"/>
        <w:jc w:val="both"/>
        <w:rPr>
          <w:rFonts w:ascii="Arial" w:hAnsi="Arial" w:cs="Arial"/>
          <w:i/>
          <w:iCs/>
          <w:sz w:val="22"/>
          <w:szCs w:val="22"/>
        </w:rPr>
      </w:pPr>
      <w:r>
        <w:rPr>
          <w:rFonts w:ascii="Arial" w:hAnsi="Arial" w:cs="Arial"/>
          <w:i/>
          <w:iCs/>
          <w:sz w:val="22"/>
          <w:szCs w:val="22"/>
        </w:rPr>
        <w:t>On buildings and other structures:</w:t>
      </w:r>
    </w:p>
    <w:p>
      <w:pPr>
        <w:pStyle w:val="ListParagraph"/>
        <w:ind w:left="1230"/>
        <w:jc w:val="both"/>
        <w:rPr>
          <w:rFonts w:ascii="Arial" w:hAnsi="Arial" w:cs="Arial"/>
          <w:i/>
          <w:iCs/>
          <w:sz w:val="22"/>
          <w:szCs w:val="22"/>
        </w:rPr>
      </w:pPr>
    </w:p>
    <w:p>
      <w:pPr>
        <w:pStyle w:val="ListParagraph"/>
        <w:numPr>
          <w:ilvl w:val="0"/>
          <w:numId w:val="1"/>
        </w:numPr>
        <w:ind w:left="2490"/>
        <w:jc w:val="both"/>
        <w:rPr>
          <w:rFonts w:ascii="Arial" w:hAnsi="Arial" w:cs="Arial"/>
          <w:i/>
          <w:iCs/>
          <w:sz w:val="22"/>
          <w:szCs w:val="22"/>
        </w:rPr>
      </w:pPr>
      <w:r>
        <w:rPr>
          <w:rFonts w:ascii="Arial" w:hAnsi="Arial" w:cs="Arial"/>
          <w:i/>
          <w:iCs/>
          <w:sz w:val="22"/>
          <w:szCs w:val="22"/>
        </w:rPr>
        <w:t>Residential Fair Market Value</w:t>
      </w:r>
    </w:p>
    <w:p>
      <w:pPr>
        <w:pStyle w:val="ListParagraph"/>
        <w:ind w:left="1590"/>
        <w:jc w:val="both"/>
        <w:rPr>
          <w:rFonts w:ascii="Arial" w:hAnsi="Arial" w:cs="Arial"/>
          <w:i/>
          <w:iCs/>
          <w:sz w:val="22"/>
          <w:szCs w:val="22"/>
        </w:rPr>
      </w:pPr>
    </w:p>
    <w:tbl>
      <w:tblPr>
        <w:tblStyle w:val="TableGrid"/>
        <w:tblW w:w="0" w:type="auto"/>
        <w:tblInd w:w="1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980"/>
        <w:gridCol w:w="2070"/>
      </w:tblGrid>
      <w:tr>
        <w:trPr>
          <w:tblHeader/>
        </w:trPr>
        <w:tc>
          <w:tcPr>
            <w:tcW w:w="198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Over</w:t>
            </w:r>
          </w:p>
        </w:tc>
        <w:tc>
          <w:tcPr>
            <w:tcW w:w="198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Not Over</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Assessment Levels</w:t>
            </w:r>
          </w:p>
        </w:tc>
      </w:tr>
      <w:tr>
        <w:tc>
          <w:tcPr>
            <w:tcW w:w="1980" w:type="dxa"/>
          </w:tcPr>
          <w:p>
            <w:pPr>
              <w:spacing w:before="100" w:beforeAutospacing="1"/>
              <w:jc w:val="center"/>
              <w:rPr>
                <w:rFonts w:ascii="Arial" w:hAnsi="Arial" w:cs="Arial"/>
                <w:i/>
                <w:iCs/>
                <w:color w:val="000000" w:themeColor="text1"/>
                <w:sz w:val="22"/>
                <w:szCs w:val="22"/>
              </w:rPr>
            </w:pP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P  175,000.00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 xml:space="preserve">0% </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P  175,000.00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300,000.00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10%</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300,000.00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20%</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750,000.00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 xml:space="preserve">25% </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750,000.00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 xml:space="preserve">30% </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2,000,000.00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35%</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2,000,000.00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40%</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5,000,000.00</w:t>
            </w:r>
          </w:p>
        </w:tc>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 xml:space="preserve">50% </w:t>
            </w:r>
          </w:p>
        </w:tc>
      </w:tr>
      <w:tr>
        <w:tc>
          <w:tcPr>
            <w:tcW w:w="198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10,000,000.00</w:t>
            </w:r>
          </w:p>
        </w:tc>
        <w:tc>
          <w:tcPr>
            <w:tcW w:w="1980" w:type="dxa"/>
          </w:tcPr>
          <w:p>
            <w:pPr>
              <w:spacing w:before="100" w:beforeAutospacing="1"/>
              <w:jc w:val="center"/>
              <w:rPr>
                <w:rFonts w:ascii="Arial" w:hAnsi="Arial" w:cs="Arial"/>
                <w:i/>
                <w:iCs/>
                <w:color w:val="000000" w:themeColor="text1"/>
                <w:sz w:val="22"/>
                <w:szCs w:val="22"/>
              </w:rPr>
            </w:pP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60%</w:t>
            </w:r>
          </w:p>
        </w:tc>
      </w:tr>
    </w:tbl>
    <w:p>
      <w:pPr>
        <w:ind w:left="1320"/>
        <w:contextualSpacing/>
        <w:rPr>
          <w:rFonts w:ascii="Arial" w:hAnsi="Arial" w:cs="Arial"/>
          <w:i/>
          <w:iCs/>
          <w:color w:val="000000" w:themeColor="text1"/>
          <w:sz w:val="22"/>
          <w:szCs w:val="22"/>
        </w:rPr>
      </w:pPr>
    </w:p>
    <w:p>
      <w:pPr>
        <w:pStyle w:val="ListParagraph"/>
        <w:numPr>
          <w:ilvl w:val="0"/>
          <w:numId w:val="1"/>
        </w:numPr>
        <w:ind w:left="2580"/>
        <w:jc w:val="both"/>
        <w:rPr>
          <w:rFonts w:ascii="Arial" w:hAnsi="Arial" w:cs="Arial"/>
          <w:i/>
          <w:iCs/>
          <w:color w:val="000000" w:themeColor="text1"/>
          <w:sz w:val="22"/>
          <w:szCs w:val="22"/>
        </w:rPr>
      </w:pPr>
      <w:r>
        <w:rPr>
          <w:rFonts w:ascii="Arial" w:hAnsi="Arial" w:cs="Arial"/>
          <w:i/>
          <w:iCs/>
          <w:color w:val="000000" w:themeColor="text1"/>
          <w:sz w:val="22"/>
          <w:szCs w:val="22"/>
        </w:rPr>
        <w:t>Commercial / Industrial Fair Market Value</w:t>
      </w:r>
    </w:p>
    <w:p>
      <w:pPr>
        <w:ind w:left="1320"/>
        <w:contextualSpacing/>
        <w:rPr>
          <w:rFonts w:ascii="Arial" w:hAnsi="Arial" w:cs="Arial"/>
          <w:i/>
          <w:iCs/>
          <w:color w:val="000000" w:themeColor="text1"/>
          <w:sz w:val="22"/>
          <w:szCs w:val="22"/>
        </w:rPr>
      </w:pPr>
    </w:p>
    <w:tbl>
      <w:tblPr>
        <w:tblStyle w:val="TableGrid"/>
        <w:tblW w:w="0" w:type="auto"/>
        <w:tblInd w:w="1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710"/>
        <w:gridCol w:w="2070"/>
      </w:tblGrid>
      <w:tr>
        <w:tc>
          <w:tcPr>
            <w:tcW w:w="2070" w:type="dxa"/>
          </w:tcPr>
          <w:p>
            <w:pPr>
              <w:contextualSpacing/>
              <w:jc w:val="center"/>
              <w:rPr>
                <w:rFonts w:ascii="Arial" w:hAnsi="Arial" w:cs="Arial"/>
                <w:i/>
                <w:iCs/>
                <w:color w:val="000000" w:themeColor="text1"/>
                <w:sz w:val="22"/>
                <w:szCs w:val="22"/>
              </w:rPr>
            </w:pPr>
            <w:r>
              <w:rPr>
                <w:rFonts w:ascii="Arial" w:hAnsi="Arial" w:cs="Arial"/>
                <w:i/>
                <w:iCs/>
                <w:color w:val="000000" w:themeColor="text1"/>
                <w:sz w:val="22"/>
                <w:szCs w:val="22"/>
              </w:rPr>
              <w:t>Over</w:t>
            </w:r>
          </w:p>
        </w:tc>
        <w:tc>
          <w:tcPr>
            <w:tcW w:w="1710" w:type="dxa"/>
          </w:tcPr>
          <w:p>
            <w:pPr>
              <w:contextualSpacing/>
              <w:jc w:val="center"/>
              <w:rPr>
                <w:rFonts w:ascii="Arial" w:hAnsi="Arial" w:cs="Arial"/>
                <w:i/>
                <w:iCs/>
                <w:color w:val="000000" w:themeColor="text1"/>
                <w:sz w:val="22"/>
                <w:szCs w:val="22"/>
              </w:rPr>
            </w:pPr>
            <w:r>
              <w:rPr>
                <w:rFonts w:ascii="Arial" w:hAnsi="Arial" w:cs="Arial"/>
                <w:i/>
                <w:iCs/>
                <w:color w:val="000000" w:themeColor="text1"/>
                <w:sz w:val="22"/>
                <w:szCs w:val="22"/>
              </w:rPr>
              <w:t>Not Over</w:t>
            </w:r>
          </w:p>
        </w:tc>
        <w:tc>
          <w:tcPr>
            <w:tcW w:w="2070" w:type="dxa"/>
          </w:tcPr>
          <w:p>
            <w:pPr>
              <w:contextualSpacing/>
              <w:jc w:val="center"/>
              <w:rPr>
                <w:rFonts w:ascii="Arial" w:hAnsi="Arial" w:cs="Arial"/>
                <w:i/>
                <w:iCs/>
                <w:color w:val="000000" w:themeColor="text1"/>
                <w:sz w:val="22"/>
                <w:szCs w:val="22"/>
              </w:rPr>
            </w:pPr>
            <w:r>
              <w:rPr>
                <w:rFonts w:ascii="Arial" w:hAnsi="Arial" w:cs="Arial"/>
                <w:i/>
                <w:iCs/>
                <w:color w:val="000000" w:themeColor="text1"/>
                <w:sz w:val="22"/>
                <w:szCs w:val="22"/>
              </w:rPr>
              <w:t>Assessment Levels</w:t>
            </w:r>
          </w:p>
        </w:tc>
      </w:tr>
      <w:tr>
        <w:tc>
          <w:tcPr>
            <w:tcW w:w="2070" w:type="dxa"/>
          </w:tcPr>
          <w:p>
            <w:pPr>
              <w:spacing w:before="100" w:beforeAutospacing="1"/>
              <w:jc w:val="center"/>
              <w:rPr>
                <w:rFonts w:ascii="Arial" w:hAnsi="Arial" w:cs="Arial"/>
                <w:i/>
                <w:iCs/>
                <w:color w:val="000000" w:themeColor="text1"/>
                <w:sz w:val="22"/>
                <w:szCs w:val="22"/>
              </w:rPr>
            </w:pP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P  300,000.00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30%</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P  300,000.00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35%</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750,000.00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40%</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750,000.00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50%</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2,000,000.00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60%</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2,000,000.00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70%</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5,000,000.00</w:t>
            </w:r>
          </w:p>
        </w:tc>
        <w:tc>
          <w:tcPr>
            <w:tcW w:w="171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10,000,000.00</w:t>
            </w: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75%</w:t>
            </w:r>
          </w:p>
        </w:tc>
      </w:tr>
      <w:tr>
        <w:tc>
          <w:tcPr>
            <w:tcW w:w="2070" w:type="dxa"/>
          </w:tcPr>
          <w:p>
            <w:pPr>
              <w:spacing w:before="100" w:beforeAutospacing="1"/>
              <w:jc w:val="right"/>
              <w:rPr>
                <w:rFonts w:ascii="Arial" w:hAnsi="Arial" w:cs="Arial"/>
                <w:i/>
                <w:iCs/>
                <w:color w:val="000000" w:themeColor="text1"/>
                <w:sz w:val="22"/>
                <w:szCs w:val="22"/>
              </w:rPr>
            </w:pPr>
            <w:r>
              <w:rPr>
                <w:rFonts w:ascii="Arial" w:hAnsi="Arial" w:cs="Arial"/>
                <w:i/>
                <w:iCs/>
                <w:color w:val="000000" w:themeColor="text1"/>
                <w:sz w:val="22"/>
                <w:szCs w:val="22"/>
              </w:rPr>
              <w:t>10,000,000.00</w:t>
            </w:r>
          </w:p>
        </w:tc>
        <w:tc>
          <w:tcPr>
            <w:tcW w:w="1710" w:type="dxa"/>
          </w:tcPr>
          <w:p>
            <w:pPr>
              <w:spacing w:before="100" w:beforeAutospacing="1"/>
              <w:jc w:val="center"/>
              <w:rPr>
                <w:rFonts w:ascii="Arial" w:hAnsi="Arial" w:cs="Arial"/>
                <w:i/>
                <w:iCs/>
                <w:color w:val="000000" w:themeColor="text1"/>
                <w:sz w:val="22"/>
                <w:szCs w:val="22"/>
              </w:rPr>
            </w:pPr>
          </w:p>
        </w:tc>
        <w:tc>
          <w:tcPr>
            <w:tcW w:w="2070" w:type="dxa"/>
          </w:tcPr>
          <w:p>
            <w:pPr>
              <w:spacing w:before="100" w:beforeAutospacing="1"/>
              <w:jc w:val="center"/>
              <w:rPr>
                <w:rFonts w:ascii="Arial" w:hAnsi="Arial" w:cs="Arial"/>
                <w:i/>
                <w:iCs/>
                <w:color w:val="000000" w:themeColor="text1"/>
                <w:sz w:val="22"/>
                <w:szCs w:val="22"/>
              </w:rPr>
            </w:pPr>
            <w:r>
              <w:rPr>
                <w:rFonts w:ascii="Arial" w:hAnsi="Arial" w:cs="Arial"/>
                <w:i/>
                <w:iCs/>
                <w:color w:val="000000" w:themeColor="text1"/>
                <w:sz w:val="22"/>
                <w:szCs w:val="22"/>
              </w:rPr>
              <w:t>80%</w:t>
            </w:r>
          </w:p>
        </w:tc>
      </w:tr>
    </w:tbl>
    <w:p>
      <w:pPr>
        <w:jc w:val="both"/>
        <w:rPr>
          <w:rFonts w:ascii="Arial" w:hAnsi="Arial" w:cs="Arial"/>
          <w:i/>
          <w:iCs/>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The</w:t>
      </w:r>
      <w:r>
        <w:rPr>
          <w:rFonts w:ascii="Arial" w:hAnsi="Arial" w:cs="Arial"/>
          <w:sz w:val="22"/>
          <w:szCs w:val="22"/>
        </w:rPr>
        <w:t xml:space="preserve"> prescribed ALs under Section 12 of the above-mentioned Ordinance are compliant with Section 218 of RA No. 7160, otherwise known as, “The Local Government Code of 1991.”  Said ALs were already adopted by the City Assessor’s Office starting CY 2014 in the computation of AVs or the Taxable Value, which was the basis in the calculation of the Real Property and Special Education Taxes by the City Treasurer’s Office. </w:t>
      </w:r>
    </w:p>
    <w:p>
      <w:pPr>
        <w:ind w:left="567" w:right="-72" w:hanging="567"/>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The</w:t>
      </w:r>
      <w:r>
        <w:rPr>
          <w:rFonts w:ascii="Arial" w:hAnsi="Arial" w:cs="Arial"/>
          <w:sz w:val="22"/>
          <w:szCs w:val="22"/>
        </w:rPr>
        <w:t xml:space="preserve"> City Government uses the Real Property Tax Assessment System (RPTAS) to facilitate the recording and reporting of Market Values and AVs of real properties and billing and collection of real property taxes within the jurisdiction of the City.  The System includes Assessment, Billing and Collection Modules.  The data provided by the Assessment module such as the AVs of real properties are automatically linked to the Billing and Collection Modules.  The AVs are the reference for the computation and imposition of RPT and SET by the City Treasurer’s Office.   </w:t>
      </w:r>
    </w:p>
    <w:p>
      <w:pPr>
        <w:pStyle w:val="ListParagraph"/>
        <w:ind w:left="567" w:hanging="567"/>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The</w:t>
      </w:r>
      <w:r>
        <w:rPr>
          <w:rFonts w:ascii="Arial" w:hAnsi="Arial" w:cs="Arial"/>
          <w:sz w:val="22"/>
          <w:szCs w:val="22"/>
        </w:rPr>
        <w:t xml:space="preserve"> City Assessor’s Office submitted an Assessment Roll (AR) for taxable real properties which registered 409,652 RPUs with effectivity of assessment as of            CY 2023. The following information prescribed by the Manual on Real Property Appraisal and Assessment Operations (2006 Edition) are met:</w:t>
      </w:r>
    </w:p>
    <w:p>
      <w:pPr>
        <w:pStyle w:val="ListParagraph"/>
        <w:ind w:left="0"/>
        <w:jc w:val="both"/>
        <w:rPr>
          <w:rFonts w:ascii="Arial" w:hAnsi="Arial" w:cs="Arial"/>
          <w:sz w:val="22"/>
          <w:szCs w:val="22"/>
        </w:rPr>
      </w:pPr>
    </w:p>
    <w:p>
      <w:pPr>
        <w:pStyle w:val="ListParagraph"/>
        <w:numPr>
          <w:ilvl w:val="0"/>
          <w:numId w:val="4"/>
        </w:numPr>
        <w:jc w:val="both"/>
        <w:rPr>
          <w:rFonts w:ascii="Arial" w:hAnsi="Arial" w:cs="Arial"/>
          <w:sz w:val="22"/>
          <w:szCs w:val="22"/>
        </w:rPr>
      </w:pPr>
      <w:r>
        <w:rPr>
          <w:rFonts w:ascii="Arial" w:hAnsi="Arial" w:cs="Arial"/>
          <w:sz w:val="22"/>
          <w:szCs w:val="22"/>
        </w:rPr>
        <w:t>Property Identification Number that includes coding system for the City, District, Barangay and Section;</w:t>
      </w:r>
    </w:p>
    <w:p>
      <w:pPr>
        <w:pStyle w:val="ListParagraph"/>
        <w:numPr>
          <w:ilvl w:val="0"/>
          <w:numId w:val="4"/>
        </w:numPr>
        <w:jc w:val="both"/>
        <w:rPr>
          <w:rFonts w:ascii="Arial" w:hAnsi="Arial" w:cs="Arial"/>
          <w:sz w:val="22"/>
          <w:szCs w:val="22"/>
        </w:rPr>
      </w:pPr>
      <w:r>
        <w:rPr>
          <w:rFonts w:ascii="Arial" w:hAnsi="Arial" w:cs="Arial"/>
          <w:sz w:val="22"/>
          <w:szCs w:val="22"/>
        </w:rPr>
        <w:t>Property Owner;</w:t>
      </w:r>
    </w:p>
    <w:p>
      <w:pPr>
        <w:pStyle w:val="ListParagraph"/>
        <w:numPr>
          <w:ilvl w:val="0"/>
          <w:numId w:val="4"/>
        </w:numPr>
        <w:jc w:val="both"/>
        <w:rPr>
          <w:rFonts w:ascii="Arial" w:hAnsi="Arial" w:cs="Arial"/>
          <w:sz w:val="22"/>
          <w:szCs w:val="22"/>
        </w:rPr>
      </w:pPr>
      <w:r>
        <w:rPr>
          <w:rFonts w:ascii="Arial" w:hAnsi="Arial" w:cs="Arial"/>
          <w:sz w:val="22"/>
          <w:szCs w:val="22"/>
        </w:rPr>
        <w:t>Address of the Property Owner;</w:t>
      </w:r>
    </w:p>
    <w:p>
      <w:pPr>
        <w:pStyle w:val="ListParagraph"/>
        <w:numPr>
          <w:ilvl w:val="0"/>
          <w:numId w:val="4"/>
        </w:numPr>
        <w:jc w:val="both"/>
        <w:rPr>
          <w:rFonts w:ascii="Arial" w:hAnsi="Arial" w:cs="Arial"/>
          <w:sz w:val="22"/>
          <w:szCs w:val="22"/>
        </w:rPr>
      </w:pPr>
      <w:r>
        <w:rPr>
          <w:rFonts w:ascii="Arial" w:hAnsi="Arial" w:cs="Arial"/>
          <w:sz w:val="22"/>
          <w:szCs w:val="22"/>
        </w:rPr>
        <w:t>Kind and Classification of the Property;</w:t>
      </w:r>
    </w:p>
    <w:p>
      <w:pPr>
        <w:pStyle w:val="ListParagraph"/>
        <w:numPr>
          <w:ilvl w:val="0"/>
          <w:numId w:val="4"/>
        </w:numPr>
        <w:jc w:val="both"/>
        <w:rPr>
          <w:rFonts w:ascii="Arial" w:hAnsi="Arial" w:cs="Arial"/>
          <w:sz w:val="22"/>
          <w:szCs w:val="22"/>
        </w:rPr>
      </w:pPr>
      <w:r>
        <w:rPr>
          <w:rFonts w:ascii="Arial" w:hAnsi="Arial" w:cs="Arial"/>
          <w:sz w:val="22"/>
          <w:szCs w:val="22"/>
        </w:rPr>
        <w:t>Fair Market Value of the Property;</w:t>
      </w:r>
    </w:p>
    <w:p>
      <w:pPr>
        <w:pStyle w:val="ListParagraph"/>
        <w:numPr>
          <w:ilvl w:val="0"/>
          <w:numId w:val="4"/>
        </w:numPr>
        <w:jc w:val="both"/>
        <w:rPr>
          <w:rFonts w:ascii="Arial" w:hAnsi="Arial" w:cs="Arial"/>
          <w:sz w:val="22"/>
          <w:szCs w:val="22"/>
        </w:rPr>
      </w:pPr>
      <w:r>
        <w:rPr>
          <w:rFonts w:ascii="Arial" w:hAnsi="Arial" w:cs="Arial"/>
          <w:sz w:val="22"/>
          <w:szCs w:val="22"/>
        </w:rPr>
        <w:t>Assessment Level;</w:t>
      </w:r>
    </w:p>
    <w:p>
      <w:pPr>
        <w:pStyle w:val="ListParagraph"/>
        <w:numPr>
          <w:ilvl w:val="0"/>
          <w:numId w:val="4"/>
        </w:numPr>
        <w:jc w:val="both"/>
        <w:rPr>
          <w:rFonts w:ascii="Arial" w:hAnsi="Arial" w:cs="Arial"/>
          <w:sz w:val="22"/>
          <w:szCs w:val="22"/>
        </w:rPr>
      </w:pPr>
      <w:r>
        <w:rPr>
          <w:rFonts w:ascii="Arial" w:hAnsi="Arial" w:cs="Arial"/>
          <w:sz w:val="22"/>
          <w:szCs w:val="22"/>
        </w:rPr>
        <w:t>Assessed Value of the Property;</w:t>
      </w:r>
    </w:p>
    <w:p>
      <w:pPr>
        <w:pStyle w:val="ListParagraph"/>
        <w:numPr>
          <w:ilvl w:val="0"/>
          <w:numId w:val="4"/>
        </w:numPr>
        <w:jc w:val="both"/>
        <w:rPr>
          <w:rFonts w:ascii="Arial" w:hAnsi="Arial" w:cs="Arial"/>
          <w:sz w:val="22"/>
          <w:szCs w:val="22"/>
        </w:rPr>
      </w:pPr>
      <w:r>
        <w:rPr>
          <w:rFonts w:ascii="Arial" w:hAnsi="Arial" w:cs="Arial"/>
          <w:sz w:val="22"/>
          <w:szCs w:val="22"/>
        </w:rPr>
        <w:t>Previous and Current ARPN; and</w:t>
      </w:r>
    </w:p>
    <w:p>
      <w:pPr>
        <w:pStyle w:val="ListParagraph"/>
        <w:numPr>
          <w:ilvl w:val="0"/>
          <w:numId w:val="4"/>
        </w:numPr>
        <w:jc w:val="both"/>
        <w:rPr>
          <w:rFonts w:ascii="Arial" w:hAnsi="Arial" w:cs="Arial"/>
          <w:sz w:val="22"/>
          <w:szCs w:val="22"/>
        </w:rPr>
      </w:pPr>
      <w:r>
        <w:rPr>
          <w:rFonts w:ascii="Arial" w:hAnsi="Arial" w:cs="Arial"/>
          <w:sz w:val="22"/>
          <w:szCs w:val="22"/>
        </w:rPr>
        <w:t>Effectivity of Assessment</w:t>
      </w:r>
    </w:p>
    <w:p>
      <w:pPr>
        <w:jc w:val="both"/>
        <w:rPr>
          <w:rFonts w:ascii="Arial" w:hAnsi="Arial" w:cs="Arial"/>
          <w:sz w:val="22"/>
          <w:szCs w:val="22"/>
        </w:rPr>
      </w:pPr>
      <w:r>
        <w:rPr>
          <w:rFonts w:ascii="Arial" w:hAnsi="Arial" w:cs="Arial"/>
          <w:sz w:val="22"/>
          <w:szCs w:val="22"/>
        </w:rPr>
        <w:t xml:space="preserve">        </w:t>
      </w:r>
    </w:p>
    <w:p>
      <w:pPr>
        <w:pStyle w:val="ListParagraph"/>
        <w:numPr>
          <w:ilvl w:val="0"/>
          <w:numId w:val="15"/>
        </w:numPr>
        <w:jc w:val="both"/>
        <w:rPr>
          <w:rFonts w:ascii="Arial" w:hAnsi="Arial" w:cs="Arial"/>
          <w:i/>
          <w:sz w:val="22"/>
          <w:szCs w:val="22"/>
        </w:rPr>
      </w:pPr>
      <w:r>
        <w:rPr>
          <w:rFonts w:ascii="Arial" w:hAnsi="Arial" w:cs="Arial"/>
          <w:b/>
          <w:i/>
          <w:sz w:val="22"/>
          <w:szCs w:val="22"/>
        </w:rPr>
        <w:t>Misplaced application of</w:t>
      </w:r>
      <w:r>
        <w:rPr>
          <w:rFonts w:ascii="Arial" w:hAnsi="Arial" w:cs="Arial"/>
          <w:i/>
          <w:sz w:val="22"/>
          <w:szCs w:val="22"/>
        </w:rPr>
        <w:t xml:space="preserve"> </w:t>
      </w:r>
      <w:r>
        <w:rPr>
          <w:rFonts w:ascii="Arial" w:hAnsi="Arial" w:cs="Arial"/>
          <w:b/>
          <w:i/>
          <w:sz w:val="22"/>
          <w:szCs w:val="22"/>
        </w:rPr>
        <w:t>the ALs</w:t>
      </w:r>
    </w:p>
    <w:p>
      <w:pPr>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We</w:t>
      </w:r>
      <w:r>
        <w:rPr>
          <w:rFonts w:ascii="Arial" w:hAnsi="Arial" w:cs="Arial"/>
          <w:sz w:val="22"/>
          <w:szCs w:val="22"/>
        </w:rPr>
        <w:t xml:space="preserve"> tested the accuracy of the computation of the ALs and determine if they have been correctly assessed in accordance with the rates provided in aforesaid Section of the Ordinance. Review of the computation disclosed that the ALs applied to        452 RPUs were lower than the rates provided therein.  As a result, the AVs of these RPUs were understated, thus, the RPT and SET were under imposed by P</w:t>
      </w:r>
      <w:r>
        <w:rPr>
          <w:rFonts w:ascii="Arial" w:hAnsi="Arial" w:cs="Arial"/>
          <w:color w:val="000000"/>
          <w:sz w:val="22"/>
          <w:szCs w:val="22"/>
        </w:rPr>
        <w:t>2,182,761.77</w:t>
      </w:r>
      <w:r>
        <w:rPr>
          <w:rFonts w:ascii="Arial" w:hAnsi="Arial" w:cs="Arial"/>
          <w:sz w:val="22"/>
          <w:szCs w:val="22"/>
        </w:rPr>
        <w:t xml:space="preserve"> and </w:t>
      </w:r>
      <w:r>
        <w:rPr>
          <w:rFonts w:ascii="Arial" w:hAnsi="Arial" w:cs="Arial"/>
          <w:color w:val="000000"/>
          <w:sz w:val="22"/>
          <w:szCs w:val="22"/>
        </w:rPr>
        <w:t>P1,153,777.74</w:t>
      </w:r>
      <w:r>
        <w:rPr>
          <w:rFonts w:ascii="Arial" w:hAnsi="Arial" w:cs="Arial"/>
          <w:sz w:val="22"/>
          <w:szCs w:val="22"/>
        </w:rPr>
        <w:t xml:space="preserve">, respectively, for a total of </w:t>
      </w:r>
      <w:r>
        <w:rPr>
          <w:rFonts w:ascii="Arial" w:hAnsi="Arial" w:cs="Arial"/>
          <w:color w:val="000000"/>
          <w:sz w:val="22"/>
          <w:szCs w:val="22"/>
        </w:rPr>
        <w:t xml:space="preserve">P3,336,539.51 </w:t>
      </w:r>
      <w:r>
        <w:rPr>
          <w:rFonts w:ascii="Arial" w:hAnsi="Arial" w:cs="Arial"/>
          <w:sz w:val="22"/>
          <w:szCs w:val="22"/>
        </w:rPr>
        <w:t>in CY 2023 as shown in Table 8.</w:t>
      </w:r>
    </w:p>
    <w:p>
      <w:pPr>
        <w:spacing w:line="259" w:lineRule="auto"/>
        <w:ind w:left="360"/>
        <w:contextualSpacing/>
        <w:jc w:val="both"/>
        <w:rPr>
          <w:rFonts w:ascii="Arial" w:hAnsi="Arial" w:cs="Arial"/>
          <w:sz w:val="22"/>
          <w:szCs w:val="22"/>
        </w:rPr>
      </w:pPr>
    </w:p>
    <w:p>
      <w:pPr>
        <w:pStyle w:val="ListParagraph"/>
        <w:ind w:left="360" w:firstLine="540"/>
        <w:jc w:val="center"/>
        <w:rPr>
          <w:rFonts w:ascii="Arial" w:hAnsi="Arial" w:cs="Arial"/>
          <w:sz w:val="20"/>
          <w:szCs w:val="20"/>
        </w:rPr>
      </w:pPr>
      <w:r>
        <w:rPr>
          <w:rFonts w:ascii="Arial" w:hAnsi="Arial" w:cs="Arial"/>
          <w:sz w:val="20"/>
          <w:szCs w:val="20"/>
        </w:rPr>
        <w:t>Table 8. Difference between RPT and SET per Certified List and Per Audit of 452 RPUs</w:t>
      </w:r>
    </w:p>
    <w:tbl>
      <w:tblPr>
        <w:tblStyle w:val="TableGrid"/>
        <w:tblW w:w="0" w:type="auto"/>
        <w:tblInd w:w="89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0"/>
        <w:gridCol w:w="1710"/>
        <w:gridCol w:w="1620"/>
        <w:gridCol w:w="1705"/>
      </w:tblGrid>
      <w:tr>
        <w:tc>
          <w:tcPr>
            <w:tcW w:w="3060" w:type="dxa"/>
            <w:tcBorders>
              <w:top w:val="single" w:sz="4" w:space="0" w:color="auto"/>
              <w:bottom w:val="single" w:sz="4" w:space="0" w:color="auto"/>
            </w:tcBorders>
            <w:vAlign w:val="center"/>
          </w:tcPr>
          <w:p>
            <w:pPr>
              <w:jc w:val="center"/>
              <w:rPr>
                <w:rFonts w:ascii="Arial" w:hAnsi="Arial" w:cs="Arial"/>
                <w:sz w:val="20"/>
                <w:szCs w:val="20"/>
              </w:rPr>
            </w:pPr>
            <w:r>
              <w:rPr>
                <w:rFonts w:ascii="Arial" w:hAnsi="Arial" w:cs="Arial"/>
                <w:b/>
                <w:bCs/>
                <w:color w:val="000000"/>
                <w:sz w:val="20"/>
                <w:szCs w:val="20"/>
              </w:rPr>
              <w:t>Particulars</w:t>
            </w:r>
          </w:p>
        </w:tc>
        <w:tc>
          <w:tcPr>
            <w:tcW w:w="1710" w:type="dxa"/>
            <w:tcBorders>
              <w:top w:val="single" w:sz="4" w:space="0" w:color="auto"/>
              <w:bottom w:val="single" w:sz="4" w:space="0" w:color="auto"/>
            </w:tcBorders>
            <w:vAlign w:val="center"/>
          </w:tcPr>
          <w:p>
            <w:pPr>
              <w:pStyle w:val="ListParagraph"/>
              <w:ind w:left="0" w:firstLine="540"/>
              <w:jc w:val="center"/>
              <w:rPr>
                <w:rFonts w:ascii="Arial" w:hAnsi="Arial" w:cs="Arial"/>
                <w:b/>
                <w:bCs/>
                <w:color w:val="000000"/>
                <w:sz w:val="20"/>
                <w:szCs w:val="20"/>
              </w:rPr>
            </w:pPr>
            <w:r>
              <w:rPr>
                <w:rFonts w:ascii="Arial" w:hAnsi="Arial" w:cs="Arial"/>
                <w:b/>
                <w:bCs/>
                <w:color w:val="000000"/>
                <w:sz w:val="20"/>
                <w:szCs w:val="20"/>
              </w:rPr>
              <w:t>RPT</w:t>
            </w:r>
          </w:p>
        </w:tc>
        <w:tc>
          <w:tcPr>
            <w:tcW w:w="1620" w:type="dxa"/>
            <w:tcBorders>
              <w:top w:val="single" w:sz="4" w:space="0" w:color="auto"/>
              <w:bottom w:val="single" w:sz="4" w:space="0" w:color="auto"/>
            </w:tcBorders>
            <w:vAlign w:val="center"/>
          </w:tcPr>
          <w:p>
            <w:pPr>
              <w:pStyle w:val="ListParagraph"/>
              <w:ind w:left="0" w:firstLine="540"/>
              <w:jc w:val="center"/>
              <w:rPr>
                <w:rFonts w:ascii="Arial" w:hAnsi="Arial" w:cs="Arial"/>
                <w:b/>
                <w:bCs/>
                <w:color w:val="000000"/>
                <w:sz w:val="20"/>
                <w:szCs w:val="20"/>
              </w:rPr>
            </w:pPr>
            <w:r>
              <w:rPr>
                <w:rFonts w:ascii="Arial" w:hAnsi="Arial" w:cs="Arial"/>
                <w:b/>
                <w:bCs/>
                <w:color w:val="000000"/>
                <w:sz w:val="20"/>
                <w:szCs w:val="20"/>
              </w:rPr>
              <w:t>SET</w:t>
            </w:r>
          </w:p>
        </w:tc>
        <w:tc>
          <w:tcPr>
            <w:tcW w:w="1705" w:type="dxa"/>
            <w:tcBorders>
              <w:top w:val="single" w:sz="4" w:space="0" w:color="auto"/>
              <w:bottom w:val="single" w:sz="4" w:space="0" w:color="auto"/>
            </w:tcBorders>
            <w:vAlign w:val="center"/>
          </w:tcPr>
          <w:p>
            <w:pPr>
              <w:pStyle w:val="ListParagraph"/>
              <w:ind w:left="0" w:firstLine="540"/>
              <w:jc w:val="center"/>
              <w:rPr>
                <w:rFonts w:ascii="Arial" w:hAnsi="Arial" w:cs="Arial"/>
                <w:b/>
                <w:bCs/>
                <w:color w:val="000000"/>
                <w:sz w:val="20"/>
                <w:szCs w:val="20"/>
              </w:rPr>
            </w:pPr>
            <w:r>
              <w:rPr>
                <w:rFonts w:ascii="Arial" w:hAnsi="Arial" w:cs="Arial"/>
                <w:b/>
                <w:bCs/>
                <w:color w:val="000000"/>
                <w:sz w:val="20"/>
                <w:szCs w:val="20"/>
              </w:rPr>
              <w:t>Total</w:t>
            </w:r>
          </w:p>
        </w:tc>
      </w:tr>
      <w:tr>
        <w:tc>
          <w:tcPr>
            <w:tcW w:w="3060" w:type="dxa"/>
            <w:tcBorders>
              <w:top w:val="single" w:sz="4" w:space="0" w:color="auto"/>
            </w:tcBorders>
            <w:vAlign w:val="bottom"/>
          </w:tcPr>
          <w:p>
            <w:pPr>
              <w:pStyle w:val="ListParagraph"/>
              <w:ind w:left="0"/>
              <w:rPr>
                <w:rFonts w:ascii="Arial" w:hAnsi="Arial" w:cs="Arial"/>
                <w:sz w:val="20"/>
                <w:szCs w:val="20"/>
              </w:rPr>
            </w:pPr>
            <w:r>
              <w:rPr>
                <w:rFonts w:ascii="Arial" w:hAnsi="Arial" w:cs="Arial"/>
                <w:color w:val="000000"/>
                <w:sz w:val="20"/>
                <w:szCs w:val="20"/>
              </w:rPr>
              <w:t>Per Certified List of Taxpayers</w:t>
            </w:r>
          </w:p>
        </w:tc>
        <w:tc>
          <w:tcPr>
            <w:tcW w:w="1710" w:type="dxa"/>
            <w:tcBorders>
              <w:top w:val="single" w:sz="4" w:space="0" w:color="auto"/>
            </w:tcBorders>
            <w:vAlign w:val="center"/>
          </w:tcPr>
          <w:p>
            <w:pPr>
              <w:pStyle w:val="ListParagraph"/>
              <w:ind w:left="78" w:hanging="642"/>
              <w:jc w:val="right"/>
              <w:rPr>
                <w:rFonts w:ascii="Arial" w:hAnsi="Arial" w:cs="Arial"/>
                <w:sz w:val="20"/>
                <w:szCs w:val="20"/>
              </w:rPr>
            </w:pPr>
            <w:r>
              <w:rPr>
                <w:rFonts w:ascii="Arial" w:hAnsi="Arial" w:cs="Arial"/>
                <w:color w:val="000000"/>
                <w:sz w:val="20"/>
                <w:szCs w:val="20"/>
              </w:rPr>
              <w:t>4,405,552.24</w:t>
            </w:r>
          </w:p>
        </w:tc>
        <w:tc>
          <w:tcPr>
            <w:tcW w:w="1620" w:type="dxa"/>
            <w:tcBorders>
              <w:top w:val="single" w:sz="4" w:space="0" w:color="auto"/>
            </w:tcBorders>
            <w:vAlign w:val="center"/>
          </w:tcPr>
          <w:p>
            <w:pPr>
              <w:jc w:val="right"/>
              <w:rPr>
                <w:rFonts w:ascii="Arial" w:hAnsi="Arial" w:cs="Arial"/>
                <w:sz w:val="20"/>
                <w:szCs w:val="20"/>
              </w:rPr>
            </w:pPr>
            <w:r>
              <w:rPr>
                <w:rFonts w:ascii="Arial" w:hAnsi="Arial" w:cs="Arial"/>
                <w:color w:val="000000"/>
                <w:sz w:val="20"/>
                <w:szCs w:val="20"/>
              </w:rPr>
              <w:t>2,567,087.11</w:t>
            </w:r>
          </w:p>
        </w:tc>
        <w:tc>
          <w:tcPr>
            <w:tcW w:w="1705" w:type="dxa"/>
            <w:tcBorders>
              <w:top w:val="single" w:sz="4" w:space="0" w:color="auto"/>
            </w:tcBorders>
            <w:vAlign w:val="center"/>
          </w:tcPr>
          <w:p>
            <w:pPr>
              <w:ind w:left="65" w:hanging="184"/>
              <w:jc w:val="right"/>
              <w:rPr>
                <w:rFonts w:ascii="Arial" w:hAnsi="Arial" w:cs="Arial"/>
                <w:sz w:val="20"/>
                <w:szCs w:val="20"/>
              </w:rPr>
            </w:pPr>
            <w:r>
              <w:rPr>
                <w:rFonts w:ascii="Arial" w:hAnsi="Arial" w:cs="Arial"/>
                <w:color w:val="000000"/>
                <w:sz w:val="20"/>
                <w:szCs w:val="20"/>
              </w:rPr>
              <w:t>6,972,639.35</w:t>
            </w:r>
          </w:p>
        </w:tc>
      </w:tr>
      <w:tr>
        <w:tc>
          <w:tcPr>
            <w:tcW w:w="3060" w:type="dxa"/>
            <w:tcBorders>
              <w:bottom w:val="single" w:sz="4" w:space="0" w:color="auto"/>
            </w:tcBorders>
            <w:vAlign w:val="bottom"/>
          </w:tcPr>
          <w:p>
            <w:pPr>
              <w:rPr>
                <w:rFonts w:ascii="Arial" w:hAnsi="Arial" w:cs="Arial"/>
                <w:sz w:val="20"/>
                <w:szCs w:val="20"/>
              </w:rPr>
            </w:pPr>
            <w:r>
              <w:rPr>
                <w:rFonts w:ascii="Arial" w:hAnsi="Arial" w:cs="Arial"/>
                <w:color w:val="000000"/>
                <w:sz w:val="20"/>
                <w:szCs w:val="20"/>
              </w:rPr>
              <w:t>Per Audit</w:t>
            </w:r>
          </w:p>
        </w:tc>
        <w:tc>
          <w:tcPr>
            <w:tcW w:w="1710" w:type="dxa"/>
            <w:tcBorders>
              <w:bottom w:val="single" w:sz="4" w:space="0" w:color="auto"/>
            </w:tcBorders>
            <w:vAlign w:val="center"/>
          </w:tcPr>
          <w:p>
            <w:pPr>
              <w:pStyle w:val="ListParagraph"/>
              <w:ind w:left="78" w:hanging="642"/>
              <w:jc w:val="right"/>
              <w:rPr>
                <w:rFonts w:ascii="Arial" w:hAnsi="Arial" w:cs="Arial"/>
                <w:sz w:val="20"/>
                <w:szCs w:val="20"/>
              </w:rPr>
            </w:pPr>
            <w:r>
              <w:rPr>
                <w:rFonts w:ascii="Arial" w:hAnsi="Arial" w:cs="Arial"/>
                <w:color w:val="000000"/>
                <w:sz w:val="20"/>
                <w:szCs w:val="20"/>
              </w:rPr>
              <w:t>6,588,314.01</w:t>
            </w:r>
          </w:p>
        </w:tc>
        <w:tc>
          <w:tcPr>
            <w:tcW w:w="1620" w:type="dxa"/>
            <w:tcBorders>
              <w:bottom w:val="single" w:sz="4" w:space="0" w:color="auto"/>
            </w:tcBorders>
            <w:vAlign w:val="center"/>
          </w:tcPr>
          <w:p>
            <w:pPr>
              <w:jc w:val="right"/>
              <w:rPr>
                <w:rFonts w:ascii="Arial" w:hAnsi="Arial" w:cs="Arial"/>
                <w:sz w:val="20"/>
                <w:szCs w:val="20"/>
              </w:rPr>
            </w:pPr>
            <w:r>
              <w:rPr>
                <w:rFonts w:ascii="Arial" w:hAnsi="Arial" w:cs="Arial"/>
                <w:color w:val="000000"/>
                <w:sz w:val="20"/>
                <w:szCs w:val="20"/>
              </w:rPr>
              <w:t>3,720,864.85</w:t>
            </w:r>
          </w:p>
        </w:tc>
        <w:tc>
          <w:tcPr>
            <w:tcW w:w="1705" w:type="dxa"/>
            <w:tcBorders>
              <w:bottom w:val="single" w:sz="4" w:space="0" w:color="auto"/>
            </w:tcBorders>
            <w:vAlign w:val="center"/>
          </w:tcPr>
          <w:p>
            <w:pPr>
              <w:pStyle w:val="ListParagraph"/>
              <w:ind w:hanging="655"/>
              <w:jc w:val="right"/>
              <w:rPr>
                <w:rFonts w:ascii="Arial" w:hAnsi="Arial" w:cs="Arial"/>
                <w:sz w:val="20"/>
                <w:szCs w:val="20"/>
              </w:rPr>
            </w:pPr>
            <w:r>
              <w:rPr>
                <w:rFonts w:ascii="Arial" w:hAnsi="Arial" w:cs="Arial"/>
                <w:color w:val="000000"/>
                <w:sz w:val="20"/>
                <w:szCs w:val="20"/>
              </w:rPr>
              <w:t>10,309,178.86</w:t>
            </w:r>
          </w:p>
        </w:tc>
      </w:tr>
      <w:tr>
        <w:tc>
          <w:tcPr>
            <w:tcW w:w="3060" w:type="dxa"/>
            <w:tcBorders>
              <w:top w:val="single" w:sz="4" w:space="0" w:color="auto"/>
              <w:bottom w:val="single" w:sz="4" w:space="0" w:color="auto"/>
            </w:tcBorders>
            <w:vAlign w:val="bottom"/>
          </w:tcPr>
          <w:p>
            <w:pPr>
              <w:pStyle w:val="ListParagraph"/>
              <w:ind w:left="0"/>
              <w:jc w:val="center"/>
              <w:rPr>
                <w:rFonts w:ascii="Arial" w:hAnsi="Arial" w:cs="Arial"/>
                <w:b/>
                <w:bCs/>
                <w:sz w:val="20"/>
                <w:szCs w:val="20"/>
              </w:rPr>
            </w:pPr>
            <w:r>
              <w:rPr>
                <w:rFonts w:ascii="Arial" w:hAnsi="Arial" w:cs="Arial"/>
                <w:b/>
                <w:bCs/>
                <w:color w:val="000000"/>
                <w:sz w:val="20"/>
                <w:szCs w:val="20"/>
              </w:rPr>
              <w:t>Underassessment</w:t>
            </w:r>
          </w:p>
        </w:tc>
        <w:tc>
          <w:tcPr>
            <w:tcW w:w="1710" w:type="dxa"/>
            <w:tcBorders>
              <w:top w:val="single" w:sz="4" w:space="0" w:color="auto"/>
              <w:bottom w:val="single" w:sz="4" w:space="0" w:color="auto"/>
            </w:tcBorders>
            <w:vAlign w:val="center"/>
          </w:tcPr>
          <w:p>
            <w:pPr>
              <w:pStyle w:val="ListParagraph"/>
              <w:ind w:left="78" w:hanging="642"/>
              <w:jc w:val="right"/>
              <w:rPr>
                <w:rFonts w:ascii="Arial" w:hAnsi="Arial" w:cs="Arial"/>
                <w:b/>
                <w:bCs/>
                <w:sz w:val="20"/>
                <w:szCs w:val="20"/>
              </w:rPr>
            </w:pPr>
            <w:r>
              <w:rPr>
                <w:rFonts w:ascii="Arial" w:hAnsi="Arial" w:cs="Arial"/>
                <w:b/>
                <w:bCs/>
                <w:sz w:val="20"/>
                <w:szCs w:val="20"/>
              </w:rPr>
              <w:t>(2,182,761.77)</w:t>
            </w:r>
          </w:p>
        </w:tc>
        <w:tc>
          <w:tcPr>
            <w:tcW w:w="1620" w:type="dxa"/>
            <w:tcBorders>
              <w:top w:val="single" w:sz="4" w:space="0" w:color="auto"/>
              <w:bottom w:val="single" w:sz="4" w:space="0" w:color="auto"/>
            </w:tcBorders>
            <w:vAlign w:val="center"/>
          </w:tcPr>
          <w:p>
            <w:pPr>
              <w:jc w:val="right"/>
              <w:rPr>
                <w:rFonts w:ascii="Arial" w:hAnsi="Arial" w:cs="Arial"/>
                <w:b/>
                <w:bCs/>
                <w:sz w:val="20"/>
                <w:szCs w:val="20"/>
              </w:rPr>
            </w:pPr>
            <w:r>
              <w:rPr>
                <w:rFonts w:ascii="Arial" w:hAnsi="Arial" w:cs="Arial"/>
                <w:b/>
                <w:bCs/>
                <w:sz w:val="20"/>
                <w:szCs w:val="20"/>
              </w:rPr>
              <w:t>(1,153,777.74)</w:t>
            </w:r>
          </w:p>
        </w:tc>
        <w:tc>
          <w:tcPr>
            <w:tcW w:w="1705" w:type="dxa"/>
            <w:tcBorders>
              <w:top w:val="single" w:sz="4" w:space="0" w:color="auto"/>
              <w:bottom w:val="single" w:sz="4" w:space="0" w:color="auto"/>
            </w:tcBorders>
            <w:vAlign w:val="center"/>
          </w:tcPr>
          <w:p>
            <w:pPr>
              <w:jc w:val="right"/>
              <w:rPr>
                <w:rFonts w:ascii="Arial" w:hAnsi="Arial" w:cs="Arial"/>
                <w:b/>
                <w:bCs/>
                <w:sz w:val="20"/>
                <w:szCs w:val="20"/>
              </w:rPr>
            </w:pPr>
            <w:r>
              <w:rPr>
                <w:rFonts w:ascii="Arial" w:hAnsi="Arial" w:cs="Arial"/>
                <w:b/>
                <w:bCs/>
                <w:sz w:val="20"/>
                <w:szCs w:val="20"/>
              </w:rPr>
              <w:t>(3,336,539.51)</w:t>
            </w:r>
          </w:p>
        </w:tc>
      </w:tr>
    </w:tbl>
    <w:p>
      <w:pPr>
        <w:pStyle w:val="ListParagraph"/>
        <w:ind w:left="36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color w:val="000000" w:themeColor="text1"/>
          <w:sz w:val="22"/>
          <w:szCs w:val="22"/>
        </w:rPr>
        <w:t>Since</w:t>
      </w:r>
      <w:r>
        <w:rPr>
          <w:rFonts w:ascii="Arial" w:hAnsi="Arial" w:cs="Arial"/>
          <w:sz w:val="22"/>
          <w:szCs w:val="22"/>
        </w:rPr>
        <w:t xml:space="preserve"> the City uses the RPTAS, it is expected that the System process the data accurately, the programs embedded therein verifies and controls the data before and during processing. However, the foregoing deficiencies indicate that the System lacks the controls to check/detect inaccurate calculations in ALs.   </w:t>
      </w:r>
    </w:p>
    <w:p>
      <w:pPr>
        <w:pStyle w:val="ListParagraph"/>
        <w:ind w:left="567" w:hanging="567"/>
        <w:jc w:val="both"/>
        <w:rPr>
          <w:rFonts w:ascii="Arial" w:hAnsi="Arial" w:cs="Arial"/>
          <w:sz w:val="22"/>
          <w:szCs w:val="22"/>
        </w:rPr>
      </w:pPr>
    </w:p>
    <w:p>
      <w:pPr>
        <w:pStyle w:val="ListParagraph"/>
        <w:numPr>
          <w:ilvl w:val="0"/>
          <w:numId w:val="15"/>
        </w:numPr>
        <w:jc w:val="both"/>
        <w:rPr>
          <w:rFonts w:ascii="Arial" w:hAnsi="Arial" w:cs="Arial"/>
          <w:b/>
          <w:bCs/>
          <w:i/>
          <w:iCs/>
          <w:sz w:val="22"/>
          <w:szCs w:val="22"/>
        </w:rPr>
      </w:pPr>
      <w:r>
        <w:rPr>
          <w:rFonts w:ascii="Arial" w:hAnsi="Arial" w:cs="Arial"/>
          <w:b/>
          <w:bCs/>
          <w:i/>
          <w:iCs/>
          <w:sz w:val="22"/>
          <w:szCs w:val="22"/>
        </w:rPr>
        <w:t>Omission of 1,130 RPUs in the AR</w:t>
      </w:r>
    </w:p>
    <w:p>
      <w:pPr>
        <w:jc w:val="both"/>
        <w:rPr>
          <w:rFonts w:ascii="Arial" w:hAnsi="Arial" w:cs="Arial"/>
          <w:b/>
          <w:bCs/>
          <w:i/>
          <w:iCs/>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1,130 RPUs that were drawn from the 474 sampled tax maps were not in the AR as of CY 2023, contrary to the objectives on establishing a complete inventory of all real properties and providing a permanent link between real properties and office records as mentioned in Section 2, Chapter II, MRPAAO.</w:t>
      </w:r>
      <w:r>
        <w:rPr>
          <w:rStyle w:val="FootnoteReference"/>
          <w:rFonts w:ascii="Arial" w:hAnsi="Arial" w:cs="Arial"/>
          <w:sz w:val="22"/>
          <w:szCs w:val="22"/>
        </w:rPr>
        <w:footnoteReference w:id="6"/>
      </w:r>
      <w:r>
        <w:rPr>
          <w:rFonts w:ascii="Arial" w:hAnsi="Arial" w:cs="Arial"/>
          <w:sz w:val="22"/>
          <w:szCs w:val="22"/>
        </w:rPr>
        <w:t xml:space="preserve"> Consequently, these RPUs were not included for imposition of realty taxes thus, depriving the City to earn its rightful income to finance its PPAs.</w:t>
      </w:r>
    </w:p>
    <w:p>
      <w:pPr>
        <w:jc w:val="both"/>
        <w:rPr>
          <w:rFonts w:ascii="Arial" w:hAnsi="Arial" w:cs="Arial"/>
          <w:b/>
          <w:bCs/>
          <w:sz w:val="22"/>
          <w:szCs w:val="22"/>
        </w:rPr>
      </w:pPr>
    </w:p>
    <w:p>
      <w:pPr>
        <w:pStyle w:val="ListParagraph"/>
        <w:ind w:left="1080"/>
        <w:jc w:val="both"/>
        <w:rPr>
          <w:rFonts w:ascii="Arial" w:hAnsi="Arial" w:cs="Arial"/>
          <w:sz w:val="22"/>
          <w:szCs w:val="22"/>
        </w:rPr>
      </w:pPr>
    </w:p>
    <w:p>
      <w:pPr>
        <w:pStyle w:val="ListParagrap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lastRenderedPageBreak/>
        <w:t>Section 2, Chapter II, MRPAAO:</w:t>
      </w:r>
    </w:p>
    <w:p>
      <w:pPr>
        <w:jc w:val="both"/>
        <w:rPr>
          <w:rFonts w:ascii="Arial" w:hAnsi="Arial" w:cs="Arial"/>
          <w:sz w:val="22"/>
          <w:szCs w:val="22"/>
        </w:rPr>
      </w:pPr>
    </w:p>
    <w:p>
      <w:pPr>
        <w:ind w:left="1134" w:right="855"/>
        <w:jc w:val="both"/>
        <w:rPr>
          <w:rFonts w:ascii="Arial" w:hAnsi="Arial" w:cs="Arial"/>
          <w:i/>
          <w:iCs/>
          <w:sz w:val="22"/>
          <w:szCs w:val="22"/>
        </w:rPr>
      </w:pPr>
      <w:r>
        <w:rPr>
          <w:rFonts w:ascii="Arial" w:hAnsi="Arial" w:cs="Arial"/>
          <w:i/>
          <w:iCs/>
          <w:sz w:val="22"/>
          <w:szCs w:val="22"/>
        </w:rPr>
        <w:t>SECTION 2. –</w:t>
      </w:r>
      <w:r>
        <w:rPr>
          <w:rFonts w:ascii="Arial" w:hAnsi="Arial" w:cs="Arial"/>
          <w:sz w:val="22"/>
          <w:szCs w:val="22"/>
        </w:rPr>
        <w:t xml:space="preserve"> </w:t>
      </w:r>
      <w:r>
        <w:rPr>
          <w:rFonts w:ascii="Arial" w:hAnsi="Arial" w:cs="Arial"/>
          <w:i/>
          <w:iCs/>
          <w:sz w:val="22"/>
          <w:szCs w:val="22"/>
        </w:rPr>
        <w:t xml:space="preserve">Tax Mapping Operations </w:t>
      </w:r>
    </w:p>
    <w:p>
      <w:pPr>
        <w:ind w:left="1134" w:right="855"/>
        <w:jc w:val="both"/>
        <w:rPr>
          <w:rFonts w:ascii="Arial" w:hAnsi="Arial" w:cs="Arial"/>
          <w:i/>
          <w:iCs/>
          <w:sz w:val="22"/>
          <w:szCs w:val="22"/>
        </w:rPr>
      </w:pPr>
    </w:p>
    <w:p>
      <w:pPr>
        <w:ind w:left="1134" w:right="855"/>
        <w:jc w:val="both"/>
        <w:rPr>
          <w:rFonts w:ascii="Arial" w:hAnsi="Arial" w:cs="Arial"/>
          <w:i/>
          <w:iCs/>
          <w:sz w:val="22"/>
          <w:szCs w:val="22"/>
        </w:rPr>
      </w:pPr>
      <w:r>
        <w:rPr>
          <w:rFonts w:ascii="Arial" w:hAnsi="Arial" w:cs="Arial"/>
          <w:i/>
          <w:iCs/>
          <w:sz w:val="22"/>
          <w:szCs w:val="22"/>
        </w:rPr>
        <w:t xml:space="preserve">Tax maps are the single most important tool in the real property assessment process. It is not possible to establish an adequate real property tax record and accounting system without tax maps, for they are the basic foundation of the system. </w:t>
      </w:r>
      <w:r>
        <w:rPr>
          <w:rFonts w:ascii="Arial" w:hAnsi="Arial" w:cs="Arial"/>
          <w:i/>
          <w:iCs/>
          <w:sz w:val="22"/>
          <w:szCs w:val="22"/>
          <w:u w:val="single"/>
        </w:rPr>
        <w:t>They establish a permanent link between the real properties in the field and the property assessment and tax records in the office.</w:t>
      </w:r>
      <w:r>
        <w:rPr>
          <w:rFonts w:ascii="Arial" w:hAnsi="Arial" w:cs="Arial"/>
          <w:i/>
          <w:iCs/>
          <w:sz w:val="22"/>
          <w:szCs w:val="22"/>
        </w:rPr>
        <w:t xml:space="preserve"> They are indispensable in the discovery of property and the identification of property ownership. They simplify the task of property description and tie together all property records, including field appraisal and assessment sheets and assessment and tax rolls. They also provide the public with vital real property information. Finally, tax maps make possible the establishment of a property record system that is easily adapted to data computerization.</w:t>
      </w:r>
    </w:p>
    <w:p>
      <w:pPr>
        <w:ind w:left="720" w:right="855"/>
        <w:jc w:val="both"/>
        <w:rPr>
          <w:rFonts w:ascii="Arial" w:hAnsi="Arial" w:cs="Arial"/>
          <w:sz w:val="22"/>
          <w:szCs w:val="22"/>
        </w:rPr>
      </w:pPr>
    </w:p>
    <w:p>
      <w:pPr>
        <w:ind w:right="855" w:firstLine="1134"/>
        <w:jc w:val="both"/>
        <w:rPr>
          <w:rFonts w:ascii="Arial" w:hAnsi="Arial" w:cs="Arial"/>
          <w:i/>
          <w:iCs/>
          <w:sz w:val="22"/>
          <w:szCs w:val="22"/>
        </w:rPr>
      </w:pPr>
      <w:r>
        <w:rPr>
          <w:rFonts w:ascii="Arial" w:hAnsi="Arial" w:cs="Arial"/>
          <w:i/>
          <w:iCs/>
          <w:sz w:val="22"/>
          <w:szCs w:val="22"/>
        </w:rPr>
        <w:t xml:space="preserve">A. Objectives of the Tax Mapping Operations </w:t>
      </w:r>
    </w:p>
    <w:p>
      <w:pPr>
        <w:ind w:left="1276" w:right="855"/>
        <w:jc w:val="both"/>
        <w:rPr>
          <w:rFonts w:ascii="Arial" w:hAnsi="Arial" w:cs="Arial"/>
          <w:i/>
          <w:iCs/>
          <w:sz w:val="22"/>
          <w:szCs w:val="22"/>
        </w:rPr>
      </w:pPr>
    </w:p>
    <w:p>
      <w:pPr>
        <w:pStyle w:val="ListParagraph"/>
        <w:numPr>
          <w:ilvl w:val="0"/>
          <w:numId w:val="5"/>
        </w:numPr>
        <w:ind w:left="1843" w:right="855"/>
        <w:jc w:val="both"/>
        <w:rPr>
          <w:rFonts w:ascii="Arial" w:hAnsi="Arial" w:cs="Arial"/>
          <w:i/>
          <w:iCs/>
          <w:sz w:val="22"/>
          <w:szCs w:val="22"/>
        </w:rPr>
      </w:pPr>
      <w:r>
        <w:rPr>
          <w:rFonts w:ascii="Arial" w:hAnsi="Arial" w:cs="Arial"/>
          <w:i/>
          <w:iCs/>
          <w:sz w:val="22"/>
          <w:szCs w:val="22"/>
        </w:rPr>
        <w:t xml:space="preserve">To establish a complete inventory of all real properties; </w:t>
      </w:r>
    </w:p>
    <w:p>
      <w:pPr>
        <w:pStyle w:val="ListParagraph"/>
        <w:numPr>
          <w:ilvl w:val="0"/>
          <w:numId w:val="5"/>
        </w:numPr>
        <w:ind w:left="1843" w:right="855"/>
        <w:jc w:val="both"/>
        <w:rPr>
          <w:rFonts w:ascii="Arial" w:hAnsi="Arial" w:cs="Arial"/>
          <w:i/>
          <w:iCs/>
          <w:sz w:val="22"/>
          <w:szCs w:val="22"/>
        </w:rPr>
      </w:pPr>
      <w:r>
        <w:rPr>
          <w:rFonts w:ascii="Arial" w:hAnsi="Arial" w:cs="Arial"/>
          <w:i/>
          <w:iCs/>
          <w:sz w:val="22"/>
          <w:szCs w:val="22"/>
        </w:rPr>
        <w:t xml:space="preserve">To provide a permanent link between real properties and office records; </w:t>
      </w:r>
    </w:p>
    <w:p>
      <w:pPr>
        <w:pStyle w:val="ListParagraph"/>
        <w:numPr>
          <w:ilvl w:val="0"/>
          <w:numId w:val="5"/>
        </w:numPr>
        <w:ind w:left="1843" w:right="855"/>
        <w:jc w:val="both"/>
        <w:rPr>
          <w:rFonts w:ascii="Arial" w:hAnsi="Arial" w:cs="Arial"/>
          <w:i/>
          <w:iCs/>
          <w:sz w:val="22"/>
          <w:szCs w:val="22"/>
        </w:rPr>
      </w:pPr>
      <w:r>
        <w:rPr>
          <w:rFonts w:ascii="Arial" w:hAnsi="Arial" w:cs="Arial"/>
          <w:i/>
          <w:iCs/>
          <w:sz w:val="22"/>
          <w:szCs w:val="22"/>
        </w:rPr>
        <w:t xml:space="preserve">To identify the ownership of every piece of real property; and </w:t>
      </w:r>
    </w:p>
    <w:p>
      <w:pPr>
        <w:pStyle w:val="ListParagraph"/>
        <w:numPr>
          <w:ilvl w:val="0"/>
          <w:numId w:val="5"/>
        </w:numPr>
        <w:ind w:left="1843" w:right="855"/>
        <w:jc w:val="both"/>
        <w:rPr>
          <w:rFonts w:ascii="Arial" w:hAnsi="Arial" w:cs="Arial"/>
          <w:i/>
          <w:iCs/>
          <w:sz w:val="22"/>
          <w:szCs w:val="22"/>
        </w:rPr>
      </w:pPr>
      <w:r>
        <w:rPr>
          <w:rFonts w:ascii="Arial" w:hAnsi="Arial" w:cs="Arial"/>
          <w:i/>
          <w:iCs/>
          <w:sz w:val="22"/>
          <w:szCs w:val="22"/>
        </w:rPr>
        <w:t>To account for the total land area of provinces, cities or municipalities.</w:t>
      </w:r>
    </w:p>
    <w:p>
      <w:pPr>
        <w:pStyle w:val="ListParagraph"/>
        <w:ind w:left="1080" w:right="855"/>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Based on the above definition and provision, the tax map is a graphical presentation of all real properties.  It serves as the link between the real properties and the office records such as the Assessment Roll, and aids in identifying real properties that are taxable or not.  It assigns a unique numbering system in order to account all real properties actually existing in the field and it helps in determining undiscovered properties for taxation purposes.   </w:t>
      </w:r>
    </w:p>
    <w:p>
      <w:pPr>
        <w:ind w:left="709" w:hanging="709"/>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The Tax Mapping Division</w:t>
      </w:r>
      <w:r>
        <w:rPr>
          <w:rFonts w:ascii="Arial" w:hAnsi="Arial" w:cs="Arial"/>
          <w:sz w:val="22"/>
          <w:szCs w:val="22"/>
          <w:vertAlign w:val="superscript"/>
        </w:rPr>
        <w:footnoteReference w:id="7"/>
      </w:r>
      <w:r>
        <w:rPr>
          <w:rFonts w:ascii="Arial" w:hAnsi="Arial" w:cs="Arial"/>
          <w:sz w:val="22"/>
          <w:szCs w:val="22"/>
        </w:rPr>
        <w:t xml:space="preserve"> of the City Assessor’s Office is responsible for the maintenance of tax maps and for the preservation of the integrity of the identification numbering system.  Tax map maintenance is defined as the technical revision of the tax map document, as differentiated from the care and storage of tax maps. Any one or all of the following assessment record forms may be affected by changes in ownership, value, or land area: </w:t>
      </w:r>
    </w:p>
    <w:p>
      <w:pPr>
        <w:jc w:val="both"/>
        <w:rPr>
          <w:rFonts w:ascii="Arial" w:hAnsi="Arial" w:cs="Arial"/>
          <w:sz w:val="22"/>
          <w:szCs w:val="22"/>
        </w:rPr>
      </w:pP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Tax Map including Tax Map Control Roll </w:t>
      </w: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Property Identification Number (PIN) </w:t>
      </w: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Tax Declaration </w:t>
      </w: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Assessment Roll </w:t>
      </w: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Real Property Field Appraisal and Assessment Sheet </w:t>
      </w:r>
    </w:p>
    <w:p>
      <w:pPr>
        <w:numPr>
          <w:ilvl w:val="0"/>
          <w:numId w:val="6"/>
        </w:numPr>
        <w:ind w:left="1800" w:hanging="450"/>
        <w:contextualSpacing/>
        <w:jc w:val="both"/>
        <w:rPr>
          <w:rFonts w:ascii="Arial" w:hAnsi="Arial" w:cs="Arial"/>
          <w:sz w:val="22"/>
          <w:szCs w:val="22"/>
        </w:rPr>
      </w:pPr>
      <w:r>
        <w:rPr>
          <w:rFonts w:ascii="Arial" w:hAnsi="Arial" w:cs="Arial"/>
          <w:sz w:val="22"/>
          <w:szCs w:val="22"/>
        </w:rPr>
        <w:t xml:space="preserve">Property Ownership Card </w:t>
      </w:r>
    </w:p>
    <w:p>
      <w:pPr>
        <w:numPr>
          <w:ilvl w:val="0"/>
          <w:numId w:val="6"/>
        </w:numPr>
        <w:ind w:left="1800" w:hanging="450"/>
        <w:contextualSpacing/>
        <w:jc w:val="both"/>
        <w:rPr>
          <w:rFonts w:ascii="Arial" w:hAnsi="Arial" w:cs="Arial"/>
          <w:sz w:val="22"/>
          <w:szCs w:val="22"/>
        </w:rPr>
      </w:pPr>
      <w:r>
        <w:rPr>
          <w:rFonts w:ascii="Arial" w:hAnsi="Arial" w:cs="Arial"/>
          <w:sz w:val="22"/>
          <w:szCs w:val="22"/>
        </w:rPr>
        <w:t>Tax Collection Record</w:t>
      </w:r>
    </w:p>
    <w:p>
      <w:pPr>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lastRenderedPageBreak/>
        <w:t>The Tax Mapping Division is responsible for recording changes in the first two (2) assessment record forms mentioned above. Changes affecting the other official records are the responsibility of other divisions. Revision of tax maps and the property identification numbering system occur as the result of changes in land area only.</w:t>
      </w:r>
    </w:p>
    <w:p>
      <w:pPr>
        <w:jc w:val="both"/>
        <w:rPr>
          <w:rFonts w:ascii="Arial" w:hAnsi="Arial" w:cs="Arial"/>
          <w:b/>
          <w:bCs/>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We sampled 474 tax maps of real properties in the City and observed that there are 1,130 PINs or RPUs for the Land in the tax maps which were not included in the AR, as summarized in Table 9. This is an indication that not all real properties found in the field, drawn thru graphical presentation and inscribed in the tax map were appraised and assessed for taxation purposes.  </w:t>
      </w:r>
    </w:p>
    <w:p>
      <w:pPr>
        <w:pStyle w:val="ListParagraph"/>
        <w:rPr>
          <w:rFonts w:ascii="Arial" w:hAnsi="Arial" w:cs="Arial"/>
          <w:sz w:val="22"/>
          <w:szCs w:val="22"/>
        </w:rPr>
      </w:pPr>
    </w:p>
    <w:p>
      <w:pPr>
        <w:pStyle w:val="ListParagraph"/>
        <w:ind w:left="851"/>
        <w:jc w:val="center"/>
        <w:rPr>
          <w:rFonts w:ascii="Arial" w:hAnsi="Arial" w:cs="Arial"/>
          <w:sz w:val="20"/>
          <w:szCs w:val="20"/>
        </w:rPr>
      </w:pPr>
      <w:r>
        <w:rPr>
          <w:rFonts w:ascii="Arial" w:hAnsi="Arial" w:cs="Arial"/>
          <w:sz w:val="20"/>
          <w:szCs w:val="20"/>
        </w:rPr>
        <w:t xml:space="preserve">Table 9. </w:t>
      </w:r>
      <w:r>
        <w:rPr>
          <w:rFonts w:ascii="Arial" w:hAnsi="Arial" w:cs="Arial"/>
          <w:color w:val="000000"/>
          <w:sz w:val="20"/>
          <w:szCs w:val="20"/>
        </w:rPr>
        <w:t>RPUs in the Tax Maps sample but not in the AR as of CY 2023</w:t>
      </w:r>
    </w:p>
    <w:tbl>
      <w:tblPr>
        <w:tblW w:w="7797" w:type="dxa"/>
        <w:tblInd w:w="1242" w:type="dxa"/>
        <w:tblLook w:val="04A0" w:firstRow="1" w:lastRow="0" w:firstColumn="1" w:lastColumn="0" w:noHBand="0" w:noVBand="1"/>
      </w:tblPr>
      <w:tblGrid>
        <w:gridCol w:w="1980"/>
        <w:gridCol w:w="1422"/>
        <w:gridCol w:w="1701"/>
        <w:gridCol w:w="2694"/>
      </w:tblGrid>
      <w:tr>
        <w:trPr>
          <w:trHeight w:val="20"/>
          <w:tblHeader/>
        </w:trPr>
        <w:tc>
          <w:tcPr>
            <w:tcW w:w="1980" w:type="dxa"/>
            <w:tcBorders>
              <w:top w:val="single" w:sz="4" w:space="0" w:color="auto"/>
              <w:bottom w:val="single" w:sz="4" w:space="0" w:color="auto"/>
            </w:tcBorders>
            <w:shd w:val="clear" w:color="auto" w:fill="auto"/>
            <w:vAlign w:val="center"/>
            <w:hideMark/>
          </w:tcPr>
          <w:p>
            <w:pPr>
              <w:jc w:val="center"/>
              <w:rPr>
                <w:rFonts w:ascii="Arial" w:hAnsi="Arial" w:cs="Arial"/>
                <w:b/>
                <w:bCs/>
                <w:color w:val="000000"/>
                <w:sz w:val="20"/>
                <w:szCs w:val="20"/>
                <w:lang w:val="en-PH"/>
              </w:rPr>
            </w:pPr>
            <w:r>
              <w:rPr>
                <w:rFonts w:ascii="Arial" w:hAnsi="Arial" w:cs="Arial"/>
                <w:b/>
                <w:bCs/>
                <w:color w:val="000000"/>
                <w:sz w:val="20"/>
                <w:szCs w:val="20"/>
              </w:rPr>
              <w:t>District</w:t>
            </w:r>
          </w:p>
        </w:tc>
        <w:tc>
          <w:tcPr>
            <w:tcW w:w="1422" w:type="dxa"/>
            <w:tcBorders>
              <w:top w:val="single" w:sz="4" w:space="0" w:color="auto"/>
              <w:bottom w:val="single" w:sz="4" w:space="0" w:color="auto"/>
            </w:tcBorders>
            <w:shd w:val="clear" w:color="auto" w:fill="auto"/>
            <w:vAlign w:val="center"/>
            <w:hideMark/>
          </w:tcPr>
          <w:p>
            <w:pPr>
              <w:jc w:val="center"/>
              <w:rPr>
                <w:rFonts w:ascii="Arial" w:hAnsi="Arial" w:cs="Arial"/>
                <w:b/>
                <w:bCs/>
                <w:color w:val="000000"/>
                <w:sz w:val="20"/>
                <w:szCs w:val="20"/>
              </w:rPr>
            </w:pPr>
            <w:r>
              <w:rPr>
                <w:rFonts w:ascii="Arial" w:hAnsi="Arial" w:cs="Arial"/>
                <w:b/>
                <w:bCs/>
                <w:color w:val="000000"/>
                <w:sz w:val="20"/>
                <w:szCs w:val="20"/>
              </w:rPr>
              <w:t>No. of Maps Sampled</w:t>
            </w:r>
          </w:p>
        </w:tc>
        <w:tc>
          <w:tcPr>
            <w:tcW w:w="1701" w:type="dxa"/>
            <w:tcBorders>
              <w:top w:val="single" w:sz="4" w:space="0" w:color="auto"/>
              <w:bottom w:val="single" w:sz="4" w:space="0" w:color="auto"/>
            </w:tcBorders>
            <w:shd w:val="clear" w:color="auto" w:fill="auto"/>
            <w:vAlign w:val="center"/>
            <w:hideMark/>
          </w:tcPr>
          <w:p>
            <w:pPr>
              <w:jc w:val="center"/>
              <w:rPr>
                <w:rFonts w:ascii="Arial" w:hAnsi="Arial" w:cs="Arial"/>
                <w:b/>
                <w:bCs/>
                <w:color w:val="000000"/>
                <w:sz w:val="20"/>
                <w:szCs w:val="20"/>
              </w:rPr>
            </w:pPr>
            <w:r>
              <w:rPr>
                <w:rFonts w:ascii="Arial" w:hAnsi="Arial" w:cs="Arial"/>
                <w:b/>
                <w:bCs/>
                <w:color w:val="000000"/>
                <w:sz w:val="20"/>
                <w:szCs w:val="20"/>
              </w:rPr>
              <w:t>No. of RPUs in the Maps</w:t>
            </w:r>
          </w:p>
        </w:tc>
        <w:tc>
          <w:tcPr>
            <w:tcW w:w="2694" w:type="dxa"/>
            <w:tcBorders>
              <w:top w:val="single" w:sz="4" w:space="0" w:color="auto"/>
              <w:bottom w:val="single" w:sz="4" w:space="0" w:color="auto"/>
            </w:tcBorders>
            <w:shd w:val="clear" w:color="auto" w:fill="auto"/>
            <w:vAlign w:val="center"/>
            <w:hideMark/>
          </w:tcPr>
          <w:p>
            <w:pPr>
              <w:jc w:val="center"/>
              <w:rPr>
                <w:rFonts w:ascii="Arial" w:hAnsi="Arial" w:cs="Arial"/>
                <w:b/>
                <w:bCs/>
                <w:color w:val="000000"/>
                <w:sz w:val="20"/>
                <w:szCs w:val="20"/>
              </w:rPr>
            </w:pPr>
            <w:r>
              <w:rPr>
                <w:rFonts w:ascii="Arial" w:hAnsi="Arial" w:cs="Arial"/>
                <w:b/>
                <w:bCs/>
                <w:color w:val="000000"/>
                <w:sz w:val="20"/>
                <w:szCs w:val="20"/>
              </w:rPr>
              <w:t>No. of RPUs in the Maps but not in the AR as of CY 2023</w:t>
            </w:r>
          </w:p>
        </w:tc>
      </w:tr>
      <w:tr>
        <w:trPr>
          <w:trHeight w:val="20"/>
        </w:trPr>
        <w:tc>
          <w:tcPr>
            <w:tcW w:w="1980" w:type="dxa"/>
            <w:tcBorders>
              <w:top w:val="single" w:sz="4" w:space="0" w:color="auto"/>
            </w:tcBorders>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Tondo</w:t>
            </w:r>
          </w:p>
        </w:tc>
        <w:tc>
          <w:tcPr>
            <w:tcW w:w="1422" w:type="dxa"/>
            <w:tcBorders>
              <w:top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50</w:t>
            </w:r>
          </w:p>
        </w:tc>
        <w:tc>
          <w:tcPr>
            <w:tcW w:w="1701" w:type="dxa"/>
            <w:tcBorders>
              <w:top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1393</w:t>
            </w:r>
          </w:p>
        </w:tc>
        <w:tc>
          <w:tcPr>
            <w:tcW w:w="2694" w:type="dxa"/>
            <w:tcBorders>
              <w:top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81</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Binondo</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31</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612</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41</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Quiapo</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14</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355</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19</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Sta. Cruz</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46</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1,587</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83</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Sampaloc</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51</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1,340</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89</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San Miguel</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31</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518</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111</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Malate</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74</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2,825</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226</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Ermita</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19</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556</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47</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Sta. Ana</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13</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486</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50</w:t>
            </w:r>
          </w:p>
        </w:tc>
      </w:tr>
      <w:tr>
        <w:trPr>
          <w:trHeight w:val="20"/>
        </w:trPr>
        <w:tc>
          <w:tcPr>
            <w:tcW w:w="1980" w:type="dxa"/>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Paco</w:t>
            </w:r>
          </w:p>
        </w:tc>
        <w:tc>
          <w:tcPr>
            <w:tcW w:w="1422"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10</w:t>
            </w:r>
          </w:p>
        </w:tc>
        <w:tc>
          <w:tcPr>
            <w:tcW w:w="1701"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691</w:t>
            </w:r>
          </w:p>
        </w:tc>
        <w:tc>
          <w:tcPr>
            <w:tcW w:w="2694" w:type="dxa"/>
            <w:shd w:val="clear" w:color="auto" w:fill="auto"/>
            <w:noWrap/>
            <w:hideMark/>
          </w:tcPr>
          <w:p>
            <w:pPr>
              <w:jc w:val="right"/>
              <w:rPr>
                <w:rFonts w:ascii="Arial" w:hAnsi="Arial" w:cs="Arial"/>
                <w:color w:val="000000"/>
                <w:sz w:val="20"/>
                <w:szCs w:val="20"/>
              </w:rPr>
            </w:pPr>
            <w:r>
              <w:rPr>
                <w:rFonts w:ascii="Arial" w:hAnsi="Arial" w:cs="Arial"/>
                <w:color w:val="000000"/>
                <w:sz w:val="20"/>
                <w:szCs w:val="20"/>
              </w:rPr>
              <w:t>243</w:t>
            </w:r>
          </w:p>
        </w:tc>
      </w:tr>
      <w:tr>
        <w:trPr>
          <w:trHeight w:val="20"/>
        </w:trPr>
        <w:tc>
          <w:tcPr>
            <w:tcW w:w="1980" w:type="dxa"/>
            <w:tcBorders>
              <w:bottom w:val="single" w:sz="4" w:space="0" w:color="auto"/>
            </w:tcBorders>
            <w:shd w:val="clear" w:color="auto" w:fill="auto"/>
            <w:noWrap/>
            <w:vAlign w:val="bottom"/>
            <w:hideMark/>
          </w:tcPr>
          <w:p>
            <w:pPr>
              <w:rPr>
                <w:rFonts w:ascii="Arial" w:hAnsi="Arial" w:cs="Arial"/>
                <w:color w:val="000000"/>
                <w:sz w:val="20"/>
                <w:szCs w:val="20"/>
              </w:rPr>
            </w:pPr>
            <w:r>
              <w:rPr>
                <w:rFonts w:ascii="Arial" w:hAnsi="Arial" w:cs="Arial"/>
                <w:color w:val="000000"/>
                <w:sz w:val="20"/>
                <w:szCs w:val="20"/>
              </w:rPr>
              <w:t>Pandacan</w:t>
            </w:r>
          </w:p>
        </w:tc>
        <w:tc>
          <w:tcPr>
            <w:tcW w:w="1422" w:type="dxa"/>
            <w:tcBorders>
              <w:bottom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135</w:t>
            </w:r>
          </w:p>
        </w:tc>
        <w:tc>
          <w:tcPr>
            <w:tcW w:w="1701" w:type="dxa"/>
            <w:tcBorders>
              <w:bottom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627</w:t>
            </w:r>
          </w:p>
        </w:tc>
        <w:tc>
          <w:tcPr>
            <w:tcW w:w="2694" w:type="dxa"/>
            <w:tcBorders>
              <w:bottom w:val="single" w:sz="4" w:space="0" w:color="auto"/>
            </w:tcBorders>
            <w:shd w:val="clear" w:color="auto" w:fill="auto"/>
            <w:noWrap/>
            <w:hideMark/>
          </w:tcPr>
          <w:p>
            <w:pPr>
              <w:jc w:val="right"/>
              <w:rPr>
                <w:rFonts w:ascii="Arial" w:hAnsi="Arial" w:cs="Arial"/>
                <w:color w:val="000000"/>
                <w:sz w:val="20"/>
                <w:szCs w:val="20"/>
              </w:rPr>
            </w:pPr>
            <w:r>
              <w:rPr>
                <w:rFonts w:ascii="Arial" w:hAnsi="Arial" w:cs="Arial"/>
                <w:color w:val="000000"/>
                <w:sz w:val="20"/>
                <w:szCs w:val="20"/>
              </w:rPr>
              <w:t>140</w:t>
            </w:r>
          </w:p>
        </w:tc>
      </w:tr>
      <w:tr>
        <w:trPr>
          <w:trHeight w:val="20"/>
        </w:trPr>
        <w:tc>
          <w:tcPr>
            <w:tcW w:w="1980" w:type="dxa"/>
            <w:tcBorders>
              <w:top w:val="single" w:sz="4" w:space="0" w:color="auto"/>
              <w:bottom w:val="single" w:sz="4" w:space="0" w:color="auto"/>
            </w:tcBorders>
            <w:shd w:val="clear" w:color="auto" w:fill="auto"/>
            <w:noWrap/>
            <w:vAlign w:val="bottom"/>
            <w:hideMark/>
          </w:tcPr>
          <w:p>
            <w:pPr>
              <w:jc w:val="center"/>
              <w:rPr>
                <w:rFonts w:ascii="Arial" w:hAnsi="Arial" w:cs="Arial"/>
                <w:b/>
                <w:bCs/>
                <w:color w:val="000000"/>
                <w:sz w:val="20"/>
                <w:szCs w:val="20"/>
              </w:rPr>
            </w:pPr>
            <w:r>
              <w:rPr>
                <w:rFonts w:ascii="Arial" w:hAnsi="Arial" w:cs="Arial"/>
                <w:b/>
                <w:bCs/>
                <w:color w:val="000000"/>
                <w:sz w:val="20"/>
                <w:szCs w:val="20"/>
              </w:rPr>
              <w:t>Total</w:t>
            </w:r>
          </w:p>
        </w:tc>
        <w:tc>
          <w:tcPr>
            <w:tcW w:w="1422" w:type="dxa"/>
            <w:tcBorders>
              <w:top w:val="single" w:sz="4" w:space="0" w:color="auto"/>
              <w:bottom w:val="single" w:sz="4" w:space="0" w:color="auto"/>
            </w:tcBorders>
            <w:shd w:val="clear" w:color="auto" w:fill="auto"/>
            <w:noWrap/>
            <w:hideMark/>
          </w:tcPr>
          <w:p>
            <w:pPr>
              <w:jc w:val="right"/>
              <w:rPr>
                <w:rFonts w:ascii="Arial" w:hAnsi="Arial" w:cs="Arial"/>
                <w:b/>
                <w:bCs/>
                <w:color w:val="000000"/>
                <w:sz w:val="20"/>
                <w:szCs w:val="20"/>
              </w:rPr>
            </w:pPr>
            <w:r>
              <w:rPr>
                <w:rFonts w:ascii="Arial" w:hAnsi="Arial" w:cs="Arial"/>
                <w:b/>
                <w:bCs/>
                <w:color w:val="000000"/>
                <w:sz w:val="20"/>
                <w:szCs w:val="20"/>
              </w:rPr>
              <w:t>474</w:t>
            </w:r>
          </w:p>
        </w:tc>
        <w:tc>
          <w:tcPr>
            <w:tcW w:w="1701" w:type="dxa"/>
            <w:tcBorders>
              <w:top w:val="single" w:sz="4" w:space="0" w:color="auto"/>
              <w:bottom w:val="single" w:sz="4" w:space="0" w:color="auto"/>
            </w:tcBorders>
            <w:shd w:val="clear" w:color="auto" w:fill="auto"/>
            <w:noWrap/>
            <w:hideMark/>
          </w:tcPr>
          <w:p>
            <w:pPr>
              <w:jc w:val="right"/>
              <w:rPr>
                <w:rFonts w:ascii="Arial" w:hAnsi="Arial" w:cs="Arial"/>
                <w:b/>
                <w:bCs/>
                <w:color w:val="000000"/>
                <w:sz w:val="20"/>
                <w:szCs w:val="20"/>
              </w:rPr>
            </w:pPr>
            <w:r>
              <w:rPr>
                <w:rFonts w:ascii="Arial" w:hAnsi="Arial" w:cs="Arial"/>
                <w:b/>
                <w:bCs/>
                <w:color w:val="000000"/>
                <w:sz w:val="20"/>
                <w:szCs w:val="20"/>
              </w:rPr>
              <w:t>10,990</w:t>
            </w:r>
          </w:p>
        </w:tc>
        <w:tc>
          <w:tcPr>
            <w:tcW w:w="2694" w:type="dxa"/>
            <w:tcBorders>
              <w:top w:val="single" w:sz="4" w:space="0" w:color="auto"/>
              <w:bottom w:val="single" w:sz="4" w:space="0" w:color="auto"/>
            </w:tcBorders>
            <w:shd w:val="clear" w:color="auto" w:fill="auto"/>
            <w:noWrap/>
            <w:hideMark/>
          </w:tcPr>
          <w:p>
            <w:pPr>
              <w:jc w:val="right"/>
              <w:rPr>
                <w:rFonts w:ascii="Arial" w:hAnsi="Arial" w:cs="Arial"/>
                <w:b/>
                <w:bCs/>
                <w:color w:val="000000"/>
                <w:sz w:val="20"/>
                <w:szCs w:val="20"/>
              </w:rPr>
            </w:pPr>
            <w:r>
              <w:rPr>
                <w:rFonts w:ascii="Arial" w:hAnsi="Arial" w:cs="Arial"/>
                <w:b/>
                <w:bCs/>
                <w:color w:val="000000"/>
                <w:sz w:val="20"/>
                <w:szCs w:val="20"/>
              </w:rPr>
              <w:t>1,130</w:t>
            </w:r>
          </w:p>
        </w:tc>
      </w:tr>
    </w:tbl>
    <w:p>
      <w:pPr>
        <w:pStyle w:val="ListParagraph"/>
        <w:ind w:left="36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Consequently, these RPUs were not included for imposition of realty taxes. Thus, deprived the City of its rightful income to finance its PPAs.</w:t>
      </w:r>
    </w:p>
    <w:p>
      <w:pPr>
        <w:spacing w:line="259" w:lineRule="auto"/>
        <w:ind w:left="900"/>
        <w:contextualSpacing/>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Moreover, the objectives of tax mapping operations particularly on establishing a complete inventory of all real properties and providing a permanent link between real properties and office records such as the assessment roll mentioned in Section 2, Chapter II, MRPAAO, were not fully achieved.  </w:t>
      </w:r>
    </w:p>
    <w:p>
      <w:pPr>
        <w:jc w:val="both"/>
        <w:rPr>
          <w:rFonts w:ascii="Arial" w:hAnsi="Arial" w:cs="Arial"/>
          <w:b/>
          <w:bCs/>
          <w:sz w:val="22"/>
          <w:szCs w:val="22"/>
        </w:rPr>
      </w:pPr>
    </w:p>
    <w:p>
      <w:pPr>
        <w:pStyle w:val="ListParagraph"/>
        <w:numPr>
          <w:ilvl w:val="1"/>
          <w:numId w:val="18"/>
        </w:numPr>
        <w:ind w:hanging="654"/>
        <w:jc w:val="both"/>
        <w:rPr>
          <w:rFonts w:ascii="Arial" w:hAnsi="Arial" w:cs="Arial"/>
          <w:b/>
          <w:bCs/>
          <w:sz w:val="22"/>
          <w:szCs w:val="22"/>
        </w:rPr>
      </w:pPr>
      <w:r>
        <w:rPr>
          <w:rFonts w:ascii="Arial" w:hAnsi="Arial" w:cs="Arial"/>
          <w:b/>
          <w:bCs/>
          <w:color w:val="000000" w:themeColor="text1"/>
          <w:sz w:val="22"/>
          <w:szCs w:val="22"/>
        </w:rPr>
        <w:t>We recommended and the Management agreed that:</w:t>
      </w:r>
    </w:p>
    <w:p>
      <w:pPr>
        <w:pStyle w:val="ListParagraph"/>
        <w:rPr>
          <w:rFonts w:ascii="Arial" w:hAnsi="Arial" w:cs="Arial"/>
          <w:b/>
          <w:bCs/>
          <w:sz w:val="22"/>
          <w:szCs w:val="22"/>
        </w:rPr>
      </w:pPr>
    </w:p>
    <w:p>
      <w:pPr>
        <w:numPr>
          <w:ilvl w:val="2"/>
          <w:numId w:val="21"/>
        </w:numPr>
        <w:tabs>
          <w:tab w:val="left" w:pos="1890"/>
        </w:tabs>
        <w:spacing w:line="259" w:lineRule="auto"/>
        <w:ind w:left="1418"/>
        <w:contextualSpacing/>
        <w:jc w:val="both"/>
        <w:rPr>
          <w:rFonts w:ascii="Arial" w:hAnsi="Arial" w:cs="Arial"/>
          <w:b/>
          <w:bCs/>
          <w:sz w:val="22"/>
          <w:szCs w:val="22"/>
        </w:rPr>
      </w:pPr>
      <w:r>
        <w:rPr>
          <w:rFonts w:ascii="Arial" w:hAnsi="Arial" w:cs="Arial"/>
          <w:b/>
          <w:bCs/>
          <w:sz w:val="22"/>
          <w:szCs w:val="22"/>
        </w:rPr>
        <w:t>The Office of the City Assessor –</w:t>
      </w:r>
    </w:p>
    <w:p>
      <w:pPr>
        <w:tabs>
          <w:tab w:val="left" w:pos="1800"/>
        </w:tabs>
        <w:spacing w:line="259" w:lineRule="auto"/>
        <w:ind w:left="1080"/>
        <w:contextualSpacing/>
        <w:jc w:val="both"/>
        <w:rPr>
          <w:rFonts w:ascii="Arial" w:hAnsi="Arial" w:cs="Arial"/>
          <w:b/>
          <w:bCs/>
          <w:sz w:val="22"/>
          <w:szCs w:val="22"/>
        </w:rPr>
      </w:pPr>
    </w:p>
    <w:p>
      <w:pPr>
        <w:numPr>
          <w:ilvl w:val="3"/>
          <w:numId w:val="22"/>
        </w:numPr>
        <w:tabs>
          <w:tab w:val="left" w:pos="1800"/>
        </w:tabs>
        <w:spacing w:line="259" w:lineRule="auto"/>
        <w:ind w:left="1843"/>
        <w:contextualSpacing/>
        <w:jc w:val="both"/>
        <w:rPr>
          <w:rFonts w:ascii="Arial" w:hAnsi="Arial" w:cs="Arial"/>
          <w:b/>
          <w:bCs/>
          <w:sz w:val="22"/>
          <w:szCs w:val="22"/>
        </w:rPr>
      </w:pPr>
      <w:r>
        <w:rPr>
          <w:rFonts w:ascii="Arial" w:hAnsi="Arial" w:cs="Arial"/>
          <w:b/>
          <w:bCs/>
          <w:sz w:val="22"/>
          <w:szCs w:val="22"/>
        </w:rPr>
        <w:t>Ensure that Assessment Levels and Assessed Values are accurately computed and provided;</w:t>
      </w:r>
    </w:p>
    <w:p>
      <w:pPr>
        <w:tabs>
          <w:tab w:val="left" w:pos="1800"/>
        </w:tabs>
        <w:spacing w:line="259" w:lineRule="auto"/>
        <w:ind w:left="1843"/>
        <w:contextualSpacing/>
        <w:jc w:val="both"/>
        <w:rPr>
          <w:rFonts w:ascii="Arial" w:hAnsi="Arial" w:cs="Arial"/>
          <w:b/>
          <w:bCs/>
          <w:sz w:val="22"/>
          <w:szCs w:val="22"/>
        </w:rPr>
      </w:pPr>
    </w:p>
    <w:p>
      <w:pPr>
        <w:numPr>
          <w:ilvl w:val="3"/>
          <w:numId w:val="22"/>
        </w:numPr>
        <w:tabs>
          <w:tab w:val="left" w:pos="1800"/>
        </w:tabs>
        <w:spacing w:line="259" w:lineRule="auto"/>
        <w:ind w:left="1843"/>
        <w:contextualSpacing/>
        <w:jc w:val="both"/>
        <w:rPr>
          <w:rFonts w:ascii="Arial" w:hAnsi="Arial" w:cs="Arial"/>
          <w:b/>
          <w:bCs/>
          <w:sz w:val="22"/>
          <w:szCs w:val="22"/>
        </w:rPr>
      </w:pPr>
      <w:r>
        <w:rPr>
          <w:rFonts w:ascii="Arial" w:hAnsi="Arial" w:cs="Arial"/>
          <w:b/>
          <w:bCs/>
          <w:sz w:val="22"/>
          <w:szCs w:val="22"/>
        </w:rPr>
        <w:t>Submit to the Auditor’s Office the updated copies of Tax Declaration as proof of corrections/updates made to the 452 RPUs; and</w:t>
      </w:r>
    </w:p>
    <w:p>
      <w:pPr>
        <w:tabs>
          <w:tab w:val="left" w:pos="1800"/>
        </w:tabs>
        <w:spacing w:line="259" w:lineRule="auto"/>
        <w:ind w:left="1843"/>
        <w:contextualSpacing/>
        <w:jc w:val="both"/>
        <w:rPr>
          <w:rFonts w:ascii="Arial" w:hAnsi="Arial" w:cs="Arial"/>
          <w:b/>
          <w:bCs/>
          <w:sz w:val="22"/>
          <w:szCs w:val="22"/>
        </w:rPr>
      </w:pPr>
    </w:p>
    <w:p>
      <w:pPr>
        <w:numPr>
          <w:ilvl w:val="3"/>
          <w:numId w:val="22"/>
        </w:numPr>
        <w:tabs>
          <w:tab w:val="left" w:pos="1800"/>
        </w:tabs>
        <w:spacing w:line="259" w:lineRule="auto"/>
        <w:ind w:left="1843"/>
        <w:contextualSpacing/>
        <w:jc w:val="both"/>
        <w:rPr>
          <w:rFonts w:ascii="Arial" w:hAnsi="Arial" w:cs="Arial"/>
          <w:b/>
          <w:bCs/>
          <w:sz w:val="22"/>
          <w:szCs w:val="22"/>
        </w:rPr>
      </w:pPr>
      <w:r>
        <w:rPr>
          <w:rFonts w:ascii="Arial" w:hAnsi="Arial" w:cs="Arial"/>
          <w:b/>
          <w:bCs/>
          <w:sz w:val="22"/>
          <w:szCs w:val="22"/>
        </w:rPr>
        <w:t>Appraise and assess the RPUs not included in the Assessment Roll and submit copies of tax declaration as proof appraisal and assessment;</w:t>
      </w:r>
    </w:p>
    <w:p>
      <w:pPr>
        <w:tabs>
          <w:tab w:val="left" w:pos="1800"/>
        </w:tabs>
        <w:spacing w:line="259" w:lineRule="auto"/>
        <w:ind w:left="1843"/>
        <w:contextualSpacing/>
        <w:jc w:val="both"/>
        <w:rPr>
          <w:rFonts w:ascii="Arial" w:hAnsi="Arial" w:cs="Arial"/>
          <w:b/>
          <w:bCs/>
          <w:sz w:val="22"/>
          <w:szCs w:val="22"/>
        </w:rPr>
      </w:pPr>
    </w:p>
    <w:p>
      <w:pPr>
        <w:numPr>
          <w:ilvl w:val="3"/>
          <w:numId w:val="22"/>
        </w:numPr>
        <w:tabs>
          <w:tab w:val="left" w:pos="1800"/>
        </w:tabs>
        <w:spacing w:line="259" w:lineRule="auto"/>
        <w:ind w:left="1843"/>
        <w:contextualSpacing/>
        <w:jc w:val="both"/>
        <w:rPr>
          <w:rFonts w:ascii="Arial" w:hAnsi="Arial" w:cs="Arial"/>
          <w:b/>
          <w:bCs/>
          <w:sz w:val="22"/>
          <w:szCs w:val="22"/>
        </w:rPr>
      </w:pPr>
      <w:r>
        <w:rPr>
          <w:rFonts w:ascii="Arial" w:hAnsi="Arial" w:cs="Arial"/>
          <w:b/>
          <w:bCs/>
          <w:sz w:val="22"/>
          <w:szCs w:val="22"/>
        </w:rPr>
        <w:lastRenderedPageBreak/>
        <w:t>Review other tax maps not included in the sample to ensure that RPUs inscribed therein are included in the AR;</w:t>
      </w:r>
    </w:p>
    <w:p>
      <w:pPr>
        <w:pStyle w:val="ListParagraph"/>
        <w:ind w:left="1843"/>
        <w:rPr>
          <w:rFonts w:ascii="Arial" w:hAnsi="Arial" w:cs="Arial"/>
          <w:b/>
          <w:bCs/>
          <w:sz w:val="22"/>
          <w:szCs w:val="22"/>
        </w:rPr>
      </w:pPr>
    </w:p>
    <w:p>
      <w:pPr>
        <w:numPr>
          <w:ilvl w:val="3"/>
          <w:numId w:val="22"/>
        </w:numPr>
        <w:tabs>
          <w:tab w:val="left" w:pos="1800"/>
        </w:tabs>
        <w:spacing w:line="259" w:lineRule="auto"/>
        <w:ind w:left="1843"/>
        <w:contextualSpacing/>
        <w:jc w:val="both"/>
        <w:rPr>
          <w:rFonts w:ascii="Arial" w:hAnsi="Arial" w:cs="Arial"/>
          <w:b/>
          <w:bCs/>
          <w:sz w:val="22"/>
          <w:szCs w:val="22"/>
        </w:rPr>
      </w:pPr>
      <w:r>
        <w:rPr>
          <w:rFonts w:ascii="Arial" w:hAnsi="Arial" w:cs="Arial"/>
          <w:b/>
          <w:bCs/>
          <w:sz w:val="22"/>
          <w:szCs w:val="22"/>
        </w:rPr>
        <w:t>Henceforth, ascertain that RPUs in the tax maps are included in the AR; and</w:t>
      </w:r>
    </w:p>
    <w:p>
      <w:pPr>
        <w:pStyle w:val="ListParagraph"/>
        <w:ind w:left="1843"/>
        <w:jc w:val="both"/>
        <w:rPr>
          <w:rFonts w:ascii="Arial" w:hAnsi="Arial" w:cs="Arial"/>
          <w:b/>
          <w:bCs/>
          <w:sz w:val="22"/>
          <w:szCs w:val="22"/>
        </w:rPr>
      </w:pPr>
    </w:p>
    <w:p>
      <w:pPr>
        <w:numPr>
          <w:ilvl w:val="2"/>
          <w:numId w:val="21"/>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t xml:space="preserve">The CTO charge and collect from taxpayers the amount of </w:t>
      </w:r>
      <w:r>
        <w:rPr>
          <w:rFonts w:ascii="Arial" w:hAnsi="Arial" w:cs="Arial"/>
          <w:b/>
          <w:bCs/>
          <w:color w:val="000000"/>
          <w:sz w:val="22"/>
          <w:szCs w:val="22"/>
        </w:rPr>
        <w:t>P3,336,539.51 that were under imposed in CY 2023 due to erroneous application of the Assessment Level</w:t>
      </w:r>
      <w:r>
        <w:rPr>
          <w:rFonts w:ascii="Arial" w:hAnsi="Arial" w:cs="Arial"/>
          <w:b/>
          <w:bCs/>
          <w:sz w:val="22"/>
          <w:szCs w:val="22"/>
        </w:rPr>
        <w:t>, and henceforth, ensure that correct amount of taxes is imposed/collected.</w:t>
      </w:r>
    </w:p>
    <w:p>
      <w:pPr>
        <w:tabs>
          <w:tab w:val="left" w:pos="360"/>
          <w:tab w:val="left" w:pos="425"/>
        </w:tabs>
        <w:jc w:val="both"/>
        <w:rPr>
          <w:rFonts w:ascii="Arial" w:hAnsi="Arial" w:cs="Arial"/>
          <w:b/>
          <w:bCs/>
          <w:sz w:val="22"/>
          <w:szCs w:val="22"/>
          <w:lang w:val="en-PH"/>
        </w:rPr>
      </w:pPr>
    </w:p>
    <w:p>
      <w:pPr>
        <w:tabs>
          <w:tab w:val="left" w:pos="360"/>
          <w:tab w:val="left" w:pos="425"/>
        </w:tabs>
        <w:jc w:val="both"/>
        <w:rPr>
          <w:rFonts w:ascii="Arial" w:hAnsi="Arial" w:cs="Arial"/>
          <w:sz w:val="22"/>
          <w:szCs w:val="22"/>
          <w:lang w:val="en-PH"/>
        </w:rPr>
      </w:pPr>
      <w:r>
        <w:rPr>
          <w:rFonts w:ascii="Arial" w:hAnsi="Arial" w:cs="Arial"/>
          <w:sz w:val="22"/>
          <w:szCs w:val="22"/>
          <w:lang w:val="en-PH"/>
        </w:rPr>
        <w:t>Management comments/actions:</w:t>
      </w:r>
    </w:p>
    <w:p>
      <w:pPr>
        <w:tabs>
          <w:tab w:val="left" w:pos="360"/>
          <w:tab w:val="left" w:pos="425"/>
        </w:tabs>
        <w:jc w:val="both"/>
        <w:rPr>
          <w:rFonts w:ascii="Arial" w:hAnsi="Arial" w:cs="Arial"/>
          <w:sz w:val="22"/>
          <w:szCs w:val="22"/>
          <w:lang w:val="en-PH"/>
        </w:rPr>
      </w:pPr>
    </w:p>
    <w:p>
      <w:pPr>
        <w:pStyle w:val="ListParagraph"/>
        <w:numPr>
          <w:ilvl w:val="1"/>
          <w:numId w:val="7"/>
        </w:numPr>
        <w:ind w:hanging="630"/>
        <w:jc w:val="both"/>
        <w:rPr>
          <w:rFonts w:ascii="Arial" w:hAnsi="Arial" w:cs="Arial"/>
          <w:bCs/>
          <w:sz w:val="22"/>
          <w:szCs w:val="22"/>
        </w:rPr>
      </w:pPr>
      <w:r>
        <w:rPr>
          <w:rFonts w:ascii="Arial" w:hAnsi="Arial" w:cs="Arial"/>
          <w:bCs/>
          <w:sz w:val="22"/>
          <w:szCs w:val="22"/>
        </w:rPr>
        <w:t xml:space="preserve">The Department of Assessment (DOA) was able to identify 1,613 RPUs </w:t>
      </w:r>
      <w:r>
        <w:rPr>
          <w:rFonts w:ascii="Arial" w:hAnsi="Arial" w:cs="Arial"/>
          <w:bCs/>
          <w:sz w:val="22"/>
          <w:szCs w:val="22"/>
        </w:rPr>
        <w:br/>
        <w:t xml:space="preserve">(441 land, 1008 improvement, 164 machinery), out of which 380 RPUs were corrected. Tax mapping division is presently reviewing the 1,130 PINs or RPUs. </w:t>
      </w:r>
    </w:p>
    <w:p>
      <w:pPr>
        <w:pStyle w:val="ListParagraph"/>
        <w:ind w:left="1080"/>
        <w:jc w:val="both"/>
        <w:rPr>
          <w:rFonts w:ascii="Arial" w:hAnsi="Arial" w:cs="Arial"/>
          <w:bCs/>
          <w:sz w:val="22"/>
          <w:szCs w:val="22"/>
        </w:rPr>
      </w:pPr>
    </w:p>
    <w:p>
      <w:pPr>
        <w:pStyle w:val="ListParagraph"/>
        <w:numPr>
          <w:ilvl w:val="1"/>
          <w:numId w:val="7"/>
        </w:numPr>
        <w:ind w:hanging="630"/>
        <w:jc w:val="both"/>
        <w:rPr>
          <w:rFonts w:ascii="Arial" w:hAnsi="Arial" w:cs="Arial"/>
          <w:bCs/>
          <w:sz w:val="22"/>
          <w:szCs w:val="22"/>
        </w:rPr>
      </w:pPr>
      <w:r>
        <w:rPr>
          <w:rFonts w:ascii="Arial" w:hAnsi="Arial" w:cs="Arial"/>
          <w:bCs/>
          <w:sz w:val="22"/>
          <w:szCs w:val="22"/>
        </w:rPr>
        <w:t>Some of these RPUs were verified to be mother PINs which were already cancelled due to segregation of the land property.</w:t>
      </w:r>
      <w:r>
        <w:rPr>
          <w:rFonts w:asciiTheme="minorHAnsi" w:hAnsiTheme="minorHAnsi" w:cstheme="minorHAnsi"/>
          <w:bCs/>
          <w:sz w:val="22"/>
          <w:szCs w:val="22"/>
        </w:rPr>
        <w:t xml:space="preserve"> </w:t>
      </w:r>
      <w:r>
        <w:rPr>
          <w:rFonts w:ascii="Arial" w:hAnsi="Arial" w:cs="Arial"/>
          <w:bCs/>
          <w:sz w:val="22"/>
          <w:szCs w:val="22"/>
        </w:rPr>
        <w:t>A traceback of available records is presently being conducted to identify whether these RPUs were omitted during the preparation of the General Revision 2014.</w:t>
      </w:r>
    </w:p>
    <w:p>
      <w:pPr>
        <w:pStyle w:val="ListParagraph"/>
        <w:ind w:left="1080"/>
        <w:jc w:val="both"/>
        <w:rPr>
          <w:rFonts w:asciiTheme="minorHAnsi" w:hAnsiTheme="minorHAnsi" w:cstheme="minorHAnsi"/>
          <w:bCs/>
          <w:sz w:val="22"/>
          <w:szCs w:val="22"/>
        </w:rPr>
      </w:pPr>
    </w:p>
    <w:p>
      <w:pPr>
        <w:pStyle w:val="ListParagraph"/>
        <w:numPr>
          <w:ilvl w:val="1"/>
          <w:numId w:val="7"/>
        </w:numPr>
        <w:ind w:hanging="630"/>
        <w:jc w:val="both"/>
        <w:rPr>
          <w:rFonts w:ascii="Arial" w:hAnsi="Arial" w:cs="Arial"/>
          <w:bCs/>
          <w:sz w:val="22"/>
          <w:szCs w:val="22"/>
        </w:rPr>
      </w:pPr>
      <w:r>
        <w:rPr>
          <w:rFonts w:ascii="Arial" w:hAnsi="Arial" w:cs="Arial"/>
          <w:bCs/>
          <w:sz w:val="22"/>
          <w:szCs w:val="22"/>
          <w:lang w:val="en-GB"/>
        </w:rPr>
        <w:t>The CTO shall collect the RPT due that correspond to the erroneous application of assessment level by the DOA once adjustments are made on the assessment level and assessed values.</w:t>
      </w:r>
    </w:p>
    <w:p>
      <w:pPr>
        <w:tabs>
          <w:tab w:val="left" w:pos="360"/>
          <w:tab w:val="left" w:pos="425"/>
        </w:tabs>
        <w:jc w:val="both"/>
        <w:rPr>
          <w:rFonts w:ascii="Arial" w:hAnsi="Arial" w:cs="Arial"/>
          <w:b/>
          <w:bCs/>
          <w:sz w:val="22"/>
          <w:szCs w:val="22"/>
          <w:lang w:val="en-PH"/>
        </w:rPr>
      </w:pPr>
    </w:p>
    <w:p>
      <w:pPr>
        <w:tabs>
          <w:tab w:val="left" w:pos="360"/>
          <w:tab w:val="left" w:pos="425"/>
        </w:tabs>
        <w:jc w:val="both"/>
        <w:rPr>
          <w:rFonts w:ascii="Arial" w:hAnsi="Arial" w:cs="Arial"/>
          <w:b/>
          <w:bCs/>
          <w:sz w:val="22"/>
          <w:szCs w:val="22"/>
          <w:lang w:val="en-PH"/>
        </w:rPr>
      </w:pPr>
    </w:p>
    <w:bookmarkEnd w:id="0"/>
    <w:p>
      <w:pPr>
        <w:pStyle w:val="NoSpacing"/>
        <w:numPr>
          <w:ilvl w:val="0"/>
          <w:numId w:val="7"/>
        </w:numPr>
        <w:ind w:left="450" w:hanging="450"/>
        <w:jc w:val="both"/>
        <w:rPr>
          <w:b/>
          <w:sz w:val="22"/>
          <w:u w:val="none"/>
        </w:rPr>
      </w:pPr>
      <w:r>
        <w:rPr>
          <w:b/>
          <w:sz w:val="22"/>
          <w:u w:val="none"/>
        </w:rPr>
        <w:t xml:space="preserve">Out of 222 Gender and Development (GAD) PPAs, 22 were unimplemented and </w:t>
      </w:r>
      <w:r>
        <w:rPr>
          <w:b/>
          <w:sz w:val="22"/>
          <w:u w:val="none"/>
        </w:rPr>
        <w:br/>
        <w:t>84 were not reported in the GAD Accomplishment Report (AR) or have no status contrary to RA No. 9710. Thus, the City’s objective of ensuring awareness and sustaining support for gender and development, women’s empowerment and response to gender issues were not fully realized.</w:t>
      </w:r>
    </w:p>
    <w:p>
      <w:pPr>
        <w:jc w:val="both"/>
        <w:rPr>
          <w:b/>
          <w:bCs/>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We audited GAD programs implemented by the City in CY 2023 with an objective to determine compliance with the RA No. 9710 and </w:t>
      </w:r>
      <w:r>
        <w:rPr>
          <w:rFonts w:ascii="Arial" w:hAnsi="Arial" w:cs="Arial"/>
          <w:bCs/>
          <w:sz w:val="22"/>
        </w:rPr>
        <w:t>Philippine Commission on Women (PCW), Department of Interior and Local Government (DILG), Department of Budget and Management (DBM) and National Economic Development Authority (NEDA) Joint Memorandum Circular (JMC) No. 2013-01</w:t>
      </w:r>
      <w:r>
        <w:rPr>
          <w:rFonts w:ascii="Arial" w:hAnsi="Arial" w:cs="Arial"/>
          <w:bCs/>
          <w:sz w:val="22"/>
          <w:szCs w:val="22"/>
        </w:rPr>
        <w:t>.</w:t>
      </w:r>
      <w:r>
        <w:rPr>
          <w:rFonts w:ascii="Arial" w:hAnsi="Arial" w:cs="Arial"/>
          <w:sz w:val="22"/>
          <w:szCs w:val="22"/>
        </w:rPr>
        <w:t xml:space="preserve"> Our audit procedures include, among others, review of the budget and accomplishment report, examination of documents, inquiry and validation of transactions on PPAs deliveries. </w:t>
      </w:r>
    </w:p>
    <w:p>
      <w:pPr>
        <w:jc w:val="both"/>
        <w:rPr>
          <w:rFonts w:ascii="Arial" w:hAnsi="Arial" w:cs="Arial"/>
          <w:b/>
          <w:bCs/>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Item C.8 of PCW-DILG-DBM-NEDA JMC No. 2013-01 dated July 18, 2013, or the Guidelines on the Localization of the Magna Carta of Women, provides the guidelines on the preparation and submission of LGU GAD Accomplishment Reports (AR), such as:</w:t>
      </w:r>
    </w:p>
    <w:p>
      <w:pPr>
        <w:jc w:val="both"/>
        <w:rPr>
          <w:rFonts w:ascii="Arial" w:hAnsi="Arial" w:cs="Arial"/>
          <w:sz w:val="22"/>
          <w:szCs w:val="22"/>
        </w:rPr>
      </w:pPr>
    </w:p>
    <w:p>
      <w:pPr>
        <w:ind w:left="1440" w:right="720"/>
        <w:jc w:val="both"/>
        <w:rPr>
          <w:rFonts w:ascii="Arial" w:hAnsi="Arial" w:cs="Arial"/>
          <w:sz w:val="22"/>
          <w:szCs w:val="22"/>
        </w:rPr>
      </w:pPr>
      <w:r>
        <w:rPr>
          <w:rFonts w:ascii="Arial" w:hAnsi="Arial" w:cs="Arial"/>
          <w:sz w:val="22"/>
          <w:szCs w:val="22"/>
        </w:rPr>
        <w:t xml:space="preserve">(1) The GAD Focal Point System (GFPS) shall prepare their annual GAD AR based on the DILG-approved GPB or the enacted GPB </w:t>
      </w:r>
      <w:r>
        <w:rPr>
          <w:rFonts w:ascii="Arial" w:hAnsi="Arial" w:cs="Arial"/>
          <w:sz w:val="22"/>
          <w:szCs w:val="22"/>
        </w:rPr>
        <w:lastRenderedPageBreak/>
        <w:t>following the form prescribed in Annex E. Activities completed until the end of the year may be included in the final LGU GAD AR.</w:t>
      </w:r>
    </w:p>
    <w:p>
      <w:pPr>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Section 4.1.C.7.4 of the same JMC also provides that the GFPS shall regularly monitor if the GAD budget is utilized for its intended purpose and to verify the actual cost of implementing GAD activities.</w:t>
      </w:r>
    </w:p>
    <w:p>
      <w:pPr>
        <w:jc w:val="both"/>
      </w:pPr>
    </w:p>
    <w:p>
      <w:pPr>
        <w:pStyle w:val="ListParagraph"/>
        <w:numPr>
          <w:ilvl w:val="1"/>
          <w:numId w:val="7"/>
        </w:numPr>
        <w:ind w:hanging="630"/>
        <w:jc w:val="both"/>
        <w:rPr>
          <w:rFonts w:ascii="Arial" w:hAnsi="Arial" w:cs="Arial"/>
          <w:sz w:val="22"/>
          <w:szCs w:val="22"/>
        </w:rPr>
      </w:pPr>
      <w:r>
        <w:rPr>
          <w:rFonts w:ascii="Arial" w:hAnsi="Arial" w:cs="Arial"/>
          <w:sz w:val="22"/>
          <w:szCs w:val="22"/>
        </w:rPr>
        <w:t>Further, Section 6.1 of PCW-DILG-DBM-NEDA Joint Circular No. 2016-01 amending Section 4.1.C.7.1 of PCW-DILG-DBM-NEDA Joint Circular No. 2013-01 states that the Local Chief Executive (LCE) shall issue an appropriate policy directive, copy furnished the DILG Office that conducted the review of the LGU GAD Plan and Budget (GPB), to disseminate and implement GPB.</w:t>
      </w:r>
    </w:p>
    <w:p>
      <w:pPr>
        <w:pStyle w:val="ListParagraph"/>
        <w:ind w:left="108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Review of the GPB for CY 2023 submitted to the Office of the City Auditor showed that the City is compliant under the Magna Carta of Women, wherein the GAD Fund shall be at least five percent (5%) of the agency’s total budget appropriations. The City allocated P1,355,026,860.09 for GAD fund, or </w:t>
      </w:r>
      <w:r>
        <w:rPr>
          <w:rFonts w:ascii="Arial" w:hAnsi="Arial" w:cs="Arial"/>
          <w:sz w:val="22"/>
          <w:szCs w:val="22"/>
        </w:rPr>
        <w:br/>
        <w:t>6.10 percent of the total appropriation of P22.200 billion for CY 2023. Details are presented in Table 10:</w:t>
      </w:r>
    </w:p>
    <w:p>
      <w:pPr>
        <w:jc w:val="both"/>
      </w:pPr>
    </w:p>
    <w:p>
      <w:pPr>
        <w:ind w:left="284"/>
        <w:jc w:val="center"/>
        <w:rPr>
          <w:rFonts w:ascii="Arial" w:hAnsi="Arial" w:cs="Arial"/>
          <w:sz w:val="20"/>
          <w:szCs w:val="20"/>
        </w:rPr>
      </w:pPr>
      <w:r>
        <w:rPr>
          <w:rFonts w:ascii="Arial" w:hAnsi="Arial" w:cs="Arial"/>
          <w:sz w:val="20"/>
          <w:szCs w:val="20"/>
        </w:rPr>
        <w:t>Table 10-GAD Plan and Budget</w:t>
      </w:r>
    </w:p>
    <w:tbl>
      <w:tblPr>
        <w:tblW w:w="9011" w:type="dxa"/>
        <w:tblInd w:w="279" w:type="dxa"/>
        <w:tblLook w:val="04A0" w:firstRow="1" w:lastRow="0" w:firstColumn="1" w:lastColumn="0" w:noHBand="0" w:noVBand="1"/>
      </w:tblPr>
      <w:tblGrid>
        <w:gridCol w:w="2416"/>
        <w:gridCol w:w="1800"/>
        <w:gridCol w:w="1496"/>
        <w:gridCol w:w="1639"/>
        <w:gridCol w:w="8"/>
        <w:gridCol w:w="1877"/>
      </w:tblGrid>
      <w:tr>
        <w:trPr>
          <w:trHeight w:val="20"/>
        </w:trPr>
        <w:tc>
          <w:tcPr>
            <w:tcW w:w="2416" w:type="dxa"/>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Particulars</w:t>
            </w:r>
          </w:p>
        </w:tc>
        <w:tc>
          <w:tcPr>
            <w:tcW w:w="1800" w:type="dxa"/>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MOOE</w:t>
            </w:r>
          </w:p>
        </w:tc>
        <w:tc>
          <w:tcPr>
            <w:tcW w:w="1425" w:type="dxa"/>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PS</w:t>
            </w:r>
          </w:p>
        </w:tc>
        <w:tc>
          <w:tcPr>
            <w:tcW w:w="1639" w:type="dxa"/>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CO</w:t>
            </w:r>
          </w:p>
        </w:tc>
        <w:tc>
          <w:tcPr>
            <w:tcW w:w="1723" w:type="dxa"/>
            <w:gridSpan w:val="2"/>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Total</w:t>
            </w:r>
          </w:p>
        </w:tc>
      </w:tr>
      <w:tr>
        <w:trPr>
          <w:trHeight w:val="20"/>
        </w:trPr>
        <w:tc>
          <w:tcPr>
            <w:tcW w:w="2416" w:type="dxa"/>
            <w:tcBorders>
              <w:top w:val="single" w:sz="4" w:space="0" w:color="auto"/>
            </w:tcBorders>
            <w:shd w:val="clear" w:color="auto" w:fill="auto"/>
            <w:noWrap/>
            <w:vAlign w:val="bottom"/>
          </w:tcPr>
          <w:p>
            <w:pPr>
              <w:rPr>
                <w:rFonts w:ascii="Arial" w:hAnsi="Arial" w:cs="Arial"/>
                <w:color w:val="000000"/>
                <w:sz w:val="20"/>
                <w:szCs w:val="20"/>
                <w:lang w:eastAsia="en-PH"/>
              </w:rPr>
            </w:pPr>
            <w:r>
              <w:rPr>
                <w:rFonts w:ascii="Arial" w:hAnsi="Arial" w:cs="Arial"/>
                <w:color w:val="000000"/>
                <w:sz w:val="20"/>
                <w:szCs w:val="20"/>
                <w:lang w:eastAsia="en-PH"/>
              </w:rPr>
              <w:t>Client-focused</w:t>
            </w:r>
          </w:p>
        </w:tc>
        <w:tc>
          <w:tcPr>
            <w:tcW w:w="1800" w:type="dxa"/>
            <w:tcBorders>
              <w:top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1,252,759,201.04</w:t>
            </w:r>
          </w:p>
        </w:tc>
        <w:tc>
          <w:tcPr>
            <w:tcW w:w="1425" w:type="dxa"/>
            <w:tcBorders>
              <w:top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1,462,185.00</w:t>
            </w:r>
          </w:p>
        </w:tc>
        <w:tc>
          <w:tcPr>
            <w:tcW w:w="1639" w:type="dxa"/>
            <w:tcBorders>
              <w:top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30,608,413.26</w:t>
            </w:r>
          </w:p>
        </w:tc>
        <w:tc>
          <w:tcPr>
            <w:tcW w:w="1723" w:type="dxa"/>
            <w:gridSpan w:val="2"/>
            <w:tcBorders>
              <w:top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1,284,829,799.30</w:t>
            </w:r>
          </w:p>
        </w:tc>
      </w:tr>
      <w:tr>
        <w:trPr>
          <w:trHeight w:val="20"/>
        </w:trPr>
        <w:tc>
          <w:tcPr>
            <w:tcW w:w="2416" w:type="dxa"/>
            <w:tcBorders>
              <w:bottom w:val="single" w:sz="4" w:space="0" w:color="auto"/>
            </w:tcBorders>
            <w:shd w:val="clear" w:color="auto" w:fill="auto"/>
            <w:noWrap/>
            <w:vAlign w:val="bottom"/>
          </w:tcPr>
          <w:p>
            <w:pPr>
              <w:rPr>
                <w:rFonts w:ascii="Arial" w:hAnsi="Arial" w:cs="Arial"/>
                <w:color w:val="000000"/>
                <w:sz w:val="20"/>
                <w:szCs w:val="20"/>
                <w:lang w:eastAsia="en-PH"/>
              </w:rPr>
            </w:pPr>
            <w:r>
              <w:rPr>
                <w:rFonts w:ascii="Arial" w:hAnsi="Arial" w:cs="Arial"/>
                <w:color w:val="000000"/>
                <w:sz w:val="20"/>
                <w:szCs w:val="20"/>
                <w:lang w:eastAsia="en-PH"/>
              </w:rPr>
              <w:t>Organization-focused</w:t>
            </w:r>
          </w:p>
        </w:tc>
        <w:tc>
          <w:tcPr>
            <w:tcW w:w="1800" w:type="dxa"/>
            <w:tcBorders>
              <w:bottom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58,036,697.89</w:t>
            </w:r>
          </w:p>
        </w:tc>
        <w:tc>
          <w:tcPr>
            <w:tcW w:w="1425" w:type="dxa"/>
            <w:tcBorders>
              <w:bottom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12,010,362.90</w:t>
            </w:r>
          </w:p>
        </w:tc>
        <w:tc>
          <w:tcPr>
            <w:tcW w:w="1639" w:type="dxa"/>
            <w:tcBorders>
              <w:bottom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150,000.00</w:t>
            </w:r>
          </w:p>
        </w:tc>
        <w:tc>
          <w:tcPr>
            <w:tcW w:w="1723" w:type="dxa"/>
            <w:gridSpan w:val="2"/>
            <w:tcBorders>
              <w:bottom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70,197,060.79</w:t>
            </w:r>
          </w:p>
        </w:tc>
      </w:tr>
      <w:tr>
        <w:trPr>
          <w:trHeight w:val="20"/>
        </w:trPr>
        <w:tc>
          <w:tcPr>
            <w:tcW w:w="2416" w:type="dxa"/>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Total</w:t>
            </w:r>
          </w:p>
        </w:tc>
        <w:tc>
          <w:tcPr>
            <w:tcW w:w="1800" w:type="dxa"/>
            <w:tcBorders>
              <w:top w:val="single" w:sz="4" w:space="0" w:color="auto"/>
              <w:bottom w:val="single" w:sz="4" w:space="0" w:color="auto"/>
            </w:tcBorders>
            <w:shd w:val="clear" w:color="auto" w:fill="auto"/>
            <w:noWrap/>
          </w:tcPr>
          <w:p>
            <w:pPr>
              <w:jc w:val="right"/>
              <w:rPr>
                <w:rFonts w:ascii="Arial" w:hAnsi="Arial" w:cs="Arial"/>
                <w:b/>
                <w:bCs/>
                <w:color w:val="000000"/>
                <w:sz w:val="20"/>
                <w:szCs w:val="20"/>
                <w:lang w:eastAsia="en-PH"/>
              </w:rPr>
            </w:pPr>
            <w:r>
              <w:rPr>
                <w:rFonts w:ascii="Arial" w:hAnsi="Arial" w:cs="Arial"/>
                <w:b/>
                <w:bCs/>
                <w:color w:val="000000"/>
                <w:sz w:val="20"/>
                <w:szCs w:val="20"/>
                <w:lang w:eastAsia="en-PH"/>
              </w:rPr>
              <w:t>1,310,795,898.93</w:t>
            </w:r>
          </w:p>
        </w:tc>
        <w:tc>
          <w:tcPr>
            <w:tcW w:w="1425" w:type="dxa"/>
            <w:tcBorders>
              <w:top w:val="single" w:sz="4" w:space="0" w:color="auto"/>
              <w:bottom w:val="single" w:sz="4" w:space="0" w:color="auto"/>
            </w:tcBorders>
            <w:shd w:val="clear" w:color="auto" w:fill="auto"/>
            <w:noWrap/>
          </w:tcPr>
          <w:p>
            <w:pPr>
              <w:jc w:val="right"/>
              <w:rPr>
                <w:rFonts w:ascii="Arial" w:hAnsi="Arial" w:cs="Arial"/>
                <w:b/>
                <w:bCs/>
                <w:color w:val="000000"/>
                <w:sz w:val="20"/>
                <w:szCs w:val="20"/>
                <w:lang w:eastAsia="en-PH"/>
              </w:rPr>
            </w:pPr>
            <w:r>
              <w:rPr>
                <w:rFonts w:ascii="Arial" w:hAnsi="Arial" w:cs="Arial"/>
                <w:b/>
                <w:bCs/>
                <w:color w:val="000000"/>
                <w:sz w:val="20"/>
                <w:szCs w:val="20"/>
                <w:lang w:eastAsia="en-PH"/>
              </w:rPr>
              <w:t>13,472,547.90</w:t>
            </w:r>
          </w:p>
        </w:tc>
        <w:tc>
          <w:tcPr>
            <w:tcW w:w="1639" w:type="dxa"/>
            <w:tcBorders>
              <w:top w:val="single" w:sz="4" w:space="0" w:color="auto"/>
              <w:bottom w:val="single" w:sz="4" w:space="0" w:color="auto"/>
            </w:tcBorders>
            <w:shd w:val="clear" w:color="auto" w:fill="auto"/>
            <w:noWrap/>
          </w:tcPr>
          <w:p>
            <w:pPr>
              <w:jc w:val="right"/>
              <w:rPr>
                <w:rFonts w:ascii="Arial" w:hAnsi="Arial" w:cs="Arial"/>
                <w:b/>
                <w:bCs/>
                <w:color w:val="000000"/>
                <w:sz w:val="20"/>
                <w:szCs w:val="20"/>
                <w:lang w:eastAsia="en-PH"/>
              </w:rPr>
            </w:pPr>
            <w:r>
              <w:rPr>
                <w:rFonts w:ascii="Arial" w:hAnsi="Arial" w:cs="Arial"/>
                <w:b/>
                <w:bCs/>
                <w:color w:val="000000"/>
                <w:sz w:val="20"/>
                <w:szCs w:val="20"/>
                <w:lang w:eastAsia="en-PH"/>
              </w:rPr>
              <w:t>30,758,413.26</w:t>
            </w:r>
          </w:p>
        </w:tc>
        <w:tc>
          <w:tcPr>
            <w:tcW w:w="1723" w:type="dxa"/>
            <w:gridSpan w:val="2"/>
            <w:tcBorders>
              <w:top w:val="single" w:sz="4" w:space="0" w:color="auto"/>
              <w:bottom w:val="single" w:sz="4" w:space="0" w:color="auto"/>
            </w:tcBorders>
            <w:shd w:val="clear" w:color="auto" w:fill="auto"/>
            <w:noWrap/>
          </w:tcPr>
          <w:p>
            <w:pPr>
              <w:jc w:val="right"/>
              <w:rPr>
                <w:rFonts w:ascii="Arial" w:hAnsi="Arial" w:cs="Arial"/>
                <w:b/>
                <w:bCs/>
                <w:color w:val="000000"/>
                <w:sz w:val="20"/>
                <w:szCs w:val="20"/>
                <w:lang w:eastAsia="en-PH"/>
              </w:rPr>
            </w:pPr>
            <w:r>
              <w:rPr>
                <w:rFonts w:ascii="Arial" w:hAnsi="Arial" w:cs="Arial"/>
                <w:b/>
                <w:bCs/>
                <w:color w:val="000000"/>
                <w:sz w:val="20"/>
                <w:szCs w:val="20"/>
                <w:lang w:eastAsia="en-PH"/>
              </w:rPr>
              <w:t>1,355,026,860.09</w:t>
            </w:r>
          </w:p>
        </w:tc>
      </w:tr>
      <w:tr>
        <w:trPr>
          <w:trHeight w:val="20"/>
        </w:trPr>
        <w:tc>
          <w:tcPr>
            <w:tcW w:w="2416" w:type="dxa"/>
            <w:tcBorders>
              <w:top w:val="single" w:sz="4" w:space="0" w:color="auto"/>
              <w:bottom w:val="single" w:sz="4" w:space="0" w:color="auto"/>
            </w:tcBorders>
            <w:shd w:val="clear" w:color="auto" w:fill="auto"/>
            <w:noWrap/>
            <w:vAlign w:val="bottom"/>
          </w:tcPr>
          <w:p>
            <w:pPr>
              <w:rPr>
                <w:rFonts w:ascii="Arial" w:hAnsi="Arial" w:cs="Arial"/>
                <w:color w:val="000000"/>
                <w:sz w:val="20"/>
                <w:szCs w:val="20"/>
                <w:lang w:eastAsia="en-PH"/>
              </w:rPr>
            </w:pPr>
            <w:r>
              <w:rPr>
                <w:rFonts w:ascii="Arial" w:hAnsi="Arial" w:cs="Arial"/>
                <w:color w:val="000000"/>
                <w:sz w:val="20"/>
                <w:szCs w:val="20"/>
                <w:lang w:eastAsia="en-PH"/>
              </w:rPr>
              <w:t>CY 2023 Total Budget</w:t>
            </w:r>
          </w:p>
        </w:tc>
        <w:tc>
          <w:tcPr>
            <w:tcW w:w="1800" w:type="dxa"/>
            <w:tcBorders>
              <w:top w:val="single" w:sz="4" w:space="0" w:color="auto"/>
              <w:bottom w:val="single" w:sz="4" w:space="0" w:color="auto"/>
            </w:tcBorders>
            <w:shd w:val="clear" w:color="auto" w:fill="auto"/>
            <w:noWrap/>
          </w:tcPr>
          <w:p>
            <w:pPr>
              <w:jc w:val="right"/>
              <w:rPr>
                <w:rFonts w:ascii="Arial" w:hAnsi="Arial" w:cs="Arial"/>
                <w:color w:val="000000"/>
                <w:sz w:val="20"/>
                <w:szCs w:val="20"/>
                <w:lang w:eastAsia="en-PH"/>
              </w:rPr>
            </w:pPr>
          </w:p>
        </w:tc>
        <w:tc>
          <w:tcPr>
            <w:tcW w:w="1425" w:type="dxa"/>
            <w:tcBorders>
              <w:top w:val="single" w:sz="4" w:space="0" w:color="auto"/>
              <w:bottom w:val="single" w:sz="4" w:space="0" w:color="auto"/>
            </w:tcBorders>
            <w:shd w:val="clear" w:color="auto" w:fill="auto"/>
            <w:noWrap/>
          </w:tcPr>
          <w:p>
            <w:pPr>
              <w:jc w:val="right"/>
              <w:rPr>
                <w:rFonts w:ascii="Arial" w:hAnsi="Arial" w:cs="Arial"/>
                <w:color w:val="000000"/>
                <w:sz w:val="20"/>
                <w:szCs w:val="20"/>
                <w:lang w:eastAsia="en-PH"/>
              </w:rPr>
            </w:pPr>
          </w:p>
        </w:tc>
        <w:tc>
          <w:tcPr>
            <w:tcW w:w="1639" w:type="dxa"/>
            <w:tcBorders>
              <w:top w:val="single" w:sz="4" w:space="0" w:color="auto"/>
              <w:bottom w:val="single" w:sz="4" w:space="0" w:color="auto"/>
            </w:tcBorders>
            <w:shd w:val="clear" w:color="auto" w:fill="auto"/>
            <w:noWrap/>
          </w:tcPr>
          <w:p>
            <w:pPr>
              <w:jc w:val="right"/>
              <w:rPr>
                <w:rFonts w:ascii="Arial" w:hAnsi="Arial" w:cs="Arial"/>
                <w:color w:val="000000"/>
                <w:sz w:val="20"/>
                <w:szCs w:val="20"/>
                <w:lang w:eastAsia="en-PH"/>
              </w:rPr>
            </w:pPr>
          </w:p>
        </w:tc>
        <w:tc>
          <w:tcPr>
            <w:tcW w:w="1723" w:type="dxa"/>
            <w:gridSpan w:val="2"/>
            <w:tcBorders>
              <w:top w:val="single" w:sz="4" w:space="0" w:color="auto"/>
              <w:bottom w:val="single" w:sz="4" w:space="0" w:color="auto"/>
            </w:tcBorders>
            <w:shd w:val="clear" w:color="auto" w:fill="auto"/>
            <w:noWrap/>
          </w:tcPr>
          <w:p>
            <w:pPr>
              <w:jc w:val="right"/>
              <w:rPr>
                <w:rFonts w:ascii="Arial" w:hAnsi="Arial" w:cs="Arial"/>
                <w:color w:val="000000"/>
                <w:sz w:val="20"/>
                <w:szCs w:val="20"/>
                <w:lang w:eastAsia="en-PH"/>
              </w:rPr>
            </w:pPr>
            <w:r>
              <w:rPr>
                <w:rFonts w:ascii="Arial" w:hAnsi="Arial" w:cs="Arial"/>
                <w:color w:val="000000"/>
                <w:sz w:val="20"/>
                <w:szCs w:val="20"/>
                <w:lang w:eastAsia="en-PH"/>
              </w:rPr>
              <w:t>22,200,000,000.00</w:t>
            </w:r>
          </w:p>
        </w:tc>
      </w:tr>
      <w:tr>
        <w:trPr>
          <w:trHeight w:val="20"/>
        </w:trPr>
        <w:tc>
          <w:tcPr>
            <w:tcW w:w="7288" w:type="dxa"/>
            <w:gridSpan w:val="5"/>
            <w:tcBorders>
              <w:top w:val="single" w:sz="4" w:space="0" w:color="auto"/>
              <w:bottom w:val="single" w:sz="4" w:space="0" w:color="auto"/>
            </w:tcBorders>
            <w:shd w:val="clear" w:color="auto" w:fill="auto"/>
            <w:noWrap/>
            <w:vAlign w:val="bottom"/>
          </w:tcPr>
          <w:p>
            <w:pPr>
              <w:jc w:val="center"/>
              <w:rPr>
                <w:rFonts w:ascii="Arial" w:hAnsi="Arial" w:cs="Arial"/>
                <w:b/>
                <w:bCs/>
                <w:color w:val="000000"/>
                <w:sz w:val="20"/>
                <w:szCs w:val="20"/>
                <w:lang w:eastAsia="en-PH"/>
              </w:rPr>
            </w:pPr>
            <w:r>
              <w:rPr>
                <w:rFonts w:ascii="Arial" w:hAnsi="Arial" w:cs="Arial"/>
                <w:b/>
                <w:bCs/>
                <w:color w:val="000000"/>
                <w:sz w:val="20"/>
                <w:szCs w:val="20"/>
                <w:lang w:eastAsia="en-PH"/>
              </w:rPr>
              <w:t>Percentage of the GAD Fund from the total budget</w:t>
            </w:r>
          </w:p>
        </w:tc>
        <w:tc>
          <w:tcPr>
            <w:tcW w:w="1723" w:type="dxa"/>
            <w:tcBorders>
              <w:top w:val="single" w:sz="4" w:space="0" w:color="auto"/>
              <w:bottom w:val="single" w:sz="4" w:space="0" w:color="auto"/>
            </w:tcBorders>
            <w:shd w:val="clear" w:color="auto" w:fill="auto"/>
            <w:noWrap/>
          </w:tcPr>
          <w:p>
            <w:pPr>
              <w:jc w:val="right"/>
              <w:rPr>
                <w:rFonts w:ascii="Arial" w:hAnsi="Arial" w:cs="Arial"/>
                <w:b/>
                <w:bCs/>
                <w:color w:val="000000"/>
                <w:sz w:val="20"/>
                <w:szCs w:val="20"/>
                <w:lang w:eastAsia="en-PH"/>
              </w:rPr>
            </w:pPr>
            <w:r>
              <w:rPr>
                <w:rFonts w:ascii="Arial" w:hAnsi="Arial" w:cs="Arial"/>
                <w:b/>
                <w:bCs/>
                <w:color w:val="000000"/>
                <w:sz w:val="20"/>
                <w:szCs w:val="20"/>
                <w:lang w:eastAsia="en-PH"/>
              </w:rPr>
              <w:t>6.10</w:t>
            </w:r>
          </w:p>
        </w:tc>
      </w:tr>
    </w:tbl>
    <w:p>
      <w:pPr>
        <w:jc w:val="both"/>
      </w:pPr>
    </w:p>
    <w:p>
      <w:pPr>
        <w:pStyle w:val="ListParagraph"/>
        <w:numPr>
          <w:ilvl w:val="1"/>
          <w:numId w:val="7"/>
        </w:numPr>
        <w:ind w:hanging="630"/>
        <w:jc w:val="both"/>
        <w:rPr>
          <w:rFonts w:ascii="Arial" w:hAnsi="Arial" w:cs="Arial"/>
          <w:sz w:val="22"/>
          <w:szCs w:val="22"/>
        </w:rPr>
      </w:pPr>
      <w:r>
        <w:rPr>
          <w:rFonts w:ascii="Arial" w:hAnsi="Arial" w:cs="Arial"/>
          <w:sz w:val="22"/>
          <w:szCs w:val="22"/>
        </w:rPr>
        <w:t>Validation of the GAD AR</w:t>
      </w:r>
      <w:r>
        <w:rPr>
          <w:rFonts w:ascii="Arial" w:hAnsi="Arial" w:cs="Arial"/>
          <w:sz w:val="22"/>
          <w:szCs w:val="22"/>
          <w:vertAlign w:val="superscript"/>
        </w:rPr>
        <w:footnoteReference w:id="8"/>
      </w:r>
      <w:r>
        <w:rPr>
          <w:rFonts w:ascii="Arial" w:hAnsi="Arial" w:cs="Arial"/>
          <w:sz w:val="22"/>
          <w:szCs w:val="22"/>
          <w:vertAlign w:val="superscript"/>
        </w:rPr>
        <w:t xml:space="preserve"> </w:t>
      </w:r>
      <w:r>
        <w:rPr>
          <w:rFonts w:ascii="Arial" w:hAnsi="Arial" w:cs="Arial"/>
          <w:sz w:val="22"/>
          <w:szCs w:val="22"/>
        </w:rPr>
        <w:t>submitted on 23 February 2024 showed that of the 222 planned PPAs listed in the CY 2023 GPB, 116 PPAs with a budget of P1,264,923,263.00 or 52.25 percent of the total planned PPAs were implemented during the year, 22 PPAs with a budget of P37,503,967.59 were not implemented during the year, while 84 PPAs listed in the GPB with a total budget of P52,599,629.50 were not among those PPAs listed in the GAD AR.  Hence, no status or update on the implementation of the said PPAs. As summarized in Table 11.</w:t>
      </w:r>
    </w:p>
    <w:p>
      <w:pPr>
        <w:jc w:val="both"/>
      </w:pPr>
    </w:p>
    <w:p>
      <w:pPr>
        <w:ind w:left="426" w:hanging="142"/>
        <w:jc w:val="center"/>
        <w:rPr>
          <w:rFonts w:ascii="Arial Narrow" w:hAnsi="Arial Narrow" w:cs="Arial"/>
          <w:sz w:val="20"/>
          <w:szCs w:val="20"/>
        </w:rPr>
      </w:pPr>
      <w:r>
        <w:rPr>
          <w:rFonts w:ascii="Arial Narrow" w:hAnsi="Arial Narrow" w:cs="Arial"/>
          <w:sz w:val="20"/>
          <w:szCs w:val="20"/>
        </w:rPr>
        <w:t>Table 11-GAD Accomplishment Report</w:t>
      </w:r>
    </w:p>
    <w:tbl>
      <w:tblPr>
        <w:tblW w:w="9071" w:type="dxa"/>
        <w:tblInd w:w="279" w:type="dxa"/>
        <w:tblLook w:val="04A0" w:firstRow="1" w:lastRow="0" w:firstColumn="1" w:lastColumn="0" w:noHBand="0" w:noVBand="1"/>
      </w:tblPr>
      <w:tblGrid>
        <w:gridCol w:w="1559"/>
        <w:gridCol w:w="777"/>
        <w:gridCol w:w="784"/>
        <w:gridCol w:w="877"/>
        <w:gridCol w:w="773"/>
        <w:gridCol w:w="1497"/>
        <w:gridCol w:w="1322"/>
        <w:gridCol w:w="1493"/>
      </w:tblGrid>
      <w:tr>
        <w:trPr>
          <w:trHeight w:val="240"/>
        </w:trPr>
        <w:tc>
          <w:tcPr>
            <w:tcW w:w="1559" w:type="dxa"/>
            <w:vMerge w:val="restart"/>
            <w:tcBorders>
              <w:top w:val="single" w:sz="4" w:space="0" w:color="auto"/>
              <w:bottom w:val="single" w:sz="4" w:space="0" w:color="auto"/>
            </w:tcBorders>
            <w:shd w:val="clear" w:color="auto" w:fill="auto"/>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Status of Implementation</w:t>
            </w:r>
          </w:p>
        </w:tc>
        <w:tc>
          <w:tcPr>
            <w:tcW w:w="3201" w:type="dxa"/>
            <w:gridSpan w:val="4"/>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 xml:space="preserve">No. of PPAs </w:t>
            </w:r>
          </w:p>
        </w:tc>
        <w:tc>
          <w:tcPr>
            <w:tcW w:w="4311" w:type="dxa"/>
            <w:gridSpan w:val="3"/>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GAD Budget (P)</w:t>
            </w:r>
          </w:p>
        </w:tc>
      </w:tr>
      <w:tr>
        <w:trPr>
          <w:trHeight w:val="240"/>
        </w:trPr>
        <w:tc>
          <w:tcPr>
            <w:tcW w:w="1559" w:type="dxa"/>
            <w:vMerge/>
            <w:tcBorders>
              <w:top w:val="single" w:sz="4" w:space="0" w:color="auto"/>
              <w:bottom w:val="single" w:sz="4" w:space="0" w:color="auto"/>
            </w:tcBorders>
            <w:shd w:val="clear" w:color="auto" w:fill="auto"/>
            <w:vAlign w:val="center"/>
            <w:hideMark/>
          </w:tcPr>
          <w:p>
            <w:pPr>
              <w:rPr>
                <w:rFonts w:ascii="Arial Narrow" w:hAnsi="Arial Narrow" w:cs="Arial"/>
                <w:b/>
                <w:bCs/>
                <w:sz w:val="20"/>
                <w:szCs w:val="20"/>
                <w:lang w:eastAsia="en-PH"/>
              </w:rPr>
            </w:pPr>
          </w:p>
        </w:tc>
        <w:tc>
          <w:tcPr>
            <w:tcW w:w="777"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Client</w:t>
            </w:r>
          </w:p>
        </w:tc>
        <w:tc>
          <w:tcPr>
            <w:tcW w:w="784"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Org</w:t>
            </w:r>
          </w:p>
        </w:tc>
        <w:tc>
          <w:tcPr>
            <w:tcW w:w="877"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Total</w:t>
            </w:r>
          </w:p>
        </w:tc>
        <w:tc>
          <w:tcPr>
            <w:tcW w:w="763" w:type="dxa"/>
            <w:tcBorders>
              <w:top w:val="single" w:sz="4" w:space="0" w:color="auto"/>
              <w:bottom w:val="single" w:sz="4" w:space="0" w:color="auto"/>
            </w:tcBorders>
          </w:tcPr>
          <w:p>
            <w:pPr>
              <w:jc w:val="center"/>
              <w:rPr>
                <w:rFonts w:ascii="Arial Narrow" w:hAnsi="Arial Narrow" w:cs="Arial"/>
                <w:b/>
                <w:bCs/>
                <w:sz w:val="20"/>
                <w:szCs w:val="20"/>
                <w:lang w:eastAsia="en-PH"/>
              </w:rPr>
            </w:pPr>
            <w:r>
              <w:rPr>
                <w:rFonts w:ascii="Arial Narrow" w:hAnsi="Arial Narrow" w:cs="Arial"/>
                <w:b/>
                <w:bCs/>
                <w:sz w:val="20"/>
                <w:szCs w:val="20"/>
                <w:lang w:eastAsia="en-PH"/>
              </w:rPr>
              <w:t>%</w:t>
            </w:r>
          </w:p>
        </w:tc>
        <w:tc>
          <w:tcPr>
            <w:tcW w:w="1497"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Client</w:t>
            </w:r>
          </w:p>
        </w:tc>
        <w:tc>
          <w:tcPr>
            <w:tcW w:w="1322"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Org</w:t>
            </w:r>
          </w:p>
        </w:tc>
        <w:tc>
          <w:tcPr>
            <w:tcW w:w="1492"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Total</w:t>
            </w:r>
          </w:p>
        </w:tc>
      </w:tr>
      <w:tr>
        <w:trPr>
          <w:trHeight w:val="240"/>
        </w:trPr>
        <w:tc>
          <w:tcPr>
            <w:tcW w:w="1559" w:type="dxa"/>
            <w:tcBorders>
              <w:top w:val="single" w:sz="4" w:space="0" w:color="auto"/>
            </w:tcBorders>
            <w:shd w:val="clear" w:color="auto" w:fill="auto"/>
            <w:noWrap/>
            <w:vAlign w:val="center"/>
            <w:hideMark/>
          </w:tcPr>
          <w:p>
            <w:pPr>
              <w:rPr>
                <w:rFonts w:ascii="Arial Narrow" w:hAnsi="Arial Narrow" w:cs="Arial"/>
                <w:sz w:val="20"/>
                <w:szCs w:val="20"/>
                <w:lang w:eastAsia="en-PH"/>
              </w:rPr>
            </w:pPr>
            <w:r>
              <w:rPr>
                <w:rFonts w:ascii="Arial Narrow" w:hAnsi="Arial Narrow" w:cs="Arial"/>
                <w:sz w:val="20"/>
                <w:szCs w:val="20"/>
                <w:lang w:eastAsia="en-PH"/>
              </w:rPr>
              <w:t>Implemented</w:t>
            </w:r>
          </w:p>
        </w:tc>
        <w:tc>
          <w:tcPr>
            <w:tcW w:w="777" w:type="dxa"/>
            <w:tcBorders>
              <w:top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59</w:t>
            </w:r>
          </w:p>
        </w:tc>
        <w:tc>
          <w:tcPr>
            <w:tcW w:w="784" w:type="dxa"/>
            <w:tcBorders>
              <w:top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57</w:t>
            </w:r>
          </w:p>
        </w:tc>
        <w:tc>
          <w:tcPr>
            <w:tcW w:w="877" w:type="dxa"/>
            <w:tcBorders>
              <w:top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116</w:t>
            </w:r>
          </w:p>
        </w:tc>
        <w:tc>
          <w:tcPr>
            <w:tcW w:w="763" w:type="dxa"/>
            <w:tcBorders>
              <w:top w:val="single" w:sz="4" w:space="0" w:color="auto"/>
            </w:tcBorders>
            <w:vAlign w:val="center"/>
          </w:tcPr>
          <w:p>
            <w:pPr>
              <w:jc w:val="center"/>
              <w:rPr>
                <w:rFonts w:ascii="Arial Narrow" w:hAnsi="Arial Narrow" w:cs="Arial"/>
                <w:sz w:val="20"/>
                <w:szCs w:val="20"/>
                <w:lang w:eastAsia="en-PH"/>
              </w:rPr>
            </w:pPr>
            <w:r>
              <w:rPr>
                <w:rFonts w:ascii="Arial Narrow" w:hAnsi="Arial Narrow" w:cs="Arial"/>
                <w:sz w:val="20"/>
                <w:szCs w:val="20"/>
                <w:lang w:eastAsia="en-PH"/>
              </w:rPr>
              <w:t>52.25%</w:t>
            </w:r>
          </w:p>
        </w:tc>
        <w:tc>
          <w:tcPr>
            <w:tcW w:w="1497" w:type="dxa"/>
            <w:tcBorders>
              <w:top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1,234,654,142.26</w:t>
            </w:r>
          </w:p>
        </w:tc>
        <w:tc>
          <w:tcPr>
            <w:tcW w:w="1322" w:type="dxa"/>
            <w:tcBorders>
              <w:top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30,269,120.74</w:t>
            </w:r>
          </w:p>
        </w:tc>
        <w:tc>
          <w:tcPr>
            <w:tcW w:w="1492" w:type="dxa"/>
            <w:tcBorders>
              <w:top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1,264,923,263.00</w:t>
            </w:r>
          </w:p>
        </w:tc>
      </w:tr>
      <w:tr>
        <w:trPr>
          <w:trHeight w:val="240"/>
        </w:trPr>
        <w:tc>
          <w:tcPr>
            <w:tcW w:w="1559" w:type="dxa"/>
            <w:shd w:val="clear" w:color="auto" w:fill="auto"/>
            <w:noWrap/>
            <w:vAlign w:val="center"/>
            <w:hideMark/>
          </w:tcPr>
          <w:p>
            <w:pPr>
              <w:rPr>
                <w:rFonts w:ascii="Arial Narrow" w:hAnsi="Arial Narrow" w:cs="Arial"/>
                <w:sz w:val="20"/>
                <w:szCs w:val="20"/>
                <w:lang w:eastAsia="en-PH"/>
              </w:rPr>
            </w:pPr>
            <w:r>
              <w:rPr>
                <w:rFonts w:ascii="Arial Narrow" w:hAnsi="Arial Narrow" w:cs="Arial"/>
                <w:sz w:val="20"/>
                <w:szCs w:val="20"/>
                <w:lang w:eastAsia="en-PH"/>
              </w:rPr>
              <w:t>Unimplemented</w:t>
            </w:r>
          </w:p>
        </w:tc>
        <w:tc>
          <w:tcPr>
            <w:tcW w:w="777" w:type="dxa"/>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8</w:t>
            </w:r>
          </w:p>
        </w:tc>
        <w:tc>
          <w:tcPr>
            <w:tcW w:w="784" w:type="dxa"/>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14</w:t>
            </w:r>
          </w:p>
        </w:tc>
        <w:tc>
          <w:tcPr>
            <w:tcW w:w="877" w:type="dxa"/>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22</w:t>
            </w:r>
          </w:p>
        </w:tc>
        <w:tc>
          <w:tcPr>
            <w:tcW w:w="763" w:type="dxa"/>
            <w:vAlign w:val="center"/>
          </w:tcPr>
          <w:p>
            <w:pPr>
              <w:jc w:val="center"/>
              <w:rPr>
                <w:rFonts w:ascii="Arial Narrow" w:hAnsi="Arial Narrow" w:cs="Arial"/>
                <w:sz w:val="20"/>
                <w:szCs w:val="20"/>
                <w:lang w:eastAsia="en-PH"/>
              </w:rPr>
            </w:pPr>
            <w:r>
              <w:rPr>
                <w:rFonts w:ascii="Arial Narrow" w:hAnsi="Arial Narrow" w:cs="Arial"/>
                <w:sz w:val="20"/>
                <w:szCs w:val="20"/>
                <w:lang w:eastAsia="en-PH"/>
              </w:rPr>
              <w:t>9.91%</w:t>
            </w:r>
          </w:p>
        </w:tc>
        <w:tc>
          <w:tcPr>
            <w:tcW w:w="1497" w:type="dxa"/>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32,114,481.04</w:t>
            </w:r>
          </w:p>
        </w:tc>
        <w:tc>
          <w:tcPr>
            <w:tcW w:w="1322" w:type="dxa"/>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5,389,486.55</w:t>
            </w:r>
          </w:p>
        </w:tc>
        <w:tc>
          <w:tcPr>
            <w:tcW w:w="1492" w:type="dxa"/>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37,503,967.59</w:t>
            </w:r>
          </w:p>
        </w:tc>
      </w:tr>
      <w:tr>
        <w:trPr>
          <w:trHeight w:val="240"/>
        </w:trPr>
        <w:tc>
          <w:tcPr>
            <w:tcW w:w="1559" w:type="dxa"/>
            <w:tcBorders>
              <w:bottom w:val="single" w:sz="4" w:space="0" w:color="auto"/>
            </w:tcBorders>
            <w:shd w:val="clear" w:color="auto" w:fill="auto"/>
            <w:noWrap/>
            <w:vAlign w:val="center"/>
            <w:hideMark/>
          </w:tcPr>
          <w:p>
            <w:pPr>
              <w:rPr>
                <w:rFonts w:ascii="Arial Narrow" w:hAnsi="Arial Narrow" w:cs="Arial"/>
                <w:sz w:val="20"/>
                <w:szCs w:val="20"/>
                <w:lang w:eastAsia="en-PH"/>
              </w:rPr>
            </w:pPr>
            <w:r>
              <w:rPr>
                <w:rFonts w:ascii="Arial Narrow" w:hAnsi="Arial Narrow" w:cs="Arial"/>
                <w:sz w:val="20"/>
                <w:szCs w:val="20"/>
                <w:lang w:eastAsia="en-PH"/>
              </w:rPr>
              <w:t>No status</w:t>
            </w:r>
          </w:p>
        </w:tc>
        <w:tc>
          <w:tcPr>
            <w:tcW w:w="777" w:type="dxa"/>
            <w:tcBorders>
              <w:bottom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31</w:t>
            </w:r>
          </w:p>
        </w:tc>
        <w:tc>
          <w:tcPr>
            <w:tcW w:w="784" w:type="dxa"/>
            <w:tcBorders>
              <w:bottom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53</w:t>
            </w:r>
          </w:p>
        </w:tc>
        <w:tc>
          <w:tcPr>
            <w:tcW w:w="877" w:type="dxa"/>
            <w:tcBorders>
              <w:bottom w:val="single" w:sz="4" w:space="0" w:color="auto"/>
            </w:tcBorders>
            <w:shd w:val="clear" w:color="auto" w:fill="auto"/>
            <w:noWrap/>
            <w:vAlign w:val="center"/>
          </w:tcPr>
          <w:p>
            <w:pPr>
              <w:jc w:val="center"/>
              <w:rPr>
                <w:rFonts w:ascii="Arial Narrow" w:hAnsi="Arial Narrow" w:cs="Arial"/>
                <w:sz w:val="20"/>
                <w:szCs w:val="20"/>
                <w:lang w:eastAsia="en-PH"/>
              </w:rPr>
            </w:pPr>
            <w:r>
              <w:rPr>
                <w:rFonts w:ascii="Arial Narrow" w:hAnsi="Arial Narrow" w:cs="Arial"/>
                <w:sz w:val="20"/>
                <w:szCs w:val="20"/>
                <w:lang w:eastAsia="en-PH"/>
              </w:rPr>
              <w:t>84</w:t>
            </w:r>
          </w:p>
        </w:tc>
        <w:tc>
          <w:tcPr>
            <w:tcW w:w="763" w:type="dxa"/>
            <w:tcBorders>
              <w:bottom w:val="single" w:sz="4" w:space="0" w:color="auto"/>
            </w:tcBorders>
            <w:vAlign w:val="center"/>
          </w:tcPr>
          <w:p>
            <w:pPr>
              <w:jc w:val="center"/>
              <w:rPr>
                <w:rFonts w:ascii="Arial Narrow" w:hAnsi="Arial Narrow" w:cs="Arial"/>
                <w:sz w:val="20"/>
                <w:szCs w:val="20"/>
                <w:lang w:eastAsia="en-PH"/>
              </w:rPr>
            </w:pPr>
            <w:r>
              <w:rPr>
                <w:rFonts w:ascii="Arial Narrow" w:hAnsi="Arial Narrow" w:cs="Arial"/>
                <w:sz w:val="20"/>
                <w:szCs w:val="20"/>
                <w:lang w:eastAsia="en-PH"/>
              </w:rPr>
              <w:t>37.84%</w:t>
            </w:r>
          </w:p>
        </w:tc>
        <w:tc>
          <w:tcPr>
            <w:tcW w:w="1497" w:type="dxa"/>
            <w:tcBorders>
              <w:bottom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18,061,176.00</w:t>
            </w:r>
          </w:p>
        </w:tc>
        <w:tc>
          <w:tcPr>
            <w:tcW w:w="1322" w:type="dxa"/>
            <w:tcBorders>
              <w:bottom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34,538,453.50</w:t>
            </w:r>
          </w:p>
        </w:tc>
        <w:tc>
          <w:tcPr>
            <w:tcW w:w="1492" w:type="dxa"/>
            <w:tcBorders>
              <w:bottom w:val="single" w:sz="4" w:space="0" w:color="auto"/>
            </w:tcBorders>
            <w:shd w:val="clear" w:color="auto" w:fill="auto"/>
            <w:noWrap/>
            <w:vAlign w:val="center"/>
          </w:tcPr>
          <w:p>
            <w:pPr>
              <w:jc w:val="right"/>
              <w:rPr>
                <w:rFonts w:ascii="Arial Narrow" w:hAnsi="Arial Narrow" w:cs="Arial"/>
                <w:sz w:val="20"/>
                <w:szCs w:val="20"/>
                <w:lang w:eastAsia="en-PH"/>
              </w:rPr>
            </w:pPr>
            <w:r>
              <w:rPr>
                <w:rFonts w:ascii="Arial Narrow" w:hAnsi="Arial Narrow" w:cs="Arial"/>
                <w:sz w:val="20"/>
                <w:szCs w:val="20"/>
                <w:lang w:eastAsia="en-PH"/>
              </w:rPr>
              <w:t>52,599,629.50</w:t>
            </w:r>
          </w:p>
        </w:tc>
      </w:tr>
      <w:tr>
        <w:trPr>
          <w:trHeight w:val="240"/>
        </w:trPr>
        <w:tc>
          <w:tcPr>
            <w:tcW w:w="1559" w:type="dxa"/>
            <w:tcBorders>
              <w:top w:val="single" w:sz="4" w:space="0" w:color="auto"/>
              <w:bottom w:val="single" w:sz="4" w:space="0" w:color="auto"/>
            </w:tcBorders>
            <w:shd w:val="clear" w:color="auto" w:fill="auto"/>
            <w:noWrap/>
            <w:vAlign w:val="center"/>
            <w:hideMark/>
          </w:tcPr>
          <w:p>
            <w:pPr>
              <w:jc w:val="center"/>
              <w:rPr>
                <w:rFonts w:ascii="Arial Narrow" w:hAnsi="Arial Narrow" w:cs="Arial"/>
                <w:b/>
                <w:bCs/>
                <w:sz w:val="20"/>
                <w:szCs w:val="20"/>
                <w:lang w:eastAsia="en-PH"/>
              </w:rPr>
            </w:pPr>
            <w:r>
              <w:rPr>
                <w:rFonts w:ascii="Arial Narrow" w:hAnsi="Arial Narrow" w:cs="Arial"/>
                <w:b/>
                <w:bCs/>
                <w:sz w:val="20"/>
                <w:szCs w:val="20"/>
                <w:lang w:eastAsia="en-PH"/>
              </w:rPr>
              <w:t>Total</w:t>
            </w:r>
          </w:p>
        </w:tc>
        <w:tc>
          <w:tcPr>
            <w:tcW w:w="777" w:type="dxa"/>
            <w:tcBorders>
              <w:top w:val="single" w:sz="4" w:space="0" w:color="auto"/>
              <w:bottom w:val="single" w:sz="4" w:space="0" w:color="auto"/>
            </w:tcBorders>
            <w:shd w:val="clear" w:color="auto" w:fill="auto"/>
            <w:noWrap/>
            <w:vAlign w:val="center"/>
          </w:tcPr>
          <w:p>
            <w:pPr>
              <w:jc w:val="center"/>
              <w:rPr>
                <w:rFonts w:ascii="Arial Narrow" w:hAnsi="Arial Narrow" w:cs="Arial"/>
                <w:b/>
                <w:bCs/>
                <w:sz w:val="20"/>
                <w:szCs w:val="20"/>
                <w:lang w:eastAsia="en-PH"/>
              </w:rPr>
            </w:pPr>
            <w:r>
              <w:rPr>
                <w:rFonts w:ascii="Arial Narrow" w:hAnsi="Arial Narrow" w:cs="Arial"/>
                <w:b/>
                <w:bCs/>
                <w:sz w:val="20"/>
                <w:szCs w:val="20"/>
                <w:lang w:eastAsia="en-PH"/>
              </w:rPr>
              <w:t>98</w:t>
            </w:r>
          </w:p>
        </w:tc>
        <w:tc>
          <w:tcPr>
            <w:tcW w:w="784" w:type="dxa"/>
            <w:tcBorders>
              <w:top w:val="single" w:sz="4" w:space="0" w:color="auto"/>
              <w:bottom w:val="single" w:sz="4" w:space="0" w:color="auto"/>
            </w:tcBorders>
            <w:shd w:val="clear" w:color="auto" w:fill="auto"/>
            <w:noWrap/>
            <w:vAlign w:val="center"/>
          </w:tcPr>
          <w:p>
            <w:pPr>
              <w:jc w:val="center"/>
              <w:rPr>
                <w:rFonts w:ascii="Arial Narrow" w:hAnsi="Arial Narrow" w:cs="Arial"/>
                <w:b/>
                <w:bCs/>
                <w:sz w:val="20"/>
                <w:szCs w:val="20"/>
                <w:lang w:eastAsia="en-PH"/>
              </w:rPr>
            </w:pPr>
            <w:r>
              <w:rPr>
                <w:rFonts w:ascii="Arial Narrow" w:hAnsi="Arial Narrow" w:cs="Arial"/>
                <w:b/>
                <w:bCs/>
                <w:sz w:val="20"/>
                <w:szCs w:val="20"/>
                <w:lang w:eastAsia="en-PH"/>
              </w:rPr>
              <w:t>124</w:t>
            </w:r>
          </w:p>
        </w:tc>
        <w:tc>
          <w:tcPr>
            <w:tcW w:w="877" w:type="dxa"/>
            <w:tcBorders>
              <w:top w:val="single" w:sz="4" w:space="0" w:color="auto"/>
              <w:bottom w:val="single" w:sz="4" w:space="0" w:color="auto"/>
            </w:tcBorders>
            <w:shd w:val="clear" w:color="auto" w:fill="auto"/>
            <w:noWrap/>
            <w:vAlign w:val="center"/>
          </w:tcPr>
          <w:p>
            <w:pPr>
              <w:jc w:val="center"/>
              <w:rPr>
                <w:rFonts w:ascii="Arial Narrow" w:hAnsi="Arial Narrow" w:cs="Arial"/>
                <w:b/>
                <w:bCs/>
                <w:sz w:val="20"/>
                <w:szCs w:val="20"/>
                <w:lang w:eastAsia="en-PH"/>
              </w:rPr>
            </w:pPr>
            <w:r>
              <w:rPr>
                <w:rFonts w:ascii="Arial Narrow" w:hAnsi="Arial Narrow" w:cs="Arial"/>
                <w:b/>
                <w:bCs/>
                <w:sz w:val="20"/>
                <w:szCs w:val="20"/>
                <w:lang w:eastAsia="en-PH"/>
              </w:rPr>
              <w:t>222</w:t>
            </w:r>
          </w:p>
        </w:tc>
        <w:tc>
          <w:tcPr>
            <w:tcW w:w="763" w:type="dxa"/>
            <w:tcBorders>
              <w:top w:val="single" w:sz="4" w:space="0" w:color="auto"/>
              <w:bottom w:val="single" w:sz="4" w:space="0" w:color="auto"/>
            </w:tcBorders>
            <w:vAlign w:val="center"/>
          </w:tcPr>
          <w:p>
            <w:pPr>
              <w:jc w:val="center"/>
              <w:rPr>
                <w:rFonts w:ascii="Arial Narrow" w:hAnsi="Arial Narrow" w:cs="Arial"/>
                <w:b/>
                <w:bCs/>
                <w:sz w:val="20"/>
                <w:szCs w:val="20"/>
                <w:lang w:eastAsia="en-PH"/>
              </w:rPr>
            </w:pPr>
          </w:p>
        </w:tc>
        <w:tc>
          <w:tcPr>
            <w:tcW w:w="1497" w:type="dxa"/>
            <w:tcBorders>
              <w:top w:val="single" w:sz="4" w:space="0" w:color="auto"/>
              <w:bottom w:val="single" w:sz="4" w:space="0" w:color="auto"/>
            </w:tcBorders>
            <w:shd w:val="clear" w:color="auto" w:fill="auto"/>
            <w:noWrap/>
            <w:vAlign w:val="center"/>
          </w:tcPr>
          <w:p>
            <w:pPr>
              <w:jc w:val="right"/>
              <w:rPr>
                <w:rFonts w:ascii="Arial Narrow" w:hAnsi="Arial Narrow" w:cs="Arial"/>
                <w:b/>
                <w:bCs/>
                <w:sz w:val="20"/>
                <w:szCs w:val="20"/>
                <w:lang w:eastAsia="en-PH"/>
              </w:rPr>
            </w:pPr>
            <w:r>
              <w:rPr>
                <w:rFonts w:ascii="Arial Narrow" w:hAnsi="Arial Narrow" w:cs="Arial"/>
                <w:b/>
                <w:bCs/>
                <w:sz w:val="20"/>
                <w:szCs w:val="20"/>
                <w:lang w:eastAsia="en-PH"/>
              </w:rPr>
              <w:t>1,284,829,799.30</w:t>
            </w:r>
          </w:p>
        </w:tc>
        <w:tc>
          <w:tcPr>
            <w:tcW w:w="1322" w:type="dxa"/>
            <w:tcBorders>
              <w:top w:val="single" w:sz="4" w:space="0" w:color="auto"/>
              <w:bottom w:val="single" w:sz="4" w:space="0" w:color="auto"/>
            </w:tcBorders>
            <w:shd w:val="clear" w:color="auto" w:fill="auto"/>
            <w:noWrap/>
            <w:vAlign w:val="center"/>
          </w:tcPr>
          <w:p>
            <w:pPr>
              <w:jc w:val="right"/>
              <w:rPr>
                <w:rFonts w:ascii="Arial Narrow" w:hAnsi="Arial Narrow" w:cs="Arial"/>
                <w:b/>
                <w:bCs/>
                <w:sz w:val="20"/>
                <w:szCs w:val="20"/>
                <w:lang w:eastAsia="en-PH"/>
              </w:rPr>
            </w:pPr>
            <w:r>
              <w:rPr>
                <w:rFonts w:ascii="Arial Narrow" w:hAnsi="Arial Narrow" w:cs="Arial"/>
                <w:b/>
                <w:bCs/>
                <w:sz w:val="20"/>
                <w:szCs w:val="20"/>
                <w:lang w:eastAsia="en-PH"/>
              </w:rPr>
              <w:t>70,197,060.79</w:t>
            </w:r>
          </w:p>
        </w:tc>
        <w:tc>
          <w:tcPr>
            <w:tcW w:w="1492" w:type="dxa"/>
            <w:tcBorders>
              <w:top w:val="single" w:sz="4" w:space="0" w:color="auto"/>
              <w:bottom w:val="single" w:sz="4" w:space="0" w:color="auto"/>
            </w:tcBorders>
            <w:shd w:val="clear" w:color="auto" w:fill="auto"/>
            <w:noWrap/>
            <w:vAlign w:val="center"/>
          </w:tcPr>
          <w:p>
            <w:pPr>
              <w:jc w:val="right"/>
              <w:rPr>
                <w:rFonts w:ascii="Arial Narrow" w:hAnsi="Arial Narrow" w:cs="Arial"/>
                <w:b/>
                <w:bCs/>
                <w:sz w:val="20"/>
                <w:szCs w:val="20"/>
                <w:lang w:eastAsia="en-PH"/>
              </w:rPr>
            </w:pPr>
            <w:r>
              <w:rPr>
                <w:rFonts w:ascii="Arial Narrow" w:hAnsi="Arial Narrow" w:cs="Arial"/>
                <w:b/>
                <w:bCs/>
                <w:sz w:val="20"/>
                <w:szCs w:val="20"/>
                <w:lang w:eastAsia="en-PH"/>
              </w:rPr>
              <w:t>1,355,026,860.09</w:t>
            </w:r>
          </w:p>
        </w:tc>
      </w:tr>
    </w:tbl>
    <w:p>
      <w:pPr>
        <w:pStyle w:val="ListParagraph"/>
        <w:ind w:left="108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Based on the GAD AR and verification with the GAD Focal Person, a catch-up plan will be implemented for some of the unimplemented PPAs during the year. </w:t>
      </w:r>
      <w:r>
        <w:rPr>
          <w:rFonts w:ascii="Arial" w:hAnsi="Arial" w:cs="Arial"/>
          <w:sz w:val="22"/>
          <w:szCs w:val="22"/>
        </w:rPr>
        <w:lastRenderedPageBreak/>
        <w:t xml:space="preserve">Other PPAs are still in the planning or development phase. Meanwhile, the </w:t>
      </w:r>
      <w:r>
        <w:rPr>
          <w:rFonts w:ascii="Arial" w:hAnsi="Arial" w:cs="Arial"/>
          <w:sz w:val="22"/>
          <w:szCs w:val="22"/>
        </w:rPr>
        <w:br/>
        <w:t>84 PPAs with no status or update on its implementation, are yet to be verified.</w:t>
      </w:r>
    </w:p>
    <w:p>
      <w:pPr>
        <w:pStyle w:val="ListParagraph"/>
        <w:ind w:left="108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Review of the GAD AR also showed 44 implemented GAD PPAs but were not among those included in the GPB for CY 2023.</w:t>
      </w:r>
    </w:p>
    <w:p>
      <w:pPr>
        <w:pStyle w:val="ListParagraph"/>
        <w:ind w:left="1080"/>
        <w:jc w:val="both"/>
        <w:rPr>
          <w:rFonts w:ascii="Arial" w:hAnsi="Arial" w:cs="Arial"/>
          <w:sz w:val="22"/>
          <w:szCs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 xml:space="preserve">Also noteworthy is that implemented PPAs in CY 2023 decreased to </w:t>
      </w:r>
      <w:r>
        <w:rPr>
          <w:rFonts w:ascii="Arial" w:hAnsi="Arial" w:cs="Arial"/>
          <w:sz w:val="22"/>
          <w:szCs w:val="22"/>
        </w:rPr>
        <w:br/>
        <w:t>52.25 percent (116 out of 222 PPAs) as compared to the 76.06 percent implementation rate (143 out of 188 PPAs) in CY 2022, although there was an increase in the number of PPAs listed in the GPB.  Details are as follows:</w:t>
      </w:r>
    </w:p>
    <w:p>
      <w:pPr>
        <w:pStyle w:val="NoSpacing"/>
        <w:tabs>
          <w:tab w:val="left" w:pos="440"/>
        </w:tabs>
        <w:jc w:val="both"/>
        <w:rPr>
          <w:rFonts w:ascii="Times New Roman" w:hAnsi="Times New Roman" w:cs="Times New Roman"/>
          <w:sz w:val="24"/>
          <w:szCs w:val="24"/>
        </w:rPr>
      </w:pPr>
    </w:p>
    <w:p>
      <w:pPr>
        <w:pStyle w:val="NoSpacing"/>
        <w:tabs>
          <w:tab w:val="left" w:pos="440"/>
        </w:tabs>
        <w:ind w:left="450"/>
        <w:jc w:val="center"/>
        <w:rPr>
          <w:sz w:val="20"/>
          <w:szCs w:val="20"/>
          <w:u w:val="none"/>
        </w:rPr>
      </w:pPr>
      <w:r>
        <w:rPr>
          <w:sz w:val="20"/>
          <w:szCs w:val="20"/>
          <w:u w:val="none"/>
        </w:rPr>
        <w:t>Table 12 – GAD PPAs Implementation</w:t>
      </w:r>
    </w:p>
    <w:tbl>
      <w:tblPr>
        <w:tblW w:w="9085" w:type="dxa"/>
        <w:tblLayout w:type="fixed"/>
        <w:tblLook w:val="04A0" w:firstRow="1" w:lastRow="0" w:firstColumn="1" w:lastColumn="0" w:noHBand="0" w:noVBand="1"/>
      </w:tblPr>
      <w:tblGrid>
        <w:gridCol w:w="1345"/>
        <w:gridCol w:w="791"/>
        <w:gridCol w:w="1009"/>
        <w:gridCol w:w="810"/>
        <w:gridCol w:w="905"/>
        <w:gridCol w:w="900"/>
        <w:gridCol w:w="900"/>
        <w:gridCol w:w="805"/>
        <w:gridCol w:w="990"/>
        <w:gridCol w:w="630"/>
      </w:tblGrid>
      <w:tr>
        <w:trPr>
          <w:trHeight w:val="240"/>
        </w:trPr>
        <w:tc>
          <w:tcPr>
            <w:tcW w:w="1345" w:type="dxa"/>
            <w:vMerge w:val="restart"/>
            <w:tcBorders>
              <w:top w:val="single" w:sz="4" w:space="0" w:color="auto"/>
            </w:tcBorders>
            <w:shd w:val="clear" w:color="auto" w:fill="auto"/>
            <w:noWrap/>
            <w:vAlign w:val="bottom"/>
            <w:hideMark/>
          </w:tcPr>
          <w:p>
            <w:pPr>
              <w:spacing w:line="480" w:lineRule="auto"/>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Particulars</w:t>
            </w:r>
          </w:p>
        </w:tc>
        <w:tc>
          <w:tcPr>
            <w:tcW w:w="2610" w:type="dxa"/>
            <w:gridSpan w:val="3"/>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2023</w:t>
            </w:r>
          </w:p>
        </w:tc>
        <w:tc>
          <w:tcPr>
            <w:tcW w:w="2705" w:type="dxa"/>
            <w:gridSpan w:val="3"/>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2022</w:t>
            </w:r>
          </w:p>
        </w:tc>
        <w:tc>
          <w:tcPr>
            <w:tcW w:w="2425" w:type="dxa"/>
            <w:gridSpan w:val="3"/>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2021</w:t>
            </w:r>
          </w:p>
        </w:tc>
      </w:tr>
      <w:tr>
        <w:trPr>
          <w:trHeight w:val="480"/>
        </w:trPr>
        <w:tc>
          <w:tcPr>
            <w:tcW w:w="1345" w:type="dxa"/>
            <w:vMerge/>
            <w:tcBorders>
              <w:bottom w:val="single" w:sz="4" w:space="0" w:color="auto"/>
            </w:tcBorders>
            <w:vAlign w:val="center"/>
            <w:hideMark/>
          </w:tcPr>
          <w:p>
            <w:pPr>
              <w:rPr>
                <w:rFonts w:ascii="Arial Narrow" w:hAnsi="Arial Narrow" w:cs="Arial"/>
                <w:color w:val="000000"/>
                <w:sz w:val="20"/>
                <w:szCs w:val="20"/>
                <w:lang w:eastAsia="en-PH"/>
              </w:rPr>
            </w:pPr>
          </w:p>
        </w:tc>
        <w:tc>
          <w:tcPr>
            <w:tcW w:w="791"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Planned PPAs</w:t>
            </w:r>
          </w:p>
        </w:tc>
        <w:tc>
          <w:tcPr>
            <w:tcW w:w="1009"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Imple-mented PPAs</w:t>
            </w:r>
          </w:p>
        </w:tc>
        <w:tc>
          <w:tcPr>
            <w:tcW w:w="81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w:t>
            </w:r>
          </w:p>
        </w:tc>
        <w:tc>
          <w:tcPr>
            <w:tcW w:w="905"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Planned PPAs</w:t>
            </w:r>
          </w:p>
        </w:tc>
        <w:tc>
          <w:tcPr>
            <w:tcW w:w="90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Imple-mented PPAs</w:t>
            </w:r>
          </w:p>
        </w:tc>
        <w:tc>
          <w:tcPr>
            <w:tcW w:w="90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w:t>
            </w:r>
          </w:p>
        </w:tc>
        <w:tc>
          <w:tcPr>
            <w:tcW w:w="805"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Planned PPAs</w:t>
            </w:r>
          </w:p>
        </w:tc>
        <w:tc>
          <w:tcPr>
            <w:tcW w:w="99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Imple-mented PPAs</w:t>
            </w:r>
          </w:p>
        </w:tc>
        <w:tc>
          <w:tcPr>
            <w:tcW w:w="63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w:t>
            </w:r>
          </w:p>
        </w:tc>
      </w:tr>
      <w:tr>
        <w:trPr>
          <w:trHeight w:val="240"/>
        </w:trPr>
        <w:tc>
          <w:tcPr>
            <w:tcW w:w="1345" w:type="dxa"/>
            <w:tcBorders>
              <w:top w:val="single" w:sz="4" w:space="0" w:color="auto"/>
            </w:tcBorders>
            <w:shd w:val="clear" w:color="auto" w:fill="auto"/>
            <w:vAlign w:val="center"/>
            <w:hideMark/>
          </w:tcPr>
          <w:p>
            <w:pPr>
              <w:jc w:val="both"/>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Client-focused</w:t>
            </w:r>
          </w:p>
        </w:tc>
        <w:tc>
          <w:tcPr>
            <w:tcW w:w="791" w:type="dxa"/>
            <w:tcBorders>
              <w:top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iCs/>
                <w:color w:val="000000"/>
                <w:sz w:val="20"/>
                <w:szCs w:val="20"/>
                <w:lang w:eastAsia="en-PH"/>
              </w:rPr>
              <w:t>98</w:t>
            </w:r>
          </w:p>
        </w:tc>
        <w:tc>
          <w:tcPr>
            <w:tcW w:w="1009" w:type="dxa"/>
            <w:tcBorders>
              <w:top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iCs/>
                <w:color w:val="000000"/>
                <w:sz w:val="20"/>
                <w:szCs w:val="20"/>
                <w:lang w:eastAsia="en-PH"/>
              </w:rPr>
              <w:t>59</w:t>
            </w:r>
          </w:p>
        </w:tc>
        <w:tc>
          <w:tcPr>
            <w:tcW w:w="810" w:type="dxa"/>
            <w:tcBorders>
              <w:top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iCs/>
                <w:color w:val="000000"/>
                <w:sz w:val="20"/>
                <w:szCs w:val="20"/>
                <w:lang w:eastAsia="en-PH"/>
              </w:rPr>
              <w:t>60.20%</w:t>
            </w:r>
          </w:p>
        </w:tc>
        <w:tc>
          <w:tcPr>
            <w:tcW w:w="905"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82</w:t>
            </w:r>
          </w:p>
        </w:tc>
        <w:tc>
          <w:tcPr>
            <w:tcW w:w="900"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67</w:t>
            </w:r>
          </w:p>
        </w:tc>
        <w:tc>
          <w:tcPr>
            <w:tcW w:w="900"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81.71%</w:t>
            </w:r>
          </w:p>
        </w:tc>
        <w:tc>
          <w:tcPr>
            <w:tcW w:w="805"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32</w:t>
            </w:r>
          </w:p>
        </w:tc>
        <w:tc>
          <w:tcPr>
            <w:tcW w:w="990"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16</w:t>
            </w:r>
          </w:p>
        </w:tc>
        <w:tc>
          <w:tcPr>
            <w:tcW w:w="630" w:type="dxa"/>
            <w:tcBorders>
              <w:top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50%</w:t>
            </w:r>
          </w:p>
        </w:tc>
      </w:tr>
      <w:tr>
        <w:trPr>
          <w:trHeight w:val="240"/>
        </w:trPr>
        <w:tc>
          <w:tcPr>
            <w:tcW w:w="1345" w:type="dxa"/>
            <w:tcBorders>
              <w:bottom w:val="single" w:sz="4" w:space="0" w:color="auto"/>
            </w:tcBorders>
            <w:shd w:val="clear" w:color="auto" w:fill="auto"/>
            <w:vAlign w:val="center"/>
            <w:hideMark/>
          </w:tcPr>
          <w:p>
            <w:pPr>
              <w:jc w:val="both"/>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Org-focused</w:t>
            </w:r>
          </w:p>
        </w:tc>
        <w:tc>
          <w:tcPr>
            <w:tcW w:w="791" w:type="dxa"/>
            <w:tcBorders>
              <w:bottom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iCs/>
                <w:color w:val="000000"/>
                <w:sz w:val="20"/>
                <w:szCs w:val="20"/>
                <w:lang w:eastAsia="en-PH"/>
              </w:rPr>
              <w:t>124</w:t>
            </w:r>
          </w:p>
        </w:tc>
        <w:tc>
          <w:tcPr>
            <w:tcW w:w="1009" w:type="dxa"/>
            <w:tcBorders>
              <w:bottom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57</w:t>
            </w:r>
          </w:p>
        </w:tc>
        <w:tc>
          <w:tcPr>
            <w:tcW w:w="810" w:type="dxa"/>
            <w:tcBorders>
              <w:bottom w:val="single" w:sz="4" w:space="0" w:color="auto"/>
            </w:tcBorders>
            <w:shd w:val="clear" w:color="auto" w:fill="auto"/>
            <w:vAlign w:val="center"/>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45.97%</w:t>
            </w:r>
          </w:p>
        </w:tc>
        <w:tc>
          <w:tcPr>
            <w:tcW w:w="905"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106</w:t>
            </w:r>
          </w:p>
        </w:tc>
        <w:tc>
          <w:tcPr>
            <w:tcW w:w="900"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76</w:t>
            </w:r>
          </w:p>
        </w:tc>
        <w:tc>
          <w:tcPr>
            <w:tcW w:w="900"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71.70%</w:t>
            </w:r>
          </w:p>
        </w:tc>
        <w:tc>
          <w:tcPr>
            <w:tcW w:w="805"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24</w:t>
            </w:r>
          </w:p>
        </w:tc>
        <w:tc>
          <w:tcPr>
            <w:tcW w:w="990"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12</w:t>
            </w:r>
          </w:p>
        </w:tc>
        <w:tc>
          <w:tcPr>
            <w:tcW w:w="630" w:type="dxa"/>
            <w:tcBorders>
              <w:bottom w:val="single" w:sz="4" w:space="0" w:color="auto"/>
            </w:tcBorders>
            <w:shd w:val="clear" w:color="auto" w:fill="auto"/>
            <w:noWrap/>
            <w:vAlign w:val="bottom"/>
            <w:hideMark/>
          </w:tcPr>
          <w:p>
            <w:pPr>
              <w:jc w:val="center"/>
              <w:rPr>
                <w:rFonts w:ascii="Arial Narrow" w:hAnsi="Arial Narrow" w:cs="Arial"/>
                <w:color w:val="000000"/>
                <w:sz w:val="20"/>
                <w:szCs w:val="20"/>
                <w:lang w:eastAsia="en-PH"/>
              </w:rPr>
            </w:pPr>
            <w:r>
              <w:rPr>
                <w:rFonts w:ascii="Arial Narrow" w:hAnsi="Arial Narrow" w:cs="Arial"/>
                <w:color w:val="000000"/>
                <w:sz w:val="20"/>
                <w:szCs w:val="20"/>
                <w:lang w:eastAsia="en-PH"/>
              </w:rPr>
              <w:t>50%</w:t>
            </w:r>
          </w:p>
        </w:tc>
      </w:tr>
      <w:tr>
        <w:trPr>
          <w:trHeight w:val="240"/>
        </w:trPr>
        <w:tc>
          <w:tcPr>
            <w:tcW w:w="1345"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Total</w:t>
            </w:r>
          </w:p>
        </w:tc>
        <w:tc>
          <w:tcPr>
            <w:tcW w:w="791"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iCs/>
                <w:color w:val="000000"/>
                <w:sz w:val="20"/>
                <w:szCs w:val="20"/>
                <w:lang w:eastAsia="en-PH"/>
              </w:rPr>
              <w:t>222</w:t>
            </w:r>
          </w:p>
        </w:tc>
        <w:tc>
          <w:tcPr>
            <w:tcW w:w="1009"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116</w:t>
            </w:r>
          </w:p>
        </w:tc>
        <w:tc>
          <w:tcPr>
            <w:tcW w:w="810" w:type="dxa"/>
            <w:tcBorders>
              <w:top w:val="single" w:sz="4" w:space="0" w:color="auto"/>
              <w:bottom w:val="single" w:sz="4" w:space="0" w:color="auto"/>
            </w:tcBorders>
            <w:shd w:val="clear" w:color="auto" w:fill="auto"/>
            <w:vAlign w:val="center"/>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52.25%</w:t>
            </w:r>
          </w:p>
        </w:tc>
        <w:tc>
          <w:tcPr>
            <w:tcW w:w="905"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188</w:t>
            </w:r>
          </w:p>
        </w:tc>
        <w:tc>
          <w:tcPr>
            <w:tcW w:w="900"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143</w:t>
            </w:r>
          </w:p>
        </w:tc>
        <w:tc>
          <w:tcPr>
            <w:tcW w:w="900"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76.06%</w:t>
            </w:r>
          </w:p>
        </w:tc>
        <w:tc>
          <w:tcPr>
            <w:tcW w:w="805"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56</w:t>
            </w:r>
          </w:p>
        </w:tc>
        <w:tc>
          <w:tcPr>
            <w:tcW w:w="990"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28</w:t>
            </w:r>
          </w:p>
        </w:tc>
        <w:tc>
          <w:tcPr>
            <w:tcW w:w="630" w:type="dxa"/>
            <w:tcBorders>
              <w:top w:val="single" w:sz="4" w:space="0" w:color="auto"/>
              <w:bottom w:val="single" w:sz="4" w:space="0" w:color="auto"/>
            </w:tcBorders>
            <w:shd w:val="clear" w:color="auto" w:fill="auto"/>
            <w:noWrap/>
            <w:vAlign w:val="bottom"/>
            <w:hideMark/>
          </w:tcPr>
          <w:p>
            <w:pPr>
              <w:jc w:val="center"/>
              <w:rPr>
                <w:rFonts w:ascii="Arial Narrow" w:hAnsi="Arial Narrow" w:cs="Arial"/>
                <w:b/>
                <w:bCs/>
                <w:color w:val="000000"/>
                <w:sz w:val="20"/>
                <w:szCs w:val="20"/>
                <w:lang w:eastAsia="en-PH"/>
              </w:rPr>
            </w:pPr>
            <w:r>
              <w:rPr>
                <w:rFonts w:ascii="Arial Narrow" w:hAnsi="Arial Narrow" w:cs="Arial"/>
                <w:b/>
                <w:bCs/>
                <w:color w:val="000000"/>
                <w:sz w:val="20"/>
                <w:szCs w:val="20"/>
                <w:lang w:eastAsia="en-PH"/>
              </w:rPr>
              <w:t>50%</w:t>
            </w:r>
          </w:p>
        </w:tc>
      </w:tr>
    </w:tbl>
    <w:p>
      <w:pPr>
        <w:pStyle w:val="NoSpacing"/>
        <w:tabs>
          <w:tab w:val="left" w:pos="440"/>
        </w:tabs>
        <w:jc w:val="both"/>
        <w:rPr>
          <w:sz w:val="22"/>
        </w:rPr>
      </w:pPr>
    </w:p>
    <w:p>
      <w:pPr>
        <w:pStyle w:val="ListParagraph"/>
        <w:numPr>
          <w:ilvl w:val="1"/>
          <w:numId w:val="7"/>
        </w:numPr>
        <w:ind w:hanging="630"/>
        <w:jc w:val="both"/>
        <w:rPr>
          <w:rFonts w:ascii="Arial" w:hAnsi="Arial" w:cs="Arial"/>
          <w:sz w:val="22"/>
          <w:szCs w:val="22"/>
        </w:rPr>
      </w:pPr>
      <w:r>
        <w:rPr>
          <w:rFonts w:ascii="Arial" w:hAnsi="Arial" w:cs="Arial"/>
          <w:sz w:val="22"/>
          <w:szCs w:val="22"/>
        </w:rPr>
        <w:t>Further, out of the total GAD budget of P1,355,026,860.09, the City was able to utilize P1,182,695,141.00, or 87.28 percent of the total GAD Fund, leaving an unexpended balance of P172,331,719.09 or 12.72 percent. Said utilization rate is higher than last year’s 68.48 percent utilization, or P774,453,528.01 out of P1,130,942,111.54.  Details are presented in Table 13.</w:t>
      </w:r>
    </w:p>
    <w:p>
      <w:pPr>
        <w:pStyle w:val="NoSpacing"/>
        <w:tabs>
          <w:tab w:val="left" w:pos="440"/>
        </w:tabs>
        <w:jc w:val="both"/>
        <w:rPr>
          <w:rFonts w:ascii="Times New Roman" w:hAnsi="Times New Roman" w:cs="Times New Roman"/>
          <w:sz w:val="24"/>
          <w:szCs w:val="24"/>
        </w:rPr>
      </w:pPr>
    </w:p>
    <w:p>
      <w:pPr>
        <w:pStyle w:val="NoSpacing"/>
        <w:tabs>
          <w:tab w:val="left" w:pos="440"/>
        </w:tabs>
        <w:jc w:val="center"/>
        <w:rPr>
          <w:sz w:val="20"/>
          <w:szCs w:val="20"/>
          <w:u w:val="none"/>
        </w:rPr>
      </w:pPr>
      <w:r>
        <w:rPr>
          <w:sz w:val="20"/>
          <w:szCs w:val="20"/>
          <w:u w:val="none"/>
        </w:rPr>
        <w:t>Table 13-GAD Fund Utilization</w:t>
      </w:r>
    </w:p>
    <w:tbl>
      <w:tblPr>
        <w:tblW w:w="9628" w:type="dxa"/>
        <w:tblInd w:w="-5" w:type="dxa"/>
        <w:tblBorders>
          <w:top w:val="single" w:sz="4" w:space="0" w:color="auto"/>
          <w:bottom w:val="single" w:sz="4" w:space="0" w:color="auto"/>
        </w:tblBorders>
        <w:tblLook w:val="04A0" w:firstRow="1" w:lastRow="0" w:firstColumn="1" w:lastColumn="0" w:noHBand="0" w:noVBand="1"/>
      </w:tblPr>
      <w:tblGrid>
        <w:gridCol w:w="1694"/>
        <w:gridCol w:w="1873"/>
        <w:gridCol w:w="2229"/>
        <w:gridCol w:w="1044"/>
        <w:gridCol w:w="1873"/>
        <w:gridCol w:w="915"/>
      </w:tblGrid>
      <w:tr>
        <w:trPr>
          <w:trHeight w:val="240"/>
        </w:trPr>
        <w:tc>
          <w:tcPr>
            <w:tcW w:w="1694" w:type="dxa"/>
            <w:tcBorders>
              <w:top w:val="single" w:sz="4" w:space="0" w:color="auto"/>
              <w:bottom w:val="single" w:sz="4" w:space="0" w:color="auto"/>
            </w:tcBorders>
            <w:shd w:val="clear" w:color="auto" w:fill="auto"/>
            <w:noWrap/>
            <w:vAlign w:val="center"/>
          </w:tcPr>
          <w:p>
            <w:pPr>
              <w:jc w:val="center"/>
              <w:rPr>
                <w:rFonts w:ascii="Arial" w:hAnsi="Arial" w:cs="Arial"/>
                <w:b/>
                <w:bCs/>
                <w:sz w:val="20"/>
                <w:szCs w:val="20"/>
              </w:rPr>
            </w:pPr>
            <w:r>
              <w:rPr>
                <w:rFonts w:ascii="Arial" w:hAnsi="Arial" w:cs="Arial"/>
                <w:b/>
                <w:bCs/>
                <w:sz w:val="20"/>
                <w:szCs w:val="20"/>
              </w:rPr>
              <w:t>Particulars</w:t>
            </w:r>
          </w:p>
        </w:tc>
        <w:tc>
          <w:tcPr>
            <w:tcW w:w="1873" w:type="dxa"/>
            <w:tcBorders>
              <w:top w:val="single" w:sz="4" w:space="0" w:color="auto"/>
              <w:bottom w:val="single" w:sz="4" w:space="0" w:color="auto"/>
            </w:tcBorders>
            <w:shd w:val="clear" w:color="auto" w:fill="auto"/>
            <w:noWrap/>
            <w:vAlign w:val="center"/>
          </w:tcPr>
          <w:p>
            <w:pPr>
              <w:jc w:val="center"/>
              <w:rPr>
                <w:rFonts w:ascii="Arial" w:hAnsi="Arial" w:cs="Arial"/>
                <w:b/>
                <w:bCs/>
                <w:sz w:val="20"/>
                <w:szCs w:val="20"/>
              </w:rPr>
            </w:pPr>
            <w:r>
              <w:rPr>
                <w:rFonts w:ascii="Arial" w:hAnsi="Arial" w:cs="Arial"/>
                <w:b/>
                <w:bCs/>
                <w:sz w:val="20"/>
                <w:szCs w:val="20"/>
              </w:rPr>
              <w:t>GPB</w:t>
            </w:r>
          </w:p>
        </w:tc>
        <w:tc>
          <w:tcPr>
            <w:tcW w:w="2229" w:type="dxa"/>
            <w:tcBorders>
              <w:top w:val="single" w:sz="4" w:space="0" w:color="auto"/>
              <w:bottom w:val="single" w:sz="4" w:space="0" w:color="auto"/>
            </w:tcBorders>
            <w:shd w:val="clear" w:color="auto" w:fill="auto"/>
            <w:vAlign w:val="center"/>
          </w:tcPr>
          <w:p>
            <w:pPr>
              <w:jc w:val="center"/>
              <w:rPr>
                <w:rFonts w:ascii="Arial" w:hAnsi="Arial" w:cs="Arial"/>
                <w:b/>
                <w:bCs/>
                <w:sz w:val="20"/>
                <w:szCs w:val="20"/>
              </w:rPr>
            </w:pPr>
            <w:r>
              <w:rPr>
                <w:rFonts w:ascii="Arial" w:hAnsi="Arial" w:cs="Arial"/>
                <w:b/>
                <w:bCs/>
                <w:sz w:val="20"/>
                <w:szCs w:val="20"/>
              </w:rPr>
              <w:t>Actual Cost</w:t>
            </w:r>
          </w:p>
          <w:p>
            <w:pPr>
              <w:jc w:val="center"/>
              <w:rPr>
                <w:rFonts w:ascii="Arial" w:hAnsi="Arial" w:cs="Arial"/>
                <w:b/>
                <w:bCs/>
                <w:sz w:val="20"/>
                <w:szCs w:val="20"/>
              </w:rPr>
            </w:pPr>
            <w:r>
              <w:rPr>
                <w:rFonts w:ascii="Arial" w:hAnsi="Arial" w:cs="Arial"/>
                <w:b/>
                <w:bCs/>
                <w:sz w:val="20"/>
                <w:szCs w:val="20"/>
              </w:rPr>
              <w:t>(based on GAD AR)</w:t>
            </w:r>
          </w:p>
        </w:tc>
        <w:tc>
          <w:tcPr>
            <w:tcW w:w="1044" w:type="dxa"/>
            <w:tcBorders>
              <w:top w:val="single" w:sz="4" w:space="0" w:color="auto"/>
              <w:bottom w:val="single" w:sz="4" w:space="0" w:color="auto"/>
            </w:tcBorders>
          </w:tcPr>
          <w:p>
            <w:pPr>
              <w:jc w:val="center"/>
              <w:rPr>
                <w:rFonts w:ascii="Arial" w:hAnsi="Arial" w:cs="Arial"/>
                <w:b/>
                <w:bCs/>
                <w:sz w:val="20"/>
                <w:szCs w:val="20"/>
              </w:rPr>
            </w:pPr>
            <w:r>
              <w:rPr>
                <w:rFonts w:ascii="Arial" w:hAnsi="Arial" w:cs="Arial"/>
                <w:b/>
                <w:bCs/>
                <w:sz w:val="20"/>
                <w:szCs w:val="20"/>
              </w:rPr>
              <w:t>%</w:t>
            </w:r>
          </w:p>
        </w:tc>
        <w:tc>
          <w:tcPr>
            <w:tcW w:w="1873" w:type="dxa"/>
            <w:tcBorders>
              <w:top w:val="single" w:sz="4" w:space="0" w:color="auto"/>
              <w:bottom w:val="single" w:sz="4" w:space="0" w:color="auto"/>
            </w:tcBorders>
            <w:shd w:val="clear" w:color="auto" w:fill="auto"/>
            <w:noWrap/>
            <w:vAlign w:val="center"/>
          </w:tcPr>
          <w:p>
            <w:pPr>
              <w:jc w:val="center"/>
              <w:rPr>
                <w:rFonts w:ascii="Arial" w:hAnsi="Arial" w:cs="Arial"/>
                <w:b/>
                <w:bCs/>
                <w:sz w:val="20"/>
                <w:szCs w:val="20"/>
              </w:rPr>
            </w:pPr>
            <w:r>
              <w:rPr>
                <w:rFonts w:ascii="Arial" w:hAnsi="Arial" w:cs="Arial"/>
                <w:b/>
                <w:bCs/>
                <w:sz w:val="20"/>
                <w:szCs w:val="20"/>
              </w:rPr>
              <w:t>Unexpended balance</w:t>
            </w:r>
          </w:p>
        </w:tc>
        <w:tc>
          <w:tcPr>
            <w:tcW w:w="915" w:type="dxa"/>
            <w:tcBorders>
              <w:top w:val="single" w:sz="4" w:space="0" w:color="auto"/>
              <w:bottom w:val="single" w:sz="4" w:space="0" w:color="auto"/>
            </w:tcBorders>
          </w:tcPr>
          <w:p>
            <w:pPr>
              <w:jc w:val="center"/>
              <w:rPr>
                <w:rFonts w:ascii="Arial" w:hAnsi="Arial" w:cs="Arial"/>
                <w:b/>
                <w:bCs/>
                <w:sz w:val="20"/>
                <w:szCs w:val="20"/>
              </w:rPr>
            </w:pPr>
            <w:r>
              <w:rPr>
                <w:rFonts w:ascii="Arial" w:hAnsi="Arial" w:cs="Arial"/>
                <w:b/>
                <w:bCs/>
                <w:sz w:val="20"/>
                <w:szCs w:val="20"/>
              </w:rPr>
              <w:t>%</w:t>
            </w:r>
          </w:p>
        </w:tc>
      </w:tr>
      <w:tr>
        <w:trPr>
          <w:trHeight w:val="240"/>
        </w:trPr>
        <w:tc>
          <w:tcPr>
            <w:tcW w:w="1694" w:type="dxa"/>
            <w:tcBorders>
              <w:top w:val="single" w:sz="4" w:space="0" w:color="auto"/>
            </w:tcBorders>
            <w:shd w:val="clear" w:color="auto" w:fill="auto"/>
            <w:noWrap/>
          </w:tcPr>
          <w:p>
            <w:pPr>
              <w:rPr>
                <w:rFonts w:ascii="Arial" w:hAnsi="Arial" w:cs="Arial"/>
                <w:sz w:val="20"/>
                <w:szCs w:val="20"/>
              </w:rPr>
            </w:pPr>
            <w:r>
              <w:rPr>
                <w:rFonts w:ascii="Arial" w:hAnsi="Arial" w:cs="Arial"/>
                <w:sz w:val="20"/>
                <w:szCs w:val="20"/>
              </w:rPr>
              <w:t>Client-focused</w:t>
            </w:r>
          </w:p>
        </w:tc>
        <w:tc>
          <w:tcPr>
            <w:tcW w:w="1873" w:type="dxa"/>
            <w:tcBorders>
              <w:top w:val="single" w:sz="4" w:space="0" w:color="auto"/>
            </w:tcBorders>
            <w:shd w:val="clear" w:color="auto" w:fill="auto"/>
            <w:noWrap/>
          </w:tcPr>
          <w:p>
            <w:pPr>
              <w:jc w:val="right"/>
              <w:rPr>
                <w:rFonts w:ascii="Arial" w:hAnsi="Arial" w:cs="Arial"/>
                <w:sz w:val="20"/>
                <w:szCs w:val="20"/>
              </w:rPr>
            </w:pPr>
            <w:r>
              <w:rPr>
                <w:rFonts w:ascii="Arial" w:hAnsi="Arial" w:cs="Arial"/>
                <w:sz w:val="20"/>
                <w:szCs w:val="20"/>
              </w:rPr>
              <w:t>1,284,829,799.30</w:t>
            </w:r>
          </w:p>
        </w:tc>
        <w:tc>
          <w:tcPr>
            <w:tcW w:w="2229" w:type="dxa"/>
            <w:tcBorders>
              <w:top w:val="single" w:sz="4" w:space="0" w:color="auto"/>
            </w:tcBorders>
            <w:shd w:val="clear" w:color="auto" w:fill="auto"/>
            <w:noWrap/>
          </w:tcPr>
          <w:p>
            <w:pPr>
              <w:jc w:val="right"/>
              <w:rPr>
                <w:rFonts w:ascii="Arial" w:hAnsi="Arial" w:cs="Arial"/>
                <w:sz w:val="20"/>
                <w:szCs w:val="20"/>
              </w:rPr>
            </w:pPr>
            <w:r>
              <w:rPr>
                <w:rFonts w:ascii="Arial" w:hAnsi="Arial" w:cs="Arial"/>
                <w:sz w:val="20"/>
                <w:szCs w:val="20"/>
              </w:rPr>
              <w:t>1,171,533,423.00</w:t>
            </w:r>
          </w:p>
        </w:tc>
        <w:tc>
          <w:tcPr>
            <w:tcW w:w="1044" w:type="dxa"/>
            <w:tcBorders>
              <w:top w:val="single" w:sz="4" w:space="0" w:color="auto"/>
            </w:tcBorders>
          </w:tcPr>
          <w:p>
            <w:pPr>
              <w:jc w:val="right"/>
              <w:rPr>
                <w:rFonts w:ascii="Arial" w:hAnsi="Arial" w:cs="Arial"/>
                <w:sz w:val="20"/>
                <w:szCs w:val="20"/>
              </w:rPr>
            </w:pPr>
            <w:r>
              <w:rPr>
                <w:rFonts w:ascii="Arial" w:hAnsi="Arial" w:cs="Arial"/>
                <w:sz w:val="20"/>
                <w:szCs w:val="20"/>
              </w:rPr>
              <w:t>91.18%</w:t>
            </w:r>
          </w:p>
        </w:tc>
        <w:tc>
          <w:tcPr>
            <w:tcW w:w="1873" w:type="dxa"/>
            <w:tcBorders>
              <w:top w:val="single" w:sz="4" w:space="0" w:color="auto"/>
            </w:tcBorders>
            <w:shd w:val="clear" w:color="auto" w:fill="auto"/>
            <w:noWrap/>
          </w:tcPr>
          <w:p>
            <w:pPr>
              <w:jc w:val="right"/>
              <w:rPr>
                <w:rFonts w:ascii="Arial" w:hAnsi="Arial" w:cs="Arial"/>
                <w:sz w:val="20"/>
                <w:szCs w:val="20"/>
              </w:rPr>
            </w:pPr>
            <w:r>
              <w:rPr>
                <w:rFonts w:ascii="Arial" w:hAnsi="Arial" w:cs="Arial"/>
                <w:sz w:val="20"/>
                <w:szCs w:val="20"/>
              </w:rPr>
              <w:t>113,296,376.30</w:t>
            </w:r>
          </w:p>
        </w:tc>
        <w:tc>
          <w:tcPr>
            <w:tcW w:w="915" w:type="dxa"/>
            <w:tcBorders>
              <w:top w:val="single" w:sz="4" w:space="0" w:color="auto"/>
            </w:tcBorders>
          </w:tcPr>
          <w:p>
            <w:pPr>
              <w:jc w:val="right"/>
              <w:rPr>
                <w:rFonts w:ascii="Arial" w:hAnsi="Arial" w:cs="Arial"/>
                <w:sz w:val="20"/>
                <w:szCs w:val="20"/>
              </w:rPr>
            </w:pPr>
            <w:r>
              <w:rPr>
                <w:rFonts w:ascii="Arial" w:hAnsi="Arial" w:cs="Arial"/>
                <w:sz w:val="20"/>
                <w:szCs w:val="20"/>
              </w:rPr>
              <w:t>8.82%</w:t>
            </w:r>
          </w:p>
        </w:tc>
      </w:tr>
      <w:tr>
        <w:trPr>
          <w:trHeight w:val="240"/>
        </w:trPr>
        <w:tc>
          <w:tcPr>
            <w:tcW w:w="1694" w:type="dxa"/>
            <w:tcBorders>
              <w:bottom w:val="single" w:sz="4" w:space="0" w:color="auto"/>
            </w:tcBorders>
            <w:shd w:val="clear" w:color="auto" w:fill="auto"/>
            <w:noWrap/>
          </w:tcPr>
          <w:p>
            <w:pPr>
              <w:rPr>
                <w:rFonts w:ascii="Arial" w:hAnsi="Arial" w:cs="Arial"/>
                <w:sz w:val="20"/>
                <w:szCs w:val="20"/>
              </w:rPr>
            </w:pPr>
            <w:r>
              <w:rPr>
                <w:rFonts w:ascii="Arial" w:hAnsi="Arial" w:cs="Arial"/>
                <w:sz w:val="20"/>
                <w:szCs w:val="20"/>
              </w:rPr>
              <w:t>Org-focused</w:t>
            </w:r>
          </w:p>
        </w:tc>
        <w:tc>
          <w:tcPr>
            <w:tcW w:w="1873" w:type="dxa"/>
            <w:tcBorders>
              <w:bottom w:val="single" w:sz="4" w:space="0" w:color="auto"/>
            </w:tcBorders>
            <w:shd w:val="clear" w:color="auto" w:fill="auto"/>
            <w:noWrap/>
          </w:tcPr>
          <w:p>
            <w:pPr>
              <w:jc w:val="right"/>
              <w:rPr>
                <w:rFonts w:ascii="Arial" w:hAnsi="Arial" w:cs="Arial"/>
                <w:sz w:val="20"/>
                <w:szCs w:val="20"/>
              </w:rPr>
            </w:pPr>
            <w:r>
              <w:rPr>
                <w:rFonts w:ascii="Arial" w:hAnsi="Arial" w:cs="Arial"/>
                <w:sz w:val="20"/>
                <w:szCs w:val="20"/>
              </w:rPr>
              <w:t>70,197,060.79</w:t>
            </w:r>
          </w:p>
        </w:tc>
        <w:tc>
          <w:tcPr>
            <w:tcW w:w="2229" w:type="dxa"/>
            <w:tcBorders>
              <w:bottom w:val="single" w:sz="4" w:space="0" w:color="auto"/>
            </w:tcBorders>
            <w:shd w:val="clear" w:color="auto" w:fill="auto"/>
            <w:noWrap/>
          </w:tcPr>
          <w:p>
            <w:pPr>
              <w:jc w:val="right"/>
              <w:rPr>
                <w:rFonts w:ascii="Arial" w:hAnsi="Arial" w:cs="Arial"/>
                <w:sz w:val="20"/>
                <w:szCs w:val="20"/>
              </w:rPr>
            </w:pPr>
            <w:r>
              <w:rPr>
                <w:rFonts w:ascii="Arial" w:hAnsi="Arial" w:cs="Arial"/>
                <w:sz w:val="20"/>
                <w:szCs w:val="20"/>
              </w:rPr>
              <w:t>11,161,718.00</w:t>
            </w:r>
          </w:p>
        </w:tc>
        <w:tc>
          <w:tcPr>
            <w:tcW w:w="1044" w:type="dxa"/>
            <w:tcBorders>
              <w:bottom w:val="single" w:sz="4" w:space="0" w:color="auto"/>
            </w:tcBorders>
          </w:tcPr>
          <w:p>
            <w:pPr>
              <w:jc w:val="right"/>
              <w:rPr>
                <w:rFonts w:ascii="Arial" w:hAnsi="Arial" w:cs="Arial"/>
                <w:sz w:val="20"/>
                <w:szCs w:val="20"/>
              </w:rPr>
            </w:pPr>
            <w:r>
              <w:rPr>
                <w:rFonts w:ascii="Arial" w:hAnsi="Arial" w:cs="Arial"/>
                <w:sz w:val="20"/>
                <w:szCs w:val="20"/>
              </w:rPr>
              <w:t>15.90%</w:t>
            </w:r>
          </w:p>
        </w:tc>
        <w:tc>
          <w:tcPr>
            <w:tcW w:w="1873" w:type="dxa"/>
            <w:tcBorders>
              <w:bottom w:val="single" w:sz="4" w:space="0" w:color="auto"/>
            </w:tcBorders>
            <w:shd w:val="clear" w:color="auto" w:fill="auto"/>
            <w:noWrap/>
          </w:tcPr>
          <w:p>
            <w:pPr>
              <w:jc w:val="right"/>
              <w:rPr>
                <w:rFonts w:ascii="Arial" w:hAnsi="Arial" w:cs="Arial"/>
                <w:sz w:val="20"/>
                <w:szCs w:val="20"/>
              </w:rPr>
            </w:pPr>
            <w:r>
              <w:rPr>
                <w:rFonts w:ascii="Arial" w:hAnsi="Arial" w:cs="Arial"/>
                <w:sz w:val="20"/>
                <w:szCs w:val="20"/>
              </w:rPr>
              <w:t>59,035,342.79</w:t>
            </w:r>
          </w:p>
        </w:tc>
        <w:tc>
          <w:tcPr>
            <w:tcW w:w="915" w:type="dxa"/>
            <w:tcBorders>
              <w:bottom w:val="single" w:sz="4" w:space="0" w:color="auto"/>
            </w:tcBorders>
          </w:tcPr>
          <w:p>
            <w:pPr>
              <w:jc w:val="right"/>
              <w:rPr>
                <w:rFonts w:ascii="Arial" w:hAnsi="Arial" w:cs="Arial"/>
                <w:sz w:val="20"/>
                <w:szCs w:val="20"/>
              </w:rPr>
            </w:pPr>
            <w:r>
              <w:rPr>
                <w:rFonts w:ascii="Arial" w:hAnsi="Arial" w:cs="Arial"/>
                <w:sz w:val="20"/>
                <w:szCs w:val="20"/>
              </w:rPr>
              <w:t>84.10%</w:t>
            </w:r>
          </w:p>
        </w:tc>
      </w:tr>
      <w:tr>
        <w:trPr>
          <w:trHeight w:val="252"/>
        </w:trPr>
        <w:tc>
          <w:tcPr>
            <w:tcW w:w="1694" w:type="dxa"/>
            <w:tcBorders>
              <w:top w:val="single" w:sz="4" w:space="0" w:color="auto"/>
              <w:bottom w:val="single" w:sz="4" w:space="0" w:color="auto"/>
            </w:tcBorders>
            <w:shd w:val="clear" w:color="auto" w:fill="auto"/>
            <w:noWrap/>
          </w:tcPr>
          <w:p>
            <w:pPr>
              <w:jc w:val="center"/>
              <w:rPr>
                <w:rFonts w:ascii="Arial" w:hAnsi="Arial" w:cs="Arial"/>
                <w:b/>
                <w:bCs/>
                <w:sz w:val="20"/>
                <w:szCs w:val="20"/>
              </w:rPr>
            </w:pPr>
            <w:r>
              <w:rPr>
                <w:rFonts w:ascii="Arial" w:hAnsi="Arial" w:cs="Arial"/>
                <w:b/>
                <w:bCs/>
                <w:sz w:val="20"/>
                <w:szCs w:val="20"/>
              </w:rPr>
              <w:t>Total</w:t>
            </w:r>
          </w:p>
        </w:tc>
        <w:tc>
          <w:tcPr>
            <w:tcW w:w="1873" w:type="dxa"/>
            <w:tcBorders>
              <w:top w:val="single" w:sz="4" w:space="0" w:color="auto"/>
              <w:bottom w:val="single" w:sz="4" w:space="0" w:color="auto"/>
            </w:tcBorders>
            <w:shd w:val="clear" w:color="auto" w:fill="auto"/>
            <w:noWrap/>
          </w:tcPr>
          <w:p>
            <w:pPr>
              <w:jc w:val="right"/>
              <w:rPr>
                <w:rFonts w:ascii="Arial" w:hAnsi="Arial" w:cs="Arial"/>
                <w:b/>
                <w:bCs/>
                <w:sz w:val="20"/>
                <w:szCs w:val="20"/>
              </w:rPr>
            </w:pPr>
            <w:r>
              <w:rPr>
                <w:rFonts w:ascii="Arial" w:hAnsi="Arial" w:cs="Arial"/>
                <w:b/>
                <w:bCs/>
                <w:sz w:val="20"/>
                <w:szCs w:val="20"/>
              </w:rPr>
              <w:t>1,355,026,860.09</w:t>
            </w:r>
          </w:p>
        </w:tc>
        <w:tc>
          <w:tcPr>
            <w:tcW w:w="2229" w:type="dxa"/>
            <w:tcBorders>
              <w:top w:val="single" w:sz="4" w:space="0" w:color="auto"/>
              <w:bottom w:val="single" w:sz="4" w:space="0" w:color="auto"/>
            </w:tcBorders>
            <w:shd w:val="clear" w:color="auto" w:fill="auto"/>
            <w:noWrap/>
          </w:tcPr>
          <w:p>
            <w:pPr>
              <w:jc w:val="right"/>
              <w:rPr>
                <w:rFonts w:ascii="Arial" w:hAnsi="Arial" w:cs="Arial"/>
                <w:b/>
                <w:bCs/>
                <w:sz w:val="20"/>
                <w:szCs w:val="20"/>
              </w:rPr>
            </w:pPr>
            <w:r>
              <w:rPr>
                <w:rFonts w:ascii="Arial" w:hAnsi="Arial" w:cs="Arial"/>
                <w:b/>
                <w:bCs/>
                <w:sz w:val="20"/>
                <w:szCs w:val="20"/>
              </w:rPr>
              <w:t>1,182,695,141.00</w:t>
            </w:r>
          </w:p>
        </w:tc>
        <w:tc>
          <w:tcPr>
            <w:tcW w:w="1044" w:type="dxa"/>
            <w:tcBorders>
              <w:top w:val="single" w:sz="4" w:space="0" w:color="auto"/>
              <w:bottom w:val="single" w:sz="4" w:space="0" w:color="auto"/>
            </w:tcBorders>
          </w:tcPr>
          <w:p>
            <w:pPr>
              <w:jc w:val="right"/>
              <w:rPr>
                <w:rFonts w:ascii="Arial" w:hAnsi="Arial" w:cs="Arial"/>
                <w:b/>
                <w:bCs/>
                <w:sz w:val="20"/>
                <w:szCs w:val="20"/>
              </w:rPr>
            </w:pPr>
            <w:r>
              <w:rPr>
                <w:rFonts w:ascii="Arial" w:hAnsi="Arial" w:cs="Arial"/>
                <w:b/>
                <w:bCs/>
                <w:sz w:val="20"/>
                <w:szCs w:val="20"/>
              </w:rPr>
              <w:t>87.28%</w:t>
            </w:r>
          </w:p>
        </w:tc>
        <w:tc>
          <w:tcPr>
            <w:tcW w:w="1873" w:type="dxa"/>
            <w:tcBorders>
              <w:top w:val="single" w:sz="4" w:space="0" w:color="auto"/>
              <w:bottom w:val="single" w:sz="4" w:space="0" w:color="auto"/>
            </w:tcBorders>
            <w:shd w:val="clear" w:color="auto" w:fill="auto"/>
            <w:noWrap/>
          </w:tcPr>
          <w:p>
            <w:pPr>
              <w:jc w:val="right"/>
              <w:rPr>
                <w:rFonts w:ascii="Arial" w:hAnsi="Arial" w:cs="Arial"/>
                <w:b/>
                <w:bCs/>
                <w:sz w:val="20"/>
                <w:szCs w:val="20"/>
              </w:rPr>
            </w:pPr>
            <w:r>
              <w:rPr>
                <w:rFonts w:ascii="Arial" w:hAnsi="Arial" w:cs="Arial"/>
                <w:b/>
                <w:bCs/>
                <w:sz w:val="20"/>
                <w:szCs w:val="20"/>
              </w:rPr>
              <w:t>172,331,719.09</w:t>
            </w:r>
          </w:p>
        </w:tc>
        <w:tc>
          <w:tcPr>
            <w:tcW w:w="915" w:type="dxa"/>
            <w:tcBorders>
              <w:top w:val="single" w:sz="4" w:space="0" w:color="auto"/>
              <w:bottom w:val="single" w:sz="4" w:space="0" w:color="auto"/>
            </w:tcBorders>
          </w:tcPr>
          <w:p>
            <w:pPr>
              <w:jc w:val="right"/>
              <w:rPr>
                <w:rFonts w:ascii="Arial" w:hAnsi="Arial" w:cs="Arial"/>
                <w:b/>
                <w:bCs/>
                <w:sz w:val="20"/>
                <w:szCs w:val="20"/>
              </w:rPr>
            </w:pPr>
            <w:r>
              <w:rPr>
                <w:rFonts w:ascii="Arial" w:hAnsi="Arial" w:cs="Arial"/>
                <w:b/>
                <w:bCs/>
                <w:sz w:val="20"/>
                <w:szCs w:val="20"/>
              </w:rPr>
              <w:t>12.72%</w:t>
            </w:r>
          </w:p>
        </w:tc>
      </w:tr>
    </w:tbl>
    <w:p/>
    <w:p>
      <w:pPr>
        <w:pStyle w:val="ListParagraph"/>
        <w:numPr>
          <w:ilvl w:val="1"/>
          <w:numId w:val="7"/>
        </w:numPr>
        <w:ind w:hanging="630"/>
        <w:jc w:val="both"/>
        <w:rPr>
          <w:rFonts w:ascii="Arial" w:hAnsi="Arial" w:cs="Arial"/>
          <w:sz w:val="22"/>
          <w:szCs w:val="22"/>
        </w:rPr>
      </w:pPr>
      <w:r>
        <w:rPr>
          <w:rFonts w:ascii="Arial" w:hAnsi="Arial" w:cs="Arial"/>
          <w:sz w:val="22"/>
          <w:szCs w:val="22"/>
        </w:rPr>
        <w:t>Due to the non-implementation of other GAD PPAs, the City’s objective to support gender and development, women’s empowerment and responding to gender issues were not fully attained as planned. Further, the under-utilization of the GAD Fund merits a Management review on how to better address the gaps that adversely affected the full implementation of PPAs.</w:t>
      </w:r>
    </w:p>
    <w:p>
      <w:pPr>
        <w:rPr>
          <w:sz w:val="22"/>
          <w:szCs w:val="22"/>
        </w:rPr>
      </w:pPr>
    </w:p>
    <w:p>
      <w:pPr>
        <w:pStyle w:val="ListParagraph"/>
        <w:numPr>
          <w:ilvl w:val="1"/>
          <w:numId w:val="23"/>
        </w:numPr>
        <w:ind w:hanging="654"/>
        <w:jc w:val="both"/>
        <w:rPr>
          <w:rFonts w:ascii="Arial" w:hAnsi="Arial" w:cs="Arial"/>
          <w:b/>
          <w:bCs/>
          <w:sz w:val="22"/>
          <w:szCs w:val="22"/>
        </w:rPr>
      </w:pPr>
      <w:r>
        <w:rPr>
          <w:rFonts w:ascii="Arial" w:hAnsi="Arial" w:cs="Arial"/>
          <w:b/>
          <w:bCs/>
          <w:sz w:val="22"/>
          <w:szCs w:val="22"/>
        </w:rPr>
        <w:t>We recommended that Management direct the GFPS to:</w:t>
      </w:r>
    </w:p>
    <w:p>
      <w:pPr>
        <w:tabs>
          <w:tab w:val="left" w:pos="1890"/>
          <w:tab w:val="left" w:pos="1980"/>
        </w:tabs>
        <w:spacing w:line="259" w:lineRule="auto"/>
        <w:ind w:left="720"/>
        <w:contextualSpacing/>
        <w:jc w:val="both"/>
        <w:rPr>
          <w:rFonts w:ascii="Arial" w:hAnsi="Arial" w:cs="Arial"/>
          <w:b/>
          <w:sz w:val="22"/>
          <w:szCs w:val="22"/>
        </w:rPr>
      </w:pPr>
    </w:p>
    <w:p>
      <w:pPr>
        <w:numPr>
          <w:ilvl w:val="2"/>
          <w:numId w:val="24"/>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t>Regularly monitor and evaluate the utilization of the GPB to ensure that PPAs are fully implemented as planned and challenges that cause non-implementation, if any, are identified and addressed;</w:t>
      </w:r>
    </w:p>
    <w:p>
      <w:pPr>
        <w:tabs>
          <w:tab w:val="left" w:pos="1890"/>
          <w:tab w:val="left" w:pos="1980"/>
        </w:tabs>
        <w:spacing w:line="259" w:lineRule="auto"/>
        <w:ind w:left="1418"/>
        <w:contextualSpacing/>
        <w:jc w:val="both"/>
        <w:rPr>
          <w:rFonts w:ascii="Arial" w:hAnsi="Arial" w:cs="Arial"/>
          <w:b/>
          <w:bCs/>
          <w:sz w:val="22"/>
          <w:szCs w:val="22"/>
        </w:rPr>
      </w:pPr>
    </w:p>
    <w:p>
      <w:pPr>
        <w:numPr>
          <w:ilvl w:val="2"/>
          <w:numId w:val="24"/>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t>Ensure that only PPAs listed in the approved GPB will be charged against the GAD Fund; and</w:t>
      </w:r>
    </w:p>
    <w:p>
      <w:pPr>
        <w:tabs>
          <w:tab w:val="left" w:pos="1890"/>
          <w:tab w:val="left" w:pos="1980"/>
        </w:tabs>
        <w:spacing w:line="259" w:lineRule="auto"/>
        <w:ind w:left="1418"/>
        <w:contextualSpacing/>
        <w:jc w:val="both"/>
        <w:rPr>
          <w:rFonts w:ascii="Arial" w:hAnsi="Arial" w:cs="Arial"/>
          <w:b/>
          <w:bCs/>
          <w:sz w:val="22"/>
          <w:szCs w:val="22"/>
        </w:rPr>
      </w:pPr>
    </w:p>
    <w:p>
      <w:pPr>
        <w:numPr>
          <w:ilvl w:val="2"/>
          <w:numId w:val="24"/>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lastRenderedPageBreak/>
        <w:t>Comply with the provisions of the JMCs discussed and RA No. 9710 and its IRR.</w:t>
      </w:r>
    </w:p>
    <w:p>
      <w:pPr>
        <w:pStyle w:val="NoSpacing"/>
        <w:ind w:left="450"/>
        <w:jc w:val="both"/>
        <w:rPr>
          <w:b/>
          <w:sz w:val="22"/>
          <w:u w:val="none"/>
        </w:rPr>
      </w:pPr>
    </w:p>
    <w:p>
      <w:pPr>
        <w:pStyle w:val="NoSpacing"/>
        <w:ind w:left="450"/>
        <w:jc w:val="both"/>
        <w:rPr>
          <w:bCs/>
          <w:sz w:val="22"/>
          <w:u w:val="none"/>
        </w:rPr>
      </w:pPr>
      <w:r>
        <w:rPr>
          <w:bCs/>
          <w:sz w:val="22"/>
          <w:u w:val="none"/>
        </w:rPr>
        <w:t>Management comments/actions:</w:t>
      </w:r>
    </w:p>
    <w:p>
      <w:pPr>
        <w:pStyle w:val="NoSpacing"/>
        <w:ind w:left="450"/>
        <w:jc w:val="both"/>
        <w:rPr>
          <w:bCs/>
          <w:sz w:val="22"/>
          <w:u w:val="none"/>
        </w:rPr>
      </w:pPr>
    </w:p>
    <w:p>
      <w:pPr>
        <w:pStyle w:val="ListParagraph"/>
        <w:numPr>
          <w:ilvl w:val="1"/>
          <w:numId w:val="7"/>
        </w:numPr>
        <w:ind w:hanging="630"/>
        <w:jc w:val="both"/>
        <w:rPr>
          <w:rFonts w:ascii="Arial" w:hAnsi="Arial" w:cs="Arial"/>
          <w:bCs/>
          <w:sz w:val="22"/>
        </w:rPr>
      </w:pPr>
      <w:r>
        <w:rPr>
          <w:rFonts w:ascii="Arial" w:hAnsi="Arial" w:cs="Arial"/>
          <w:bCs/>
          <w:sz w:val="22"/>
        </w:rPr>
        <w:t xml:space="preserve">The GAD Plan and Budget is being prepared at the first quarter of the year while the Budget Hearing is being conducted during the third quarter of the year. Some PPAs included in the GAD Plan did not have budget allocation. Nevertheless, GAD PPAs involving Capacity Development or those that have been listed in the Organization-focused were implemented without using government funds. As for 84 PPAs without status, this is mainly due to newly appointed GAD focal persons who changed the nomenclature of the specific GAD PPAs and some were the result of inadvertent omission in the GAD AR.    </w:t>
      </w:r>
    </w:p>
    <w:p>
      <w:pPr>
        <w:pStyle w:val="NoSpacing"/>
        <w:ind w:left="450"/>
        <w:jc w:val="both"/>
        <w:rPr>
          <w:bCs/>
          <w:sz w:val="22"/>
          <w:u w:val="none"/>
        </w:rPr>
      </w:pPr>
    </w:p>
    <w:p>
      <w:pPr>
        <w:rPr>
          <w:rFonts w:ascii="Arial" w:hAnsi="Arial" w:cs="Arial"/>
          <w:sz w:val="22"/>
          <w:szCs w:val="22"/>
        </w:rPr>
      </w:pPr>
    </w:p>
    <w:p>
      <w:pPr>
        <w:rPr>
          <w:rFonts w:ascii="Arial" w:hAnsi="Arial" w:cs="Arial"/>
          <w:sz w:val="22"/>
          <w:szCs w:val="22"/>
        </w:rPr>
      </w:pPr>
      <w:r>
        <w:rPr>
          <w:rFonts w:ascii="Arial" w:hAnsi="Arial" w:cs="Arial"/>
          <w:sz w:val="22"/>
          <w:szCs w:val="22"/>
        </w:rPr>
        <w:t>COMPLIANCE WITH TAX LAWS AND OTHER REGULATORY REQUIREMENTS</w:t>
      </w:r>
    </w:p>
    <w:p>
      <w:pPr>
        <w:tabs>
          <w:tab w:val="left" w:pos="720"/>
          <w:tab w:val="left" w:pos="1080"/>
        </w:tabs>
        <w:jc w:val="both"/>
        <w:rPr>
          <w:rFonts w:ascii="Arial" w:hAnsi="Arial" w:cs="Arial"/>
          <w:b/>
          <w:iCs/>
          <w:sz w:val="22"/>
          <w:szCs w:val="22"/>
        </w:rPr>
      </w:pPr>
    </w:p>
    <w:p>
      <w:pPr>
        <w:pStyle w:val="NoSpacing"/>
        <w:numPr>
          <w:ilvl w:val="0"/>
          <w:numId w:val="14"/>
        </w:numPr>
        <w:ind w:left="450" w:hanging="450"/>
        <w:jc w:val="both"/>
        <w:rPr>
          <w:sz w:val="22"/>
          <w:u w:val="none"/>
        </w:rPr>
      </w:pPr>
      <w:bookmarkStart w:id="4" w:name="_Hlk166156125"/>
      <w:r>
        <w:rPr>
          <w:b/>
          <w:bCs/>
          <w:kern w:val="28"/>
          <w:sz w:val="22"/>
          <w:u w:val="none"/>
          <w:lang w:eastAsia="en-PH"/>
        </w:rPr>
        <w:t>A total of P472.416</w:t>
      </w:r>
      <w:r>
        <w:rPr>
          <w:rStyle w:val="FootnoteReference"/>
          <w:b/>
          <w:bCs/>
          <w:sz w:val="22"/>
          <w:u w:val="none"/>
        </w:rPr>
        <w:footnoteReference w:id="9"/>
      </w:r>
      <w:r>
        <w:rPr>
          <w:b/>
          <w:bCs/>
          <w:kern w:val="28"/>
          <w:sz w:val="22"/>
          <w:u w:val="none"/>
          <w:lang w:eastAsia="en-PH"/>
        </w:rPr>
        <w:t xml:space="preserve"> million withheld for CY 2023 remittances to the </w:t>
      </w:r>
      <w:r>
        <w:rPr>
          <w:b/>
          <w:bCs/>
          <w:color w:val="000000"/>
          <w:sz w:val="22"/>
          <w:u w:val="none"/>
          <w:lang w:val="en-PH"/>
        </w:rPr>
        <w:t>Bureau of Internal Revenue (BIR)</w:t>
      </w:r>
      <w:r>
        <w:rPr>
          <w:b/>
          <w:bCs/>
          <w:iCs/>
          <w:sz w:val="22"/>
          <w:u w:val="none"/>
        </w:rPr>
        <w:t xml:space="preserve">, </w:t>
      </w:r>
      <w:r>
        <w:rPr>
          <w:b/>
          <w:bCs/>
          <w:color w:val="000000"/>
          <w:sz w:val="22"/>
          <w:u w:val="none"/>
          <w:lang w:val="en-PH"/>
        </w:rPr>
        <w:t>Government Service Insurance System (GSIS), Pag-IBIG and PhilHealth</w:t>
      </w:r>
      <w:r>
        <w:rPr>
          <w:b/>
          <w:bCs/>
          <w:kern w:val="28"/>
          <w:sz w:val="22"/>
          <w:u w:val="none"/>
          <w:lang w:eastAsia="en-PH"/>
        </w:rPr>
        <w:t xml:space="preserve"> have not been remitted by the City contrary to existing rules and regulations.</w:t>
      </w:r>
    </w:p>
    <w:bookmarkEnd w:id="4"/>
    <w:p>
      <w:pPr>
        <w:ind w:hanging="720"/>
        <w:jc w:val="both"/>
        <w:rPr>
          <w:rFonts w:ascii="Arial" w:hAnsi="Arial" w:cs="Arial"/>
          <w:b/>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sz w:val="22"/>
          <w:szCs w:val="22"/>
        </w:rPr>
        <w:t>We</w:t>
      </w:r>
      <w:r>
        <w:rPr>
          <w:rFonts w:ascii="Arial" w:hAnsi="Arial" w:cs="Arial"/>
          <w:bCs/>
          <w:sz w:val="22"/>
          <w:szCs w:val="22"/>
        </w:rPr>
        <w:t xml:space="preserve"> audited Inter-Agency Payables to determine whether 1) the amounts being withheld by City are promptly remitted to appropriate agencies and 2) the unremitted balances are correctly reported in the FS.</w:t>
      </w:r>
    </w:p>
    <w:p>
      <w:pPr>
        <w:pStyle w:val="ListParagraph"/>
        <w:ind w:left="360"/>
        <w:jc w:val="both"/>
        <w:rPr>
          <w:rFonts w:ascii="Arial" w:hAnsi="Arial" w:cs="Arial"/>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sz w:val="22"/>
          <w:szCs w:val="22"/>
        </w:rPr>
        <w:t>Our</w:t>
      </w:r>
      <w:r>
        <w:rPr>
          <w:rFonts w:ascii="Arial" w:hAnsi="Arial" w:cs="Arial"/>
          <w:bCs/>
          <w:sz w:val="22"/>
          <w:szCs w:val="22"/>
        </w:rPr>
        <w:t xml:space="preserve"> audit of these accounts is guided by the following provisions: </w:t>
      </w:r>
    </w:p>
    <w:p>
      <w:pPr>
        <w:pStyle w:val="ListParagraph"/>
        <w:ind w:left="0"/>
        <w:jc w:val="both"/>
        <w:rPr>
          <w:rFonts w:ascii="Arial" w:hAnsi="Arial" w:cs="Arial"/>
          <w:b/>
          <w:sz w:val="22"/>
          <w:szCs w:val="22"/>
        </w:rPr>
      </w:pPr>
    </w:p>
    <w:p>
      <w:pPr>
        <w:jc w:val="both"/>
        <w:rPr>
          <w:rFonts w:ascii="Arial" w:hAnsi="Arial" w:cs="Arial"/>
          <w:b/>
          <w:sz w:val="22"/>
          <w:szCs w:val="22"/>
        </w:rPr>
      </w:pPr>
      <w:r>
        <w:rPr>
          <w:rFonts w:ascii="Arial" w:hAnsi="Arial" w:cs="Arial"/>
          <w:b/>
          <w:sz w:val="22"/>
          <w:szCs w:val="22"/>
        </w:rPr>
        <w:t xml:space="preserve">       BIR</w:t>
      </w:r>
    </w:p>
    <w:p>
      <w:pPr>
        <w:pStyle w:val="ListParagraph"/>
        <w:ind w:left="360" w:firstLine="360"/>
        <w:jc w:val="both"/>
        <w:rPr>
          <w:rFonts w:ascii="Arial" w:hAnsi="Arial" w:cs="Arial"/>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sz w:val="22"/>
          <w:szCs w:val="22"/>
        </w:rPr>
        <w:t>Section</w:t>
      </w:r>
      <w:r>
        <w:rPr>
          <w:rFonts w:ascii="Arial" w:hAnsi="Arial" w:cs="Arial"/>
          <w:bCs/>
          <w:sz w:val="22"/>
          <w:szCs w:val="22"/>
        </w:rPr>
        <w:t xml:space="preserve"> 4.1 of Revenue Regulations No. 6-2006 dated July 31, 2001:</w:t>
      </w:r>
    </w:p>
    <w:p>
      <w:pPr>
        <w:jc w:val="both"/>
        <w:rPr>
          <w:rFonts w:ascii="Arial" w:hAnsi="Arial" w:cs="Arial"/>
          <w:bCs/>
          <w:sz w:val="22"/>
          <w:szCs w:val="22"/>
        </w:rPr>
      </w:pPr>
      <w:r>
        <w:rPr>
          <w:rFonts w:ascii="Arial" w:hAnsi="Arial" w:cs="Arial"/>
          <w:bCs/>
          <w:sz w:val="22"/>
          <w:szCs w:val="22"/>
        </w:rPr>
        <w:tab/>
      </w:r>
    </w:p>
    <w:p>
      <w:pPr>
        <w:ind w:left="993" w:right="521"/>
        <w:jc w:val="both"/>
        <w:rPr>
          <w:rFonts w:ascii="Arial" w:hAnsi="Arial" w:cs="Arial"/>
          <w:b/>
          <w:bCs/>
          <w:i/>
          <w:iCs/>
          <w:sz w:val="22"/>
          <w:szCs w:val="22"/>
        </w:rPr>
      </w:pPr>
      <w:r>
        <w:rPr>
          <w:rFonts w:ascii="Arial" w:hAnsi="Arial" w:cs="Arial"/>
          <w:b/>
          <w:i/>
          <w:iCs/>
          <w:sz w:val="22"/>
          <w:szCs w:val="22"/>
        </w:rPr>
        <w:t>RETURNS AND PAYMENT OF TAXES WITHHELD AT SOURCE.</w:t>
      </w:r>
      <w:r>
        <w:rPr>
          <w:rFonts w:ascii="Arial" w:hAnsi="Arial" w:cs="Arial"/>
          <w:bCs/>
          <w:i/>
          <w:iCs/>
          <w:sz w:val="22"/>
          <w:szCs w:val="22"/>
        </w:rPr>
        <w:t xml:space="preserve"> </w:t>
      </w:r>
      <w:r>
        <w:rPr>
          <w:rFonts w:ascii="Arial" w:hAnsi="Arial" w:cs="Arial"/>
          <w:b/>
          <w:i/>
          <w:iCs/>
          <w:sz w:val="22"/>
          <w:szCs w:val="22"/>
        </w:rPr>
        <w:t>When to File</w:t>
      </w:r>
      <w:r>
        <w:rPr>
          <w:rFonts w:ascii="Arial" w:hAnsi="Arial" w:cs="Arial"/>
          <w:bCs/>
          <w:i/>
          <w:iCs/>
          <w:sz w:val="22"/>
          <w:szCs w:val="22"/>
        </w:rPr>
        <w:t>- For both large and non-large taxpayers, the withholding tax return, whether creditable or final (including final withholding taxes on interest from any currency bank deposit and yield or any other monetary benefit from deposit substitutes and from trust funds and similar arrangements)</w:t>
      </w:r>
      <w:r>
        <w:rPr>
          <w:rFonts w:ascii="Arial" w:hAnsi="Arial" w:cs="Arial"/>
          <w:b/>
          <w:i/>
          <w:iCs/>
          <w:sz w:val="22"/>
          <w:szCs w:val="22"/>
        </w:rPr>
        <w:t xml:space="preserve"> shall be filed and payments should be made, within ten (10) days after the end of each month, except for taxes withheld for the month of December of each year, which shall be filed on or before January 15 of the following year</w:t>
      </w:r>
      <w:r>
        <w:rPr>
          <w:rFonts w:ascii="Arial" w:hAnsi="Arial" w:cs="Arial"/>
          <w:b/>
          <w:bCs/>
          <w:i/>
          <w:iCs/>
          <w:sz w:val="22"/>
          <w:szCs w:val="22"/>
        </w:rPr>
        <w:t>.</w:t>
      </w:r>
    </w:p>
    <w:p>
      <w:pPr>
        <w:ind w:left="993" w:right="521"/>
        <w:jc w:val="both"/>
        <w:rPr>
          <w:rFonts w:ascii="Arial" w:hAnsi="Arial" w:cs="Arial"/>
          <w:b/>
          <w:bCs/>
          <w:i/>
          <w:iCs/>
          <w:sz w:val="22"/>
          <w:szCs w:val="22"/>
        </w:rPr>
      </w:pPr>
    </w:p>
    <w:p>
      <w:pPr>
        <w:ind w:left="993" w:right="521"/>
        <w:jc w:val="both"/>
        <w:rPr>
          <w:rFonts w:ascii="Arial" w:hAnsi="Arial" w:cs="Arial"/>
          <w:bCs/>
          <w:i/>
          <w:iCs/>
          <w:sz w:val="22"/>
          <w:szCs w:val="22"/>
        </w:rPr>
      </w:pPr>
      <w:r>
        <w:rPr>
          <w:rFonts w:ascii="Arial" w:hAnsi="Arial" w:cs="Arial"/>
          <w:b/>
          <w:i/>
          <w:iCs/>
          <w:sz w:val="22"/>
          <w:szCs w:val="22"/>
        </w:rPr>
        <w:t>FILING OF RETURN AND PAYMENT OF INCOME TAX WITHHELD ON COMPENSATION (FORM NO. 1601)</w:t>
      </w:r>
      <w:r>
        <w:rPr>
          <w:rFonts w:ascii="Arial" w:hAnsi="Arial" w:cs="Arial"/>
          <w:bCs/>
          <w:i/>
          <w:iCs/>
          <w:sz w:val="22"/>
          <w:szCs w:val="22"/>
        </w:rPr>
        <w:t xml:space="preserve">. - Every person required to deduct and withhold the tax on compensation, including large taxpayers as determined by the Commissioner, </w:t>
      </w:r>
      <w:r>
        <w:rPr>
          <w:rFonts w:ascii="Arial" w:hAnsi="Arial" w:cs="Arial"/>
          <w:b/>
          <w:i/>
          <w:iCs/>
          <w:sz w:val="22"/>
          <w:szCs w:val="22"/>
        </w:rPr>
        <w:t xml:space="preserve">shall make a return and pay such tax on or before the 10th day of the month following the month in which withholding was made to any authorized agent bank within the Revenue District Office (RDO) or in places where there are no agent banks, to the </w:t>
      </w:r>
      <w:r>
        <w:rPr>
          <w:rFonts w:ascii="Arial" w:hAnsi="Arial" w:cs="Arial"/>
          <w:b/>
          <w:i/>
          <w:iCs/>
          <w:sz w:val="22"/>
          <w:szCs w:val="22"/>
        </w:rPr>
        <w:lastRenderedPageBreak/>
        <w:t>Revenue District Officer of the City or Municipality where the withholding agent/employer’s legal residence or place of business or office is located</w:t>
      </w:r>
      <w:r>
        <w:rPr>
          <w:rFonts w:ascii="Arial" w:hAnsi="Arial" w:cs="Arial"/>
          <w:bCs/>
          <w:i/>
          <w:iCs/>
          <w:sz w:val="22"/>
          <w:szCs w:val="22"/>
        </w:rPr>
        <w:t>; xxx (Emphasis supplied)</w:t>
      </w:r>
    </w:p>
    <w:p>
      <w:pPr>
        <w:pStyle w:val="ListParagraph"/>
        <w:ind w:left="0"/>
        <w:jc w:val="both"/>
        <w:rPr>
          <w:rFonts w:ascii="Arial" w:hAnsi="Arial" w:cs="Arial"/>
          <w:b/>
          <w:sz w:val="22"/>
          <w:szCs w:val="22"/>
        </w:rPr>
      </w:pPr>
    </w:p>
    <w:p>
      <w:pPr>
        <w:jc w:val="both"/>
        <w:rPr>
          <w:rFonts w:ascii="Arial" w:hAnsi="Arial" w:cs="Arial"/>
          <w:b/>
          <w:sz w:val="22"/>
          <w:szCs w:val="22"/>
        </w:rPr>
      </w:pPr>
      <w:r>
        <w:rPr>
          <w:rFonts w:ascii="Arial" w:hAnsi="Arial" w:cs="Arial"/>
          <w:b/>
          <w:sz w:val="22"/>
          <w:szCs w:val="22"/>
        </w:rPr>
        <w:t xml:space="preserve">       GSIS</w:t>
      </w:r>
    </w:p>
    <w:p>
      <w:pPr>
        <w:pStyle w:val="ListParagraph"/>
        <w:ind w:left="851"/>
        <w:jc w:val="both"/>
        <w:rPr>
          <w:rFonts w:ascii="Arial" w:hAnsi="Arial" w:cs="Arial"/>
          <w:b/>
          <w:sz w:val="22"/>
          <w:szCs w:val="22"/>
        </w:rPr>
      </w:pPr>
    </w:p>
    <w:p>
      <w:pPr>
        <w:pStyle w:val="ListParagraph"/>
        <w:numPr>
          <w:ilvl w:val="1"/>
          <w:numId w:val="14"/>
        </w:numPr>
        <w:ind w:hanging="630"/>
        <w:jc w:val="both"/>
        <w:rPr>
          <w:rFonts w:ascii="Arial" w:hAnsi="Arial" w:cs="Arial"/>
          <w:b/>
          <w:sz w:val="22"/>
          <w:szCs w:val="22"/>
        </w:rPr>
      </w:pPr>
      <w:r>
        <w:rPr>
          <w:rFonts w:ascii="Arial" w:hAnsi="Arial" w:cs="Arial"/>
          <w:bCs/>
          <w:i/>
          <w:iCs/>
          <w:sz w:val="22"/>
          <w:szCs w:val="22"/>
        </w:rPr>
        <w:t>Section 6 (B) of Republic Act No. 8291 provides that each employer shall remit directly to the GSIS the employees’ and employers’ contributions within the first ten (10) days of the calendar month following the month to which the contributions apply. The remittance by the employer of the contributions to the GSIS shall take priority over and above the payment of any and all obligations, except salaries and wages of its employees.</w:t>
      </w:r>
    </w:p>
    <w:p>
      <w:pPr>
        <w:pStyle w:val="ListParagraph"/>
        <w:ind w:left="360"/>
        <w:jc w:val="both"/>
        <w:rPr>
          <w:rFonts w:ascii="Arial" w:hAnsi="Arial" w:cs="Arial"/>
          <w:b/>
          <w:sz w:val="22"/>
          <w:szCs w:val="22"/>
        </w:rPr>
      </w:pPr>
    </w:p>
    <w:p>
      <w:pPr>
        <w:ind w:right="566"/>
        <w:jc w:val="both"/>
        <w:rPr>
          <w:rFonts w:ascii="Arial" w:hAnsi="Arial" w:cs="Arial"/>
          <w:b/>
          <w:bCs/>
          <w:sz w:val="22"/>
          <w:szCs w:val="22"/>
        </w:rPr>
      </w:pPr>
      <w:r>
        <w:rPr>
          <w:rFonts w:ascii="Arial" w:hAnsi="Arial" w:cs="Arial"/>
          <w:b/>
          <w:bCs/>
          <w:sz w:val="22"/>
          <w:szCs w:val="22"/>
        </w:rPr>
        <w:t xml:space="preserve">       Pag-IBIG </w:t>
      </w:r>
    </w:p>
    <w:p>
      <w:pPr>
        <w:ind w:left="810" w:right="566"/>
        <w:jc w:val="both"/>
        <w:rPr>
          <w:rFonts w:ascii="Arial" w:hAnsi="Arial" w:cs="Arial"/>
          <w:b/>
          <w:bCs/>
          <w:i/>
          <w:iCs/>
          <w:sz w:val="22"/>
          <w:szCs w:val="22"/>
        </w:rPr>
      </w:pPr>
    </w:p>
    <w:p>
      <w:pPr>
        <w:pStyle w:val="ListParagraph"/>
        <w:numPr>
          <w:ilvl w:val="1"/>
          <w:numId w:val="14"/>
        </w:numPr>
        <w:ind w:hanging="630"/>
        <w:jc w:val="both"/>
        <w:rPr>
          <w:rFonts w:ascii="Arial" w:hAnsi="Arial" w:cs="Arial"/>
          <w:i/>
          <w:iCs/>
          <w:sz w:val="22"/>
          <w:szCs w:val="22"/>
        </w:rPr>
      </w:pPr>
      <w:r>
        <w:rPr>
          <w:rFonts w:ascii="Arial" w:hAnsi="Arial" w:cs="Arial"/>
          <w:bCs/>
          <w:sz w:val="22"/>
          <w:szCs w:val="22"/>
        </w:rPr>
        <w:t>Section</w:t>
      </w:r>
      <w:r>
        <w:rPr>
          <w:rFonts w:ascii="Arial" w:hAnsi="Arial" w:cs="Arial"/>
          <w:i/>
          <w:iCs/>
          <w:sz w:val="22"/>
          <w:szCs w:val="22"/>
        </w:rPr>
        <w:t xml:space="preserve"> 3(a) and (b) Rule VII of the Implementing Rules and Regulations (IRR) of RA No. 9679 or the Home Development Mutual Fund (HDMF) Law of 2009 provides that all employers shall remit to the Fund their contributions and the contributions of their covered employees as well as the latter’s loan amortizations or payments to the Fund, as provided for under Section 2 of this Rule, when applicable, within fifteen (15) days from the date the same were collected unless another period is previously agreed upon between the employer and the Fund, or within such periods as the Fund may prescribe otherwise. xxx</w:t>
      </w:r>
    </w:p>
    <w:p>
      <w:pPr>
        <w:ind w:left="810" w:right="566"/>
        <w:jc w:val="both"/>
        <w:rPr>
          <w:rFonts w:ascii="Arial" w:hAnsi="Arial" w:cs="Arial"/>
          <w:i/>
          <w:iCs/>
          <w:sz w:val="22"/>
          <w:szCs w:val="22"/>
        </w:rPr>
      </w:pPr>
    </w:p>
    <w:p>
      <w:pPr>
        <w:pStyle w:val="ListParagraph"/>
        <w:numPr>
          <w:ilvl w:val="1"/>
          <w:numId w:val="14"/>
        </w:numPr>
        <w:ind w:hanging="630"/>
        <w:jc w:val="both"/>
        <w:rPr>
          <w:rFonts w:ascii="Arial" w:hAnsi="Arial" w:cs="Arial"/>
          <w:i/>
          <w:iCs/>
          <w:sz w:val="22"/>
          <w:szCs w:val="22"/>
        </w:rPr>
      </w:pPr>
      <w:r>
        <w:rPr>
          <w:rFonts w:ascii="Arial" w:hAnsi="Arial" w:cs="Arial"/>
          <w:bCs/>
          <w:sz w:val="22"/>
          <w:szCs w:val="22"/>
        </w:rPr>
        <w:t>Every</w:t>
      </w:r>
      <w:r>
        <w:rPr>
          <w:rFonts w:ascii="Arial" w:hAnsi="Arial" w:cs="Arial"/>
          <w:i/>
          <w:iCs/>
          <w:sz w:val="22"/>
          <w:szCs w:val="22"/>
        </w:rPr>
        <w:t xml:space="preserve"> employer required to set aside and remit such contributions as prescribed under R.A. No. 9679 and these Rules shall be liable for their payment, and non-payment thereof shall further subject the employer to a penalty of three percent (3%) per month of the amounts payable from the date the contributions fall due until paid.</w:t>
      </w:r>
    </w:p>
    <w:p>
      <w:pPr>
        <w:pStyle w:val="ListParagraph"/>
        <w:ind w:left="993" w:right="521" w:hanging="709"/>
        <w:rPr>
          <w:rFonts w:ascii="Arial" w:hAnsi="Arial" w:cs="Arial"/>
          <w:bCs/>
          <w:sz w:val="22"/>
          <w:szCs w:val="22"/>
        </w:rPr>
      </w:pPr>
    </w:p>
    <w:p>
      <w:pPr>
        <w:pStyle w:val="ListParagraph"/>
        <w:ind w:left="993" w:right="521" w:hanging="709"/>
        <w:rPr>
          <w:rFonts w:ascii="Arial" w:hAnsi="Arial" w:cs="Arial"/>
          <w:bCs/>
          <w:sz w:val="22"/>
          <w:szCs w:val="22"/>
        </w:rPr>
      </w:pPr>
    </w:p>
    <w:p>
      <w:pPr>
        <w:pStyle w:val="ListParagraph"/>
        <w:numPr>
          <w:ilvl w:val="1"/>
          <w:numId w:val="14"/>
        </w:numPr>
        <w:ind w:hanging="630"/>
        <w:jc w:val="both"/>
        <w:rPr>
          <w:rFonts w:ascii="Arial" w:hAnsi="Arial" w:cs="Arial"/>
          <w:i/>
          <w:iCs/>
          <w:sz w:val="22"/>
          <w:szCs w:val="22"/>
        </w:rPr>
      </w:pPr>
      <w:r>
        <w:rPr>
          <w:rFonts w:ascii="Arial" w:hAnsi="Arial" w:cs="Arial"/>
          <w:bCs/>
          <w:sz w:val="22"/>
          <w:szCs w:val="22"/>
        </w:rPr>
        <w:t>Every</w:t>
      </w:r>
      <w:r>
        <w:rPr>
          <w:rFonts w:ascii="Arial" w:hAnsi="Arial" w:cs="Arial"/>
          <w:i/>
          <w:iCs/>
          <w:sz w:val="22"/>
          <w:szCs w:val="22"/>
        </w:rPr>
        <w:t xml:space="preserve"> employer who actually deducts from the salary of his employee the latter’s loan amortization or payments to the Fund, as provided for under these Rules, shall be liable for their payment, and non-payment thereof shall likewise further subject the employer to a penalty of three percent (3%) per month of the amounts payable from the date the loan amortizations or payments fall due until paid.</w:t>
      </w:r>
    </w:p>
    <w:p>
      <w:pPr>
        <w:pStyle w:val="ListParagraph"/>
        <w:ind w:left="993" w:right="521" w:hanging="709"/>
        <w:jc w:val="both"/>
        <w:rPr>
          <w:rFonts w:ascii="Arial" w:hAnsi="Arial" w:cs="Arial"/>
          <w:b/>
          <w:sz w:val="22"/>
          <w:szCs w:val="22"/>
        </w:rPr>
      </w:pPr>
    </w:p>
    <w:p>
      <w:pPr>
        <w:ind w:right="566"/>
        <w:jc w:val="both"/>
        <w:rPr>
          <w:rFonts w:ascii="Arial" w:hAnsi="Arial" w:cs="Arial"/>
          <w:b/>
          <w:bCs/>
          <w:sz w:val="22"/>
          <w:szCs w:val="22"/>
        </w:rPr>
      </w:pPr>
      <w:r>
        <w:rPr>
          <w:rFonts w:ascii="Arial" w:hAnsi="Arial" w:cs="Arial"/>
          <w:b/>
          <w:bCs/>
          <w:sz w:val="22"/>
          <w:szCs w:val="22"/>
        </w:rPr>
        <w:t xml:space="preserve">       PhilHealth</w:t>
      </w:r>
    </w:p>
    <w:p>
      <w:pPr>
        <w:pStyle w:val="ListParagraph"/>
        <w:ind w:left="360"/>
        <w:jc w:val="both"/>
        <w:rPr>
          <w:rFonts w:ascii="Arial" w:hAnsi="Arial" w:cs="Arial"/>
          <w:b/>
          <w:sz w:val="22"/>
          <w:szCs w:val="22"/>
        </w:rPr>
      </w:pPr>
    </w:p>
    <w:p>
      <w:pPr>
        <w:pStyle w:val="ListParagraph"/>
        <w:numPr>
          <w:ilvl w:val="1"/>
          <w:numId w:val="14"/>
        </w:numPr>
        <w:ind w:hanging="630"/>
        <w:jc w:val="both"/>
        <w:rPr>
          <w:rFonts w:ascii="Arial" w:hAnsi="Arial" w:cs="Arial"/>
          <w:bCs/>
          <w:sz w:val="22"/>
          <w:szCs w:val="22"/>
        </w:rPr>
      </w:pPr>
      <w:r>
        <w:rPr>
          <w:rFonts w:ascii="Arial" w:hAnsi="Arial" w:cs="Arial"/>
          <w:bCs/>
          <w:sz w:val="22"/>
          <w:szCs w:val="22"/>
        </w:rPr>
        <w:t>Section</w:t>
      </w:r>
      <w:r>
        <w:rPr>
          <w:rFonts w:ascii="Arial" w:hAnsi="Arial" w:cs="Arial"/>
          <w:bCs/>
          <w:i/>
          <w:iCs/>
          <w:sz w:val="22"/>
          <w:szCs w:val="22"/>
        </w:rPr>
        <w:t xml:space="preserve"> 19(b) of the revised IRR of the National Health Insurance Act of 2013 provides that the monthly premium contribution of employed members shall be remitted by the employer on or before the tenth (10th) calendar day of the month following the applicable month for which the payment is due and applicable.</w:t>
      </w:r>
    </w:p>
    <w:p>
      <w:pPr>
        <w:pStyle w:val="ListParagraph"/>
        <w:ind w:left="0"/>
        <w:jc w:val="both"/>
        <w:rPr>
          <w:rFonts w:ascii="Arial" w:hAnsi="Arial" w:cs="Arial"/>
          <w:b/>
          <w:sz w:val="22"/>
          <w:szCs w:val="22"/>
        </w:rPr>
      </w:pPr>
    </w:p>
    <w:p>
      <w:pPr>
        <w:pStyle w:val="ListParagraph"/>
        <w:numPr>
          <w:ilvl w:val="1"/>
          <w:numId w:val="14"/>
        </w:numPr>
        <w:ind w:hanging="630"/>
        <w:jc w:val="both"/>
        <w:rPr>
          <w:rFonts w:ascii="Arial" w:hAnsi="Arial" w:cs="Arial"/>
          <w:b/>
          <w:sz w:val="18"/>
          <w:szCs w:val="18"/>
        </w:rPr>
      </w:pPr>
      <w:r>
        <w:rPr>
          <w:rFonts w:ascii="Arial" w:hAnsi="Arial" w:cs="Arial"/>
          <w:bCs/>
          <w:sz w:val="22"/>
          <w:szCs w:val="22"/>
        </w:rPr>
        <w:t>Analysis</w:t>
      </w:r>
      <w:r>
        <w:rPr>
          <w:rFonts w:ascii="Arial" w:hAnsi="Arial" w:cs="Arial"/>
          <w:sz w:val="22"/>
          <w:szCs w:val="22"/>
        </w:rPr>
        <w:t xml:space="preserve"> of the Inter-agency payables accounts disclosed that amounts withheld during CY 2023 totaling P472,416,074.60 (Table 14) were not remitted, contrary to afore-mentioned provisions. </w:t>
      </w:r>
    </w:p>
    <w:p>
      <w:pPr>
        <w:pStyle w:val="ListParagraph"/>
        <w:ind w:left="284"/>
        <w:jc w:val="both"/>
        <w:rPr>
          <w:rFonts w:ascii="Arial" w:hAnsi="Arial" w:cs="Arial"/>
          <w:bCs/>
          <w:sz w:val="18"/>
          <w:szCs w:val="18"/>
        </w:rPr>
      </w:pPr>
    </w:p>
    <w:p>
      <w:pPr>
        <w:pStyle w:val="ListParagraph"/>
        <w:ind w:left="284"/>
        <w:jc w:val="both"/>
        <w:rPr>
          <w:rFonts w:ascii="Arial" w:hAnsi="Arial" w:cs="Arial"/>
          <w:bCs/>
          <w:sz w:val="18"/>
          <w:szCs w:val="18"/>
        </w:rPr>
      </w:pPr>
    </w:p>
    <w:p>
      <w:pPr>
        <w:pStyle w:val="ListParagraph"/>
        <w:ind w:left="284"/>
        <w:jc w:val="both"/>
        <w:rPr>
          <w:rFonts w:ascii="Arial" w:hAnsi="Arial" w:cs="Arial"/>
          <w:bCs/>
          <w:sz w:val="18"/>
          <w:szCs w:val="18"/>
        </w:rPr>
      </w:pPr>
    </w:p>
    <w:p>
      <w:pPr>
        <w:pStyle w:val="ListParagraph"/>
        <w:ind w:left="284"/>
        <w:jc w:val="center"/>
        <w:rPr>
          <w:rFonts w:ascii="Arial Narrow" w:hAnsi="Arial Narrow" w:cs="Arial"/>
          <w:bCs/>
          <w:sz w:val="20"/>
          <w:szCs w:val="20"/>
        </w:rPr>
      </w:pPr>
      <w:r>
        <w:rPr>
          <w:rFonts w:ascii="Arial Narrow" w:hAnsi="Arial Narrow" w:cs="Arial"/>
          <w:bCs/>
          <w:sz w:val="20"/>
          <w:szCs w:val="20"/>
        </w:rPr>
        <w:lastRenderedPageBreak/>
        <w:t>Table 14: Inter-Agency Payables Schedule</w:t>
      </w:r>
    </w:p>
    <w:tbl>
      <w:tblPr>
        <w:tblStyle w:val="TableGrid"/>
        <w:tblW w:w="9094"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1618"/>
        <w:gridCol w:w="1665"/>
        <w:gridCol w:w="1488"/>
        <w:gridCol w:w="1488"/>
        <w:gridCol w:w="1668"/>
      </w:tblGrid>
      <w:tr>
        <w:tc>
          <w:tcPr>
            <w:tcW w:w="1167" w:type="dxa"/>
            <w:tcBorders>
              <w:top w:val="single" w:sz="4" w:space="0" w:color="auto"/>
              <w:bottom w:val="single" w:sz="4" w:space="0" w:color="auto"/>
            </w:tcBorders>
          </w:tcPr>
          <w:p>
            <w:pPr>
              <w:pStyle w:val="ListParagraph"/>
              <w:ind w:left="0"/>
              <w:jc w:val="center"/>
              <w:rPr>
                <w:rFonts w:ascii="Arial" w:hAnsi="Arial" w:cs="Arial"/>
                <w:b/>
                <w:sz w:val="18"/>
                <w:szCs w:val="18"/>
              </w:rPr>
            </w:pPr>
          </w:p>
        </w:tc>
        <w:tc>
          <w:tcPr>
            <w:tcW w:w="1618" w:type="dxa"/>
            <w:tcBorders>
              <w:top w:val="single" w:sz="4" w:space="0" w:color="auto"/>
              <w:bottom w:val="single" w:sz="4" w:space="0" w:color="auto"/>
            </w:tcBorders>
          </w:tcPr>
          <w:p>
            <w:pPr>
              <w:pStyle w:val="ListParagraph"/>
              <w:ind w:left="0"/>
              <w:jc w:val="center"/>
              <w:rPr>
                <w:rFonts w:ascii="Arial" w:hAnsi="Arial" w:cs="Arial"/>
                <w:b/>
                <w:sz w:val="18"/>
                <w:szCs w:val="18"/>
              </w:rPr>
            </w:pPr>
            <w:r>
              <w:rPr>
                <w:rFonts w:ascii="Arial" w:hAnsi="Arial" w:cs="Arial"/>
                <w:b/>
                <w:bCs/>
                <w:sz w:val="18"/>
                <w:szCs w:val="18"/>
              </w:rPr>
              <w:t>BIR</w:t>
            </w:r>
          </w:p>
        </w:tc>
        <w:tc>
          <w:tcPr>
            <w:tcW w:w="1665" w:type="dxa"/>
            <w:tcBorders>
              <w:top w:val="single" w:sz="4" w:space="0" w:color="auto"/>
              <w:bottom w:val="single" w:sz="4" w:space="0" w:color="auto"/>
            </w:tcBorders>
          </w:tcPr>
          <w:p>
            <w:pPr>
              <w:pStyle w:val="ListParagraph"/>
              <w:ind w:left="0"/>
              <w:jc w:val="center"/>
              <w:rPr>
                <w:rFonts w:ascii="Arial" w:hAnsi="Arial" w:cs="Arial"/>
                <w:b/>
                <w:sz w:val="18"/>
                <w:szCs w:val="18"/>
              </w:rPr>
            </w:pPr>
            <w:r>
              <w:rPr>
                <w:rFonts w:ascii="Arial" w:hAnsi="Arial" w:cs="Arial"/>
                <w:b/>
                <w:bCs/>
                <w:sz w:val="18"/>
                <w:szCs w:val="18"/>
              </w:rPr>
              <w:t>GSIS</w:t>
            </w:r>
          </w:p>
        </w:tc>
        <w:tc>
          <w:tcPr>
            <w:tcW w:w="1488" w:type="dxa"/>
            <w:tcBorders>
              <w:top w:val="single" w:sz="4" w:space="0" w:color="auto"/>
              <w:bottom w:val="single" w:sz="4" w:space="0" w:color="auto"/>
            </w:tcBorders>
          </w:tcPr>
          <w:p>
            <w:pPr>
              <w:pStyle w:val="ListParagraph"/>
              <w:ind w:left="0"/>
              <w:jc w:val="center"/>
              <w:rPr>
                <w:rFonts w:ascii="Arial" w:hAnsi="Arial" w:cs="Arial"/>
                <w:b/>
                <w:sz w:val="18"/>
                <w:szCs w:val="18"/>
              </w:rPr>
            </w:pPr>
            <w:r>
              <w:rPr>
                <w:rFonts w:ascii="Arial" w:hAnsi="Arial" w:cs="Arial"/>
                <w:b/>
                <w:bCs/>
                <w:sz w:val="18"/>
                <w:szCs w:val="18"/>
              </w:rPr>
              <w:t>Pag-IBIG</w:t>
            </w:r>
          </w:p>
        </w:tc>
        <w:tc>
          <w:tcPr>
            <w:tcW w:w="1488" w:type="dxa"/>
            <w:tcBorders>
              <w:top w:val="single" w:sz="4" w:space="0" w:color="auto"/>
              <w:bottom w:val="single" w:sz="4" w:space="0" w:color="auto"/>
            </w:tcBorders>
          </w:tcPr>
          <w:p>
            <w:pPr>
              <w:pStyle w:val="ListParagraph"/>
              <w:ind w:left="0"/>
              <w:jc w:val="center"/>
              <w:rPr>
                <w:rFonts w:ascii="Arial" w:hAnsi="Arial" w:cs="Arial"/>
                <w:b/>
                <w:sz w:val="18"/>
                <w:szCs w:val="18"/>
              </w:rPr>
            </w:pPr>
            <w:r>
              <w:rPr>
                <w:rFonts w:ascii="Arial" w:hAnsi="Arial" w:cs="Arial"/>
                <w:b/>
                <w:bCs/>
                <w:sz w:val="18"/>
                <w:szCs w:val="18"/>
              </w:rPr>
              <w:t>PhilHealth</w:t>
            </w:r>
          </w:p>
        </w:tc>
        <w:tc>
          <w:tcPr>
            <w:tcW w:w="1668" w:type="dxa"/>
            <w:tcBorders>
              <w:top w:val="single" w:sz="4" w:space="0" w:color="auto"/>
              <w:bottom w:val="single" w:sz="4" w:space="0" w:color="auto"/>
            </w:tcBorders>
          </w:tcPr>
          <w:p>
            <w:pPr>
              <w:pStyle w:val="ListParagraph"/>
              <w:ind w:left="0"/>
              <w:jc w:val="center"/>
              <w:rPr>
                <w:rFonts w:ascii="Arial" w:hAnsi="Arial" w:cs="Arial"/>
                <w:b/>
                <w:sz w:val="18"/>
                <w:szCs w:val="18"/>
              </w:rPr>
            </w:pPr>
            <w:r>
              <w:rPr>
                <w:rFonts w:ascii="Arial" w:hAnsi="Arial" w:cs="Arial"/>
                <w:b/>
                <w:bCs/>
                <w:sz w:val="18"/>
                <w:szCs w:val="18"/>
              </w:rPr>
              <w:t>Total</w:t>
            </w:r>
          </w:p>
        </w:tc>
      </w:tr>
      <w:tr>
        <w:tc>
          <w:tcPr>
            <w:tcW w:w="1167" w:type="dxa"/>
            <w:tcBorders>
              <w:top w:val="single" w:sz="4" w:space="0" w:color="auto"/>
            </w:tcBorders>
          </w:tcPr>
          <w:p>
            <w:pPr>
              <w:pStyle w:val="ListParagraph"/>
              <w:ind w:left="0"/>
              <w:jc w:val="both"/>
              <w:rPr>
                <w:rFonts w:ascii="Arial" w:hAnsi="Arial" w:cs="Arial"/>
                <w:sz w:val="18"/>
                <w:szCs w:val="18"/>
              </w:rPr>
            </w:pPr>
            <w:r>
              <w:rPr>
                <w:rFonts w:ascii="Arial" w:hAnsi="Arial" w:cs="Arial"/>
                <w:sz w:val="18"/>
                <w:szCs w:val="18"/>
              </w:rPr>
              <w:t>Beginning Balance</w:t>
            </w:r>
          </w:p>
        </w:tc>
        <w:tc>
          <w:tcPr>
            <w:tcW w:w="1618" w:type="dxa"/>
            <w:tcBorders>
              <w:top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P427,193,827.17 </w:t>
            </w:r>
          </w:p>
        </w:tc>
        <w:tc>
          <w:tcPr>
            <w:tcW w:w="1665" w:type="dxa"/>
            <w:tcBorders>
              <w:top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P67,921,778.67 </w:t>
            </w:r>
          </w:p>
        </w:tc>
        <w:tc>
          <w:tcPr>
            <w:tcW w:w="1488" w:type="dxa"/>
            <w:tcBorders>
              <w:top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P17,054,734.75 </w:t>
            </w:r>
          </w:p>
        </w:tc>
        <w:tc>
          <w:tcPr>
            <w:tcW w:w="1488" w:type="dxa"/>
            <w:tcBorders>
              <w:top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P36,922,498.51 </w:t>
            </w:r>
          </w:p>
        </w:tc>
        <w:tc>
          <w:tcPr>
            <w:tcW w:w="1668" w:type="dxa"/>
            <w:tcBorders>
              <w:top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P 549,092,839.10 </w:t>
            </w:r>
          </w:p>
        </w:tc>
      </w:tr>
      <w:tr>
        <w:tc>
          <w:tcPr>
            <w:tcW w:w="1167" w:type="dxa"/>
          </w:tcPr>
          <w:p>
            <w:pPr>
              <w:pStyle w:val="ListParagraph"/>
              <w:ind w:left="0"/>
              <w:jc w:val="both"/>
              <w:rPr>
                <w:rFonts w:ascii="Arial" w:hAnsi="Arial" w:cs="Arial"/>
                <w:sz w:val="18"/>
                <w:szCs w:val="18"/>
              </w:rPr>
            </w:pPr>
            <w:r>
              <w:rPr>
                <w:rFonts w:ascii="Arial" w:hAnsi="Arial" w:cs="Arial"/>
                <w:sz w:val="18"/>
                <w:szCs w:val="18"/>
              </w:rPr>
              <w:t>Add: Accrual (CY 2023)</w:t>
            </w:r>
          </w:p>
        </w:tc>
        <w:tc>
          <w:tcPr>
            <w:tcW w:w="1618" w:type="dxa"/>
          </w:tcPr>
          <w:p>
            <w:pPr>
              <w:pStyle w:val="ListParagraph"/>
              <w:ind w:left="0"/>
              <w:jc w:val="right"/>
              <w:rPr>
                <w:rFonts w:ascii="Arial" w:hAnsi="Arial" w:cs="Arial"/>
                <w:sz w:val="18"/>
                <w:szCs w:val="18"/>
              </w:rPr>
            </w:pPr>
            <w:r>
              <w:rPr>
                <w:rFonts w:ascii="Arial" w:hAnsi="Arial" w:cs="Arial"/>
                <w:sz w:val="18"/>
                <w:szCs w:val="18"/>
              </w:rPr>
              <w:t xml:space="preserve">852,938,415.46 </w:t>
            </w:r>
          </w:p>
        </w:tc>
        <w:tc>
          <w:tcPr>
            <w:tcW w:w="1665" w:type="dxa"/>
          </w:tcPr>
          <w:p>
            <w:pPr>
              <w:pStyle w:val="ListParagraph"/>
              <w:ind w:left="0"/>
              <w:jc w:val="right"/>
              <w:rPr>
                <w:rFonts w:ascii="Arial" w:hAnsi="Arial" w:cs="Arial"/>
                <w:sz w:val="18"/>
                <w:szCs w:val="18"/>
              </w:rPr>
            </w:pPr>
            <w:r>
              <w:rPr>
                <w:rFonts w:ascii="Arial" w:hAnsi="Arial" w:cs="Arial"/>
                <w:sz w:val="18"/>
                <w:szCs w:val="18"/>
              </w:rPr>
              <w:t xml:space="preserve">1,292,196,017.21 </w:t>
            </w:r>
          </w:p>
        </w:tc>
        <w:tc>
          <w:tcPr>
            <w:tcW w:w="1488" w:type="dxa"/>
          </w:tcPr>
          <w:p>
            <w:pPr>
              <w:pStyle w:val="ListParagraph"/>
              <w:ind w:left="0"/>
              <w:jc w:val="right"/>
              <w:rPr>
                <w:rFonts w:ascii="Arial" w:hAnsi="Arial" w:cs="Arial"/>
                <w:sz w:val="18"/>
                <w:szCs w:val="18"/>
              </w:rPr>
            </w:pPr>
            <w:r>
              <w:rPr>
                <w:rFonts w:ascii="Arial" w:hAnsi="Arial" w:cs="Arial"/>
                <w:sz w:val="18"/>
                <w:szCs w:val="18"/>
              </w:rPr>
              <w:t xml:space="preserve">65,762,890.00 </w:t>
            </w:r>
          </w:p>
        </w:tc>
        <w:tc>
          <w:tcPr>
            <w:tcW w:w="1488" w:type="dxa"/>
          </w:tcPr>
          <w:p>
            <w:pPr>
              <w:pStyle w:val="ListParagraph"/>
              <w:ind w:left="0"/>
              <w:jc w:val="right"/>
              <w:rPr>
                <w:rFonts w:ascii="Arial" w:hAnsi="Arial" w:cs="Arial"/>
                <w:sz w:val="18"/>
                <w:szCs w:val="18"/>
              </w:rPr>
            </w:pPr>
            <w:r>
              <w:rPr>
                <w:rFonts w:ascii="Arial" w:hAnsi="Arial" w:cs="Arial"/>
                <w:sz w:val="18"/>
                <w:szCs w:val="18"/>
              </w:rPr>
              <w:t xml:space="preserve">129,203,097.92 </w:t>
            </w:r>
          </w:p>
        </w:tc>
        <w:tc>
          <w:tcPr>
            <w:tcW w:w="1668" w:type="dxa"/>
          </w:tcPr>
          <w:p>
            <w:pPr>
              <w:pStyle w:val="ListParagraph"/>
              <w:ind w:left="0"/>
              <w:jc w:val="right"/>
              <w:rPr>
                <w:rFonts w:ascii="Arial" w:hAnsi="Arial" w:cs="Arial"/>
                <w:sz w:val="18"/>
                <w:szCs w:val="18"/>
              </w:rPr>
            </w:pPr>
            <w:r>
              <w:rPr>
                <w:rFonts w:ascii="Arial" w:hAnsi="Arial" w:cs="Arial"/>
                <w:sz w:val="18"/>
                <w:szCs w:val="18"/>
              </w:rPr>
              <w:t xml:space="preserve">2,340,100,420.59 </w:t>
            </w:r>
          </w:p>
        </w:tc>
      </w:tr>
      <w:tr>
        <w:tc>
          <w:tcPr>
            <w:tcW w:w="1167" w:type="dxa"/>
          </w:tcPr>
          <w:p>
            <w:pPr>
              <w:pStyle w:val="ListParagraph"/>
              <w:ind w:left="0"/>
              <w:jc w:val="both"/>
              <w:rPr>
                <w:rFonts w:ascii="Arial" w:hAnsi="Arial" w:cs="Arial"/>
                <w:sz w:val="18"/>
                <w:szCs w:val="18"/>
              </w:rPr>
            </w:pPr>
            <w:r>
              <w:rPr>
                <w:rFonts w:ascii="Arial" w:hAnsi="Arial" w:cs="Arial"/>
                <w:sz w:val="18"/>
                <w:szCs w:val="18"/>
              </w:rPr>
              <w:t>Total</w:t>
            </w:r>
          </w:p>
        </w:tc>
        <w:tc>
          <w:tcPr>
            <w:tcW w:w="1618" w:type="dxa"/>
          </w:tcPr>
          <w:p>
            <w:pPr>
              <w:pStyle w:val="ListParagraph"/>
              <w:ind w:left="0"/>
              <w:jc w:val="right"/>
              <w:rPr>
                <w:rFonts w:ascii="Arial" w:hAnsi="Arial" w:cs="Arial"/>
                <w:b/>
                <w:bCs/>
                <w:sz w:val="18"/>
                <w:szCs w:val="18"/>
              </w:rPr>
            </w:pPr>
            <w:r>
              <w:rPr>
                <w:rFonts w:ascii="Arial" w:hAnsi="Arial" w:cs="Arial"/>
                <w:b/>
                <w:bCs/>
                <w:sz w:val="18"/>
                <w:szCs w:val="18"/>
              </w:rPr>
              <w:t xml:space="preserve">1,280,132,242.63 </w:t>
            </w:r>
          </w:p>
        </w:tc>
        <w:tc>
          <w:tcPr>
            <w:tcW w:w="1665" w:type="dxa"/>
          </w:tcPr>
          <w:p>
            <w:pPr>
              <w:pStyle w:val="ListParagraph"/>
              <w:ind w:left="0"/>
              <w:jc w:val="right"/>
              <w:rPr>
                <w:rFonts w:ascii="Arial" w:hAnsi="Arial" w:cs="Arial"/>
                <w:b/>
                <w:bCs/>
                <w:sz w:val="18"/>
                <w:szCs w:val="18"/>
              </w:rPr>
            </w:pPr>
            <w:r>
              <w:rPr>
                <w:rFonts w:ascii="Arial" w:hAnsi="Arial" w:cs="Arial"/>
                <w:b/>
                <w:bCs/>
                <w:sz w:val="18"/>
                <w:szCs w:val="18"/>
              </w:rPr>
              <w:t xml:space="preserve">1,360,117,795.88 </w:t>
            </w:r>
          </w:p>
        </w:tc>
        <w:tc>
          <w:tcPr>
            <w:tcW w:w="1488" w:type="dxa"/>
          </w:tcPr>
          <w:p>
            <w:pPr>
              <w:pStyle w:val="ListParagraph"/>
              <w:ind w:left="0"/>
              <w:jc w:val="right"/>
              <w:rPr>
                <w:rFonts w:ascii="Arial" w:hAnsi="Arial" w:cs="Arial"/>
                <w:b/>
                <w:bCs/>
                <w:sz w:val="18"/>
                <w:szCs w:val="18"/>
              </w:rPr>
            </w:pPr>
            <w:r>
              <w:rPr>
                <w:rFonts w:ascii="Arial" w:hAnsi="Arial" w:cs="Arial"/>
                <w:b/>
                <w:bCs/>
                <w:sz w:val="18"/>
                <w:szCs w:val="18"/>
              </w:rPr>
              <w:t xml:space="preserve">82,817,624.75 </w:t>
            </w:r>
          </w:p>
        </w:tc>
        <w:tc>
          <w:tcPr>
            <w:tcW w:w="1488" w:type="dxa"/>
          </w:tcPr>
          <w:p>
            <w:pPr>
              <w:pStyle w:val="ListParagraph"/>
              <w:ind w:left="0"/>
              <w:jc w:val="right"/>
              <w:rPr>
                <w:rFonts w:ascii="Arial" w:hAnsi="Arial" w:cs="Arial"/>
                <w:b/>
                <w:bCs/>
                <w:sz w:val="18"/>
                <w:szCs w:val="18"/>
              </w:rPr>
            </w:pPr>
            <w:r>
              <w:rPr>
                <w:rFonts w:ascii="Arial" w:hAnsi="Arial" w:cs="Arial"/>
                <w:b/>
                <w:bCs/>
                <w:sz w:val="18"/>
                <w:szCs w:val="18"/>
              </w:rPr>
              <w:t xml:space="preserve">166,125,596.43 </w:t>
            </w:r>
          </w:p>
        </w:tc>
        <w:tc>
          <w:tcPr>
            <w:tcW w:w="1668" w:type="dxa"/>
          </w:tcPr>
          <w:p>
            <w:pPr>
              <w:pStyle w:val="ListParagraph"/>
              <w:ind w:left="0"/>
              <w:jc w:val="right"/>
              <w:rPr>
                <w:rFonts w:ascii="Arial" w:hAnsi="Arial" w:cs="Arial"/>
                <w:b/>
                <w:bCs/>
                <w:sz w:val="18"/>
                <w:szCs w:val="18"/>
              </w:rPr>
            </w:pPr>
            <w:r>
              <w:rPr>
                <w:rFonts w:ascii="Arial" w:hAnsi="Arial" w:cs="Arial"/>
                <w:b/>
                <w:bCs/>
                <w:sz w:val="18"/>
                <w:szCs w:val="18"/>
              </w:rPr>
              <w:t xml:space="preserve">2,889,193,259.69 </w:t>
            </w:r>
          </w:p>
        </w:tc>
      </w:tr>
      <w:tr>
        <w:tc>
          <w:tcPr>
            <w:tcW w:w="1167" w:type="dxa"/>
          </w:tcPr>
          <w:p>
            <w:pPr>
              <w:pStyle w:val="ListParagraph"/>
              <w:ind w:left="0"/>
              <w:jc w:val="both"/>
              <w:rPr>
                <w:rFonts w:ascii="Arial" w:hAnsi="Arial" w:cs="Arial"/>
                <w:sz w:val="18"/>
                <w:szCs w:val="18"/>
              </w:rPr>
            </w:pPr>
            <w:r>
              <w:rPr>
                <w:rFonts w:ascii="Arial" w:hAnsi="Arial" w:cs="Arial"/>
                <w:sz w:val="18"/>
                <w:szCs w:val="18"/>
              </w:rPr>
              <w:t>Less: Remittance (CY 2023)</w:t>
            </w:r>
          </w:p>
        </w:tc>
        <w:tc>
          <w:tcPr>
            <w:tcW w:w="1618" w:type="dxa"/>
          </w:tcPr>
          <w:p>
            <w:pPr>
              <w:pStyle w:val="ListParagraph"/>
              <w:ind w:left="0"/>
              <w:jc w:val="right"/>
              <w:rPr>
                <w:rFonts w:ascii="Arial" w:hAnsi="Arial" w:cs="Arial"/>
                <w:sz w:val="18"/>
                <w:szCs w:val="18"/>
              </w:rPr>
            </w:pPr>
            <w:r>
              <w:rPr>
                <w:rFonts w:ascii="Arial" w:hAnsi="Arial" w:cs="Arial"/>
                <w:sz w:val="18"/>
                <w:szCs w:val="18"/>
              </w:rPr>
              <w:t xml:space="preserve">807,279,774.81 </w:t>
            </w:r>
          </w:p>
        </w:tc>
        <w:tc>
          <w:tcPr>
            <w:tcW w:w="1665" w:type="dxa"/>
          </w:tcPr>
          <w:p>
            <w:pPr>
              <w:pStyle w:val="ListParagraph"/>
              <w:ind w:left="0"/>
              <w:jc w:val="right"/>
              <w:rPr>
                <w:rFonts w:ascii="Arial" w:hAnsi="Arial" w:cs="Arial"/>
                <w:sz w:val="18"/>
                <w:szCs w:val="18"/>
              </w:rPr>
            </w:pPr>
            <w:r>
              <w:rPr>
                <w:rFonts w:ascii="Arial" w:hAnsi="Arial" w:cs="Arial"/>
                <w:sz w:val="18"/>
                <w:szCs w:val="18"/>
              </w:rPr>
              <w:t xml:space="preserve">1,234,478,581.61 </w:t>
            </w:r>
          </w:p>
        </w:tc>
        <w:tc>
          <w:tcPr>
            <w:tcW w:w="1488" w:type="dxa"/>
          </w:tcPr>
          <w:p>
            <w:pPr>
              <w:pStyle w:val="ListParagraph"/>
              <w:ind w:left="0"/>
              <w:jc w:val="right"/>
              <w:rPr>
                <w:rFonts w:ascii="Arial" w:hAnsi="Arial" w:cs="Arial"/>
                <w:sz w:val="18"/>
                <w:szCs w:val="18"/>
              </w:rPr>
            </w:pPr>
            <w:r>
              <w:rPr>
                <w:rFonts w:ascii="Arial" w:hAnsi="Arial" w:cs="Arial"/>
                <w:sz w:val="18"/>
                <w:szCs w:val="18"/>
              </w:rPr>
              <w:t xml:space="preserve">54,959,608.14 </w:t>
            </w:r>
          </w:p>
        </w:tc>
        <w:tc>
          <w:tcPr>
            <w:tcW w:w="1488" w:type="dxa"/>
          </w:tcPr>
          <w:p>
            <w:pPr>
              <w:pStyle w:val="ListParagraph"/>
              <w:ind w:left="0"/>
              <w:jc w:val="right"/>
              <w:rPr>
                <w:rFonts w:ascii="Arial" w:hAnsi="Arial" w:cs="Arial"/>
                <w:sz w:val="18"/>
                <w:szCs w:val="18"/>
              </w:rPr>
            </w:pPr>
            <w:r>
              <w:rPr>
                <w:rFonts w:ascii="Arial" w:hAnsi="Arial" w:cs="Arial"/>
                <w:sz w:val="18"/>
                <w:szCs w:val="18"/>
              </w:rPr>
              <w:t xml:space="preserve">132,420,490.86 </w:t>
            </w:r>
          </w:p>
        </w:tc>
        <w:tc>
          <w:tcPr>
            <w:tcW w:w="1668" w:type="dxa"/>
          </w:tcPr>
          <w:p>
            <w:pPr>
              <w:pStyle w:val="ListParagraph"/>
              <w:ind w:left="0"/>
              <w:jc w:val="right"/>
              <w:rPr>
                <w:rFonts w:ascii="Arial" w:hAnsi="Arial" w:cs="Arial"/>
                <w:sz w:val="18"/>
                <w:szCs w:val="18"/>
              </w:rPr>
            </w:pPr>
            <w:r>
              <w:rPr>
                <w:rFonts w:ascii="Arial" w:hAnsi="Arial" w:cs="Arial"/>
                <w:sz w:val="18"/>
                <w:szCs w:val="18"/>
              </w:rPr>
              <w:t xml:space="preserve">2,229,137,455.42 </w:t>
            </w:r>
          </w:p>
        </w:tc>
      </w:tr>
      <w:tr>
        <w:tc>
          <w:tcPr>
            <w:tcW w:w="1167" w:type="dxa"/>
          </w:tcPr>
          <w:p>
            <w:pPr>
              <w:pStyle w:val="ListParagraph"/>
              <w:ind w:left="0"/>
              <w:jc w:val="both"/>
              <w:rPr>
                <w:rFonts w:ascii="Arial" w:hAnsi="Arial" w:cs="Arial"/>
                <w:sz w:val="18"/>
                <w:szCs w:val="18"/>
              </w:rPr>
            </w:pPr>
            <w:r>
              <w:rPr>
                <w:rFonts w:ascii="Arial" w:hAnsi="Arial" w:cs="Arial"/>
                <w:sz w:val="18"/>
                <w:szCs w:val="18"/>
              </w:rPr>
              <w:t>Ending Balance (CY 2023)</w:t>
            </w:r>
          </w:p>
        </w:tc>
        <w:tc>
          <w:tcPr>
            <w:tcW w:w="1618" w:type="dxa"/>
          </w:tcPr>
          <w:p>
            <w:pPr>
              <w:pStyle w:val="ListParagraph"/>
              <w:ind w:left="0"/>
              <w:jc w:val="right"/>
              <w:rPr>
                <w:rFonts w:ascii="Arial" w:hAnsi="Arial" w:cs="Arial"/>
                <w:b/>
                <w:bCs/>
                <w:sz w:val="18"/>
                <w:szCs w:val="18"/>
              </w:rPr>
            </w:pPr>
            <w:r>
              <w:rPr>
                <w:rFonts w:ascii="Arial" w:hAnsi="Arial" w:cs="Arial"/>
                <w:b/>
                <w:bCs/>
                <w:sz w:val="18"/>
                <w:szCs w:val="18"/>
              </w:rPr>
              <w:t xml:space="preserve">472,852,467.82 </w:t>
            </w:r>
          </w:p>
        </w:tc>
        <w:tc>
          <w:tcPr>
            <w:tcW w:w="1665" w:type="dxa"/>
          </w:tcPr>
          <w:p>
            <w:pPr>
              <w:pStyle w:val="ListParagraph"/>
              <w:ind w:left="0"/>
              <w:jc w:val="right"/>
              <w:rPr>
                <w:rFonts w:ascii="Arial" w:hAnsi="Arial" w:cs="Arial"/>
                <w:b/>
                <w:bCs/>
                <w:sz w:val="18"/>
                <w:szCs w:val="18"/>
              </w:rPr>
            </w:pPr>
            <w:r>
              <w:rPr>
                <w:rFonts w:ascii="Arial" w:hAnsi="Arial" w:cs="Arial"/>
                <w:b/>
                <w:bCs/>
                <w:sz w:val="18"/>
                <w:szCs w:val="18"/>
              </w:rPr>
              <w:t xml:space="preserve">125,639,214.27 </w:t>
            </w:r>
          </w:p>
        </w:tc>
        <w:tc>
          <w:tcPr>
            <w:tcW w:w="1488" w:type="dxa"/>
          </w:tcPr>
          <w:p>
            <w:pPr>
              <w:pStyle w:val="ListParagraph"/>
              <w:ind w:left="0"/>
              <w:jc w:val="right"/>
              <w:rPr>
                <w:rFonts w:ascii="Arial" w:hAnsi="Arial" w:cs="Arial"/>
                <w:b/>
                <w:bCs/>
                <w:sz w:val="18"/>
                <w:szCs w:val="18"/>
              </w:rPr>
            </w:pPr>
            <w:r>
              <w:rPr>
                <w:rFonts w:ascii="Arial" w:hAnsi="Arial" w:cs="Arial"/>
                <w:b/>
                <w:bCs/>
                <w:sz w:val="18"/>
                <w:szCs w:val="18"/>
              </w:rPr>
              <w:t xml:space="preserve">27,858,016.61 </w:t>
            </w:r>
          </w:p>
        </w:tc>
        <w:tc>
          <w:tcPr>
            <w:tcW w:w="1488" w:type="dxa"/>
          </w:tcPr>
          <w:p>
            <w:pPr>
              <w:pStyle w:val="ListParagraph"/>
              <w:ind w:left="0"/>
              <w:jc w:val="right"/>
              <w:rPr>
                <w:rFonts w:ascii="Arial" w:hAnsi="Arial" w:cs="Arial"/>
                <w:b/>
                <w:bCs/>
                <w:sz w:val="18"/>
                <w:szCs w:val="18"/>
              </w:rPr>
            </w:pPr>
            <w:r>
              <w:rPr>
                <w:rFonts w:ascii="Arial" w:hAnsi="Arial" w:cs="Arial"/>
                <w:b/>
                <w:bCs/>
                <w:sz w:val="18"/>
                <w:szCs w:val="18"/>
              </w:rPr>
              <w:t xml:space="preserve">33,705,105.57 </w:t>
            </w:r>
          </w:p>
        </w:tc>
        <w:tc>
          <w:tcPr>
            <w:tcW w:w="1668" w:type="dxa"/>
          </w:tcPr>
          <w:p>
            <w:pPr>
              <w:pStyle w:val="ListParagraph"/>
              <w:ind w:left="0"/>
              <w:jc w:val="right"/>
              <w:rPr>
                <w:rFonts w:ascii="Arial" w:hAnsi="Arial" w:cs="Arial"/>
                <w:b/>
                <w:bCs/>
                <w:sz w:val="18"/>
                <w:szCs w:val="18"/>
              </w:rPr>
            </w:pPr>
            <w:r>
              <w:rPr>
                <w:rFonts w:ascii="Arial" w:hAnsi="Arial" w:cs="Arial"/>
                <w:b/>
                <w:bCs/>
                <w:sz w:val="18"/>
                <w:szCs w:val="18"/>
              </w:rPr>
              <w:t xml:space="preserve">660,055,804.27 </w:t>
            </w:r>
          </w:p>
        </w:tc>
      </w:tr>
      <w:tr>
        <w:tc>
          <w:tcPr>
            <w:tcW w:w="1167" w:type="dxa"/>
            <w:tcBorders>
              <w:bottom w:val="single" w:sz="4" w:space="0" w:color="auto"/>
            </w:tcBorders>
          </w:tcPr>
          <w:p>
            <w:pPr>
              <w:pStyle w:val="ListParagraph"/>
              <w:ind w:left="0"/>
              <w:jc w:val="both"/>
              <w:rPr>
                <w:rFonts w:ascii="Arial" w:hAnsi="Arial" w:cs="Arial"/>
                <w:sz w:val="18"/>
                <w:szCs w:val="18"/>
              </w:rPr>
            </w:pPr>
            <w:r>
              <w:rPr>
                <w:rFonts w:ascii="Arial" w:hAnsi="Arial" w:cs="Arial"/>
                <w:sz w:val="18"/>
                <w:szCs w:val="18"/>
              </w:rPr>
              <w:t>Less: Remittance (January CY 2024)</w:t>
            </w:r>
          </w:p>
        </w:tc>
        <w:tc>
          <w:tcPr>
            <w:tcW w:w="1618" w:type="dxa"/>
            <w:tcBorders>
              <w:bottom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91,338,777.20 </w:t>
            </w:r>
          </w:p>
        </w:tc>
        <w:tc>
          <w:tcPr>
            <w:tcW w:w="1665" w:type="dxa"/>
            <w:tcBorders>
              <w:bottom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90,083,303.52 </w:t>
            </w:r>
          </w:p>
        </w:tc>
        <w:tc>
          <w:tcPr>
            <w:tcW w:w="1488" w:type="dxa"/>
            <w:tcBorders>
              <w:bottom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5,937,515.95 </w:t>
            </w:r>
          </w:p>
        </w:tc>
        <w:tc>
          <w:tcPr>
            <w:tcW w:w="1488" w:type="dxa"/>
            <w:tcBorders>
              <w:bottom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280,133.00 </w:t>
            </w:r>
          </w:p>
        </w:tc>
        <w:tc>
          <w:tcPr>
            <w:tcW w:w="1668" w:type="dxa"/>
            <w:tcBorders>
              <w:bottom w:val="single" w:sz="4" w:space="0" w:color="auto"/>
            </w:tcBorders>
          </w:tcPr>
          <w:p>
            <w:pPr>
              <w:pStyle w:val="ListParagraph"/>
              <w:ind w:left="0"/>
              <w:jc w:val="right"/>
              <w:rPr>
                <w:rFonts w:ascii="Arial" w:hAnsi="Arial" w:cs="Arial"/>
                <w:b/>
                <w:sz w:val="18"/>
                <w:szCs w:val="18"/>
              </w:rPr>
            </w:pPr>
            <w:r>
              <w:rPr>
                <w:rFonts w:ascii="Arial" w:hAnsi="Arial" w:cs="Arial"/>
                <w:sz w:val="18"/>
                <w:szCs w:val="18"/>
              </w:rPr>
              <w:t xml:space="preserve">187,639,729.67 </w:t>
            </w:r>
          </w:p>
        </w:tc>
      </w:tr>
      <w:tr>
        <w:tc>
          <w:tcPr>
            <w:tcW w:w="1167" w:type="dxa"/>
            <w:tcBorders>
              <w:top w:val="single" w:sz="4" w:space="0" w:color="auto"/>
              <w:bottom w:val="single" w:sz="4" w:space="0" w:color="auto"/>
            </w:tcBorders>
          </w:tcPr>
          <w:p>
            <w:pPr>
              <w:pStyle w:val="ListParagraph"/>
              <w:ind w:left="0"/>
              <w:jc w:val="both"/>
              <w:rPr>
                <w:rFonts w:ascii="Arial" w:hAnsi="Arial" w:cs="Arial"/>
                <w:b/>
                <w:bCs/>
                <w:sz w:val="18"/>
                <w:szCs w:val="18"/>
              </w:rPr>
            </w:pPr>
            <w:r>
              <w:rPr>
                <w:rFonts w:ascii="Arial" w:hAnsi="Arial" w:cs="Arial"/>
                <w:b/>
                <w:bCs/>
                <w:sz w:val="18"/>
                <w:szCs w:val="18"/>
              </w:rPr>
              <w:t>Unremitted Balance</w:t>
            </w:r>
          </w:p>
        </w:tc>
        <w:tc>
          <w:tcPr>
            <w:tcW w:w="1618" w:type="dxa"/>
            <w:tcBorders>
              <w:top w:val="single" w:sz="4" w:space="0" w:color="auto"/>
              <w:bottom w:val="single" w:sz="4" w:space="0" w:color="auto"/>
            </w:tcBorders>
          </w:tcPr>
          <w:p>
            <w:pPr>
              <w:pStyle w:val="ListParagraph"/>
              <w:ind w:left="0"/>
              <w:jc w:val="right"/>
              <w:rPr>
                <w:rFonts w:ascii="Arial" w:hAnsi="Arial" w:cs="Arial"/>
                <w:b/>
                <w:bCs/>
                <w:sz w:val="18"/>
                <w:szCs w:val="18"/>
              </w:rPr>
            </w:pPr>
            <w:r>
              <w:rPr>
                <w:rFonts w:ascii="Arial" w:hAnsi="Arial" w:cs="Arial"/>
                <w:b/>
                <w:bCs/>
                <w:sz w:val="18"/>
                <w:szCs w:val="18"/>
              </w:rPr>
              <w:t xml:space="preserve">P381,513,690.62 </w:t>
            </w:r>
          </w:p>
        </w:tc>
        <w:tc>
          <w:tcPr>
            <w:tcW w:w="1665" w:type="dxa"/>
            <w:tcBorders>
              <w:top w:val="single" w:sz="4" w:space="0" w:color="auto"/>
              <w:bottom w:val="single" w:sz="4" w:space="0" w:color="auto"/>
            </w:tcBorders>
          </w:tcPr>
          <w:p>
            <w:pPr>
              <w:pStyle w:val="ListParagraph"/>
              <w:ind w:left="0"/>
              <w:jc w:val="right"/>
              <w:rPr>
                <w:rFonts w:ascii="Arial" w:hAnsi="Arial" w:cs="Arial"/>
                <w:b/>
                <w:bCs/>
                <w:sz w:val="18"/>
                <w:szCs w:val="18"/>
              </w:rPr>
            </w:pPr>
            <w:r>
              <w:rPr>
                <w:rFonts w:ascii="Arial" w:hAnsi="Arial" w:cs="Arial"/>
                <w:b/>
                <w:bCs/>
                <w:sz w:val="18"/>
                <w:szCs w:val="18"/>
              </w:rPr>
              <w:t xml:space="preserve">P35,555,910.75 </w:t>
            </w:r>
          </w:p>
        </w:tc>
        <w:tc>
          <w:tcPr>
            <w:tcW w:w="1488" w:type="dxa"/>
            <w:tcBorders>
              <w:top w:val="single" w:sz="4" w:space="0" w:color="auto"/>
              <w:bottom w:val="single" w:sz="4" w:space="0" w:color="auto"/>
            </w:tcBorders>
          </w:tcPr>
          <w:p>
            <w:pPr>
              <w:pStyle w:val="ListParagraph"/>
              <w:ind w:left="0"/>
              <w:jc w:val="right"/>
              <w:rPr>
                <w:rFonts w:ascii="Arial" w:hAnsi="Arial" w:cs="Arial"/>
                <w:b/>
                <w:bCs/>
                <w:sz w:val="18"/>
                <w:szCs w:val="18"/>
              </w:rPr>
            </w:pPr>
            <w:r>
              <w:rPr>
                <w:rFonts w:ascii="Arial" w:hAnsi="Arial" w:cs="Arial"/>
                <w:b/>
                <w:bCs/>
                <w:sz w:val="18"/>
                <w:szCs w:val="18"/>
              </w:rPr>
              <w:t xml:space="preserve">P21,921,500.66 </w:t>
            </w:r>
          </w:p>
        </w:tc>
        <w:tc>
          <w:tcPr>
            <w:tcW w:w="1488" w:type="dxa"/>
            <w:tcBorders>
              <w:top w:val="single" w:sz="4" w:space="0" w:color="auto"/>
              <w:bottom w:val="single" w:sz="4" w:space="0" w:color="auto"/>
            </w:tcBorders>
          </w:tcPr>
          <w:p>
            <w:pPr>
              <w:pStyle w:val="ListParagraph"/>
              <w:ind w:left="0"/>
              <w:jc w:val="right"/>
              <w:rPr>
                <w:rFonts w:ascii="Arial" w:hAnsi="Arial" w:cs="Arial"/>
                <w:b/>
                <w:bCs/>
                <w:sz w:val="18"/>
                <w:szCs w:val="18"/>
              </w:rPr>
            </w:pPr>
            <w:r>
              <w:rPr>
                <w:rFonts w:ascii="Arial" w:hAnsi="Arial" w:cs="Arial"/>
                <w:b/>
                <w:bCs/>
                <w:sz w:val="18"/>
                <w:szCs w:val="18"/>
              </w:rPr>
              <w:t xml:space="preserve">P33,424,972.57 </w:t>
            </w:r>
          </w:p>
        </w:tc>
        <w:tc>
          <w:tcPr>
            <w:tcW w:w="1668" w:type="dxa"/>
            <w:tcBorders>
              <w:top w:val="single" w:sz="4" w:space="0" w:color="auto"/>
              <w:bottom w:val="single" w:sz="4" w:space="0" w:color="auto"/>
            </w:tcBorders>
          </w:tcPr>
          <w:p>
            <w:pPr>
              <w:pStyle w:val="ListParagraph"/>
              <w:ind w:left="0"/>
              <w:jc w:val="right"/>
              <w:rPr>
                <w:rFonts w:ascii="Arial" w:hAnsi="Arial" w:cs="Arial"/>
                <w:b/>
                <w:bCs/>
                <w:sz w:val="18"/>
                <w:szCs w:val="18"/>
              </w:rPr>
            </w:pPr>
            <w:r>
              <w:rPr>
                <w:rFonts w:ascii="Arial" w:hAnsi="Arial" w:cs="Arial"/>
                <w:b/>
                <w:bCs/>
                <w:sz w:val="18"/>
                <w:szCs w:val="18"/>
              </w:rPr>
              <w:t xml:space="preserve">P472,416,074.60 </w:t>
            </w:r>
          </w:p>
        </w:tc>
      </w:tr>
    </w:tbl>
    <w:p>
      <w:pPr>
        <w:ind w:left="1440" w:right="804"/>
        <w:jc w:val="both"/>
        <w:rPr>
          <w:rFonts w:ascii="Arial" w:hAnsi="Arial" w:cs="Arial"/>
          <w:bCs/>
          <w:sz w:val="22"/>
          <w:szCs w:val="22"/>
        </w:rPr>
      </w:pPr>
    </w:p>
    <w:p>
      <w:pPr>
        <w:pStyle w:val="ListParagraph"/>
        <w:numPr>
          <w:ilvl w:val="1"/>
          <w:numId w:val="14"/>
        </w:numPr>
        <w:ind w:hanging="630"/>
        <w:jc w:val="both"/>
        <w:rPr>
          <w:rFonts w:ascii="Arial" w:hAnsi="Arial" w:cs="Arial"/>
          <w:sz w:val="22"/>
          <w:szCs w:val="22"/>
        </w:rPr>
      </w:pPr>
      <w:r>
        <w:rPr>
          <w:rFonts w:ascii="Arial" w:hAnsi="Arial" w:cs="Arial"/>
          <w:bCs/>
          <w:sz w:val="22"/>
          <w:szCs w:val="22"/>
        </w:rPr>
        <w:t>This</w:t>
      </w:r>
      <w:r>
        <w:rPr>
          <w:rFonts w:ascii="Arial" w:hAnsi="Arial" w:cs="Arial"/>
          <w:sz w:val="22"/>
          <w:szCs w:val="22"/>
        </w:rPr>
        <w:t xml:space="preserve"> non-remittance to BIR, GSIS, Pag-IBIG, and PhilHealth may result in the imposition of avoidable interests, penalties and surcharges, not to mention the possibility of denial of employee benefits </w:t>
      </w:r>
      <w:bookmarkStart w:id="5" w:name="_Hlk162886921"/>
      <w:r>
        <w:rPr>
          <w:rFonts w:ascii="Arial" w:hAnsi="Arial" w:cs="Arial"/>
          <w:sz w:val="22"/>
          <w:szCs w:val="22"/>
        </w:rPr>
        <w:t>due to insufficient mandatory remittances.</w:t>
      </w:r>
      <w:bookmarkEnd w:id="5"/>
    </w:p>
    <w:p>
      <w:pPr>
        <w:pStyle w:val="NoSpacing"/>
        <w:tabs>
          <w:tab w:val="left" w:pos="1440"/>
        </w:tabs>
        <w:jc w:val="both"/>
        <w:rPr>
          <w:bCs/>
        </w:rPr>
      </w:pPr>
    </w:p>
    <w:p>
      <w:pPr>
        <w:pStyle w:val="NoSpacing"/>
        <w:tabs>
          <w:tab w:val="left" w:pos="1440"/>
        </w:tabs>
        <w:jc w:val="both"/>
        <w:rPr>
          <w:bCs/>
        </w:rPr>
      </w:pPr>
    </w:p>
    <w:p>
      <w:pPr>
        <w:pStyle w:val="ListParagraph"/>
        <w:numPr>
          <w:ilvl w:val="1"/>
          <w:numId w:val="25"/>
        </w:numPr>
        <w:ind w:hanging="654"/>
        <w:jc w:val="both"/>
        <w:rPr>
          <w:rFonts w:ascii="Arial" w:hAnsi="Arial" w:cs="Arial"/>
          <w:b/>
          <w:sz w:val="22"/>
        </w:rPr>
      </w:pPr>
      <w:r>
        <w:rPr>
          <w:rFonts w:ascii="Arial" w:hAnsi="Arial" w:cs="Arial"/>
          <w:b/>
          <w:sz w:val="22"/>
          <w:szCs w:val="22"/>
        </w:rPr>
        <w:t>We</w:t>
      </w:r>
      <w:r>
        <w:rPr>
          <w:rFonts w:ascii="Arial" w:hAnsi="Arial" w:cs="Arial"/>
          <w:b/>
          <w:sz w:val="22"/>
        </w:rPr>
        <w:t xml:space="preserve"> recommended and Management agreed to </w:t>
      </w:r>
      <w:r>
        <w:rPr>
          <w:rFonts w:ascii="Arial" w:hAnsi="Arial" w:cs="Arial"/>
          <w:b/>
          <w:sz w:val="22"/>
          <w:szCs w:val="22"/>
          <w:lang w:val="en-PH"/>
        </w:rPr>
        <w:t>e</w:t>
      </w:r>
      <w:r>
        <w:rPr>
          <w:rFonts w:ascii="Arial" w:hAnsi="Arial" w:cs="Arial"/>
          <w:b/>
          <w:bCs/>
          <w:sz w:val="22"/>
          <w:szCs w:val="22"/>
          <w:lang w:val="en-PH"/>
        </w:rPr>
        <w:t>nsure prompt and full remittance of all withholding taxes, contributions, premium payments, loan amortization and other amounts due to the BIR, GSIS, Pag-IBIG and PhilHealth pursuant to the above-mentioned regulations.</w:t>
      </w:r>
    </w:p>
    <w:p>
      <w:pPr>
        <w:pStyle w:val="NoSpacing"/>
        <w:tabs>
          <w:tab w:val="left" w:pos="1440"/>
        </w:tabs>
        <w:ind w:left="360"/>
        <w:jc w:val="both"/>
        <w:rPr>
          <w:b/>
          <w:bCs/>
        </w:rPr>
      </w:pPr>
    </w:p>
    <w:p>
      <w:pPr>
        <w:tabs>
          <w:tab w:val="left" w:pos="1200"/>
        </w:tabs>
        <w:jc w:val="both"/>
        <w:rPr>
          <w:rFonts w:ascii="Arial" w:hAnsi="Arial" w:cs="Arial"/>
          <w:b/>
          <w:bCs/>
          <w:sz w:val="22"/>
          <w:szCs w:val="22"/>
        </w:rPr>
      </w:pPr>
    </w:p>
    <w:p>
      <w:pPr>
        <w:tabs>
          <w:tab w:val="left" w:pos="425"/>
          <w:tab w:val="left" w:pos="1200"/>
        </w:tabs>
        <w:ind w:firstLine="360"/>
        <w:jc w:val="both"/>
        <w:rPr>
          <w:rFonts w:ascii="Arial" w:hAnsi="Arial" w:cs="Arial"/>
          <w:bCs/>
          <w:sz w:val="22"/>
          <w:szCs w:val="22"/>
        </w:rPr>
      </w:pPr>
      <w:r>
        <w:rPr>
          <w:rFonts w:ascii="Arial" w:hAnsi="Arial" w:cs="Arial"/>
          <w:bCs/>
          <w:sz w:val="22"/>
          <w:szCs w:val="22"/>
        </w:rPr>
        <w:t>Management comments/actions:</w:t>
      </w:r>
    </w:p>
    <w:p>
      <w:pPr>
        <w:pStyle w:val="ListParagraph"/>
        <w:tabs>
          <w:tab w:val="left" w:pos="425"/>
          <w:tab w:val="left" w:pos="1200"/>
        </w:tabs>
        <w:ind w:left="425"/>
        <w:jc w:val="both"/>
        <w:rPr>
          <w:rFonts w:ascii="Arial" w:hAnsi="Arial" w:cs="Arial"/>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bCs/>
          <w:sz w:val="22"/>
          <w:szCs w:val="22"/>
        </w:rPr>
        <w:t xml:space="preserve">The </w:t>
      </w:r>
      <w:r>
        <w:rPr>
          <w:rFonts w:ascii="Arial" w:hAnsi="Arial" w:cs="Arial"/>
          <w:sz w:val="22"/>
          <w:szCs w:val="22"/>
        </w:rPr>
        <w:t>Management</w:t>
      </w:r>
      <w:r>
        <w:rPr>
          <w:rFonts w:ascii="Arial" w:hAnsi="Arial" w:cs="Arial"/>
          <w:bCs/>
          <w:sz w:val="22"/>
          <w:szCs w:val="22"/>
        </w:rPr>
        <w:t xml:space="preserve"> commented that the Due to BIR unremitted amounts pertain to tax withheld in connection with the unpaid accounts payable as of year-end of the City. These amounts will be remitted the following year once said accounts payable is paid subject to the availability of cash being as the normal practice of the City’s cash management.</w:t>
      </w:r>
    </w:p>
    <w:p>
      <w:pPr>
        <w:pStyle w:val="ListParagraph"/>
        <w:ind w:left="1080"/>
        <w:jc w:val="both"/>
        <w:rPr>
          <w:rFonts w:ascii="Arial" w:hAnsi="Arial" w:cs="Arial"/>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bCs/>
          <w:sz w:val="22"/>
          <w:szCs w:val="22"/>
        </w:rPr>
        <w:t xml:space="preserve">As for the Due to the GSIS, the remaining amount </w:t>
      </w:r>
      <w:r>
        <w:rPr>
          <w:rFonts w:ascii="Arial" w:hAnsi="Arial" w:cs="Arial"/>
          <w:sz w:val="22"/>
          <w:szCs w:val="22"/>
        </w:rPr>
        <w:t>pertain to remittances withheld for clarification from various offices/departments/bureaus. These remittances are either due to newly hired or newly promoted employees, including those employees with incomplete information determined by this office which are already communicated to concerned offices/departments/bureaus. These amounts will be remitted once the respective Agency Authorized Officers of these offices/departments/bureaus have already updated the GSIS records through Agency Remittance Advice.</w:t>
      </w:r>
    </w:p>
    <w:p>
      <w:pPr>
        <w:pStyle w:val="ListParagraph"/>
        <w:rPr>
          <w:rFonts w:ascii="Arial" w:hAnsi="Arial" w:cs="Arial"/>
          <w:bCs/>
          <w:sz w:val="22"/>
          <w:szCs w:val="22"/>
        </w:rPr>
      </w:pPr>
    </w:p>
    <w:p>
      <w:pPr>
        <w:pStyle w:val="ListParagraph"/>
        <w:numPr>
          <w:ilvl w:val="1"/>
          <w:numId w:val="14"/>
        </w:numPr>
        <w:ind w:hanging="630"/>
        <w:jc w:val="both"/>
        <w:rPr>
          <w:rFonts w:ascii="Arial" w:hAnsi="Arial" w:cs="Arial"/>
          <w:bCs/>
          <w:sz w:val="22"/>
          <w:szCs w:val="22"/>
        </w:rPr>
      </w:pPr>
      <w:r>
        <w:rPr>
          <w:rFonts w:ascii="Arial" w:hAnsi="Arial" w:cs="Arial"/>
          <w:bCs/>
          <w:sz w:val="22"/>
          <w:szCs w:val="22"/>
        </w:rPr>
        <w:t>Due to PAG-IBIG and Due to PhilHealth represent the amount withheld as of year-end. The OCAT is in the process of reconciliation and recording of unrecorded disbursement vouchers which are not yet at the possession of this Office.</w:t>
      </w: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pStyle w:val="NoSpacing"/>
        <w:numPr>
          <w:ilvl w:val="0"/>
          <w:numId w:val="14"/>
        </w:numPr>
        <w:ind w:left="450" w:hanging="450"/>
        <w:jc w:val="both"/>
        <w:rPr>
          <w:b/>
          <w:bCs/>
          <w:sz w:val="22"/>
          <w:u w:val="none"/>
        </w:rPr>
      </w:pPr>
      <w:r>
        <w:rPr>
          <w:b/>
          <w:bCs/>
          <w:kern w:val="28"/>
          <w:sz w:val="22"/>
          <w:u w:val="none"/>
          <w:lang w:eastAsia="en-PH"/>
        </w:rPr>
        <w:t>The</w:t>
      </w:r>
      <w:r>
        <w:rPr>
          <w:b/>
          <w:bCs/>
          <w:sz w:val="22"/>
          <w:u w:val="none"/>
        </w:rPr>
        <w:t xml:space="preserve"> City was unable to identify and appropriate various PPAs for Local Climate Change Action Plan (LCCAP) in CY 2023, which is not inconsonance with </w:t>
      </w:r>
      <w:r>
        <w:rPr>
          <w:b/>
          <w:bCs/>
          <w:sz w:val="22"/>
          <w:u w:val="none"/>
        </w:rPr>
        <w:br/>
        <w:t>Section 14 of RA No. 9729, otherwise known as the Climate Change Act of 2009, as amended.</w:t>
      </w:r>
    </w:p>
    <w:p>
      <w:pPr>
        <w:tabs>
          <w:tab w:val="left" w:pos="1200"/>
        </w:tabs>
        <w:jc w:val="both"/>
        <w:rPr>
          <w:rFonts w:ascii="Arial" w:hAnsi="Arial" w:cs="Arial"/>
          <w:b/>
          <w:bCs/>
          <w:sz w:val="22"/>
          <w:szCs w:val="22"/>
        </w:rPr>
      </w:pPr>
    </w:p>
    <w:p>
      <w:pPr>
        <w:pStyle w:val="ListParagraph"/>
        <w:numPr>
          <w:ilvl w:val="1"/>
          <w:numId w:val="14"/>
        </w:numPr>
        <w:ind w:hanging="630"/>
        <w:jc w:val="both"/>
        <w:rPr>
          <w:rFonts w:ascii="Arial" w:hAnsi="Arial" w:cs="Arial"/>
          <w:sz w:val="22"/>
          <w:szCs w:val="22"/>
        </w:rPr>
      </w:pPr>
      <w:r>
        <w:rPr>
          <w:rFonts w:ascii="Arial" w:hAnsi="Arial" w:cs="Arial"/>
          <w:bCs/>
          <w:sz w:val="22"/>
          <w:szCs w:val="22"/>
        </w:rPr>
        <w:t>Sec</w:t>
      </w:r>
      <w:r>
        <w:rPr>
          <w:rFonts w:ascii="Arial" w:hAnsi="Arial" w:cs="Arial"/>
          <w:sz w:val="22"/>
          <w:szCs w:val="22"/>
        </w:rPr>
        <w:t>. 14 of RA No. 9729</w:t>
      </w:r>
      <w:r>
        <w:rPr>
          <w:rFonts w:ascii="Arial" w:hAnsi="Arial" w:cs="Arial"/>
          <w:sz w:val="22"/>
          <w:szCs w:val="22"/>
          <w:vertAlign w:val="superscript"/>
        </w:rPr>
        <w:footnoteReference w:id="10"/>
      </w:r>
      <w:r>
        <w:rPr>
          <w:rFonts w:ascii="Arial" w:hAnsi="Arial" w:cs="Arial"/>
          <w:sz w:val="22"/>
          <w:szCs w:val="22"/>
        </w:rPr>
        <w:t xml:space="preserve"> provides, among others, that LGUs shall be the frontline agencies in the formulation, planning and implementation of climate change action plans in their respective areas, consistent with the provisions of the Local Government Code, the Framework, and the National Climate Change Action Plan. It further mandates that city governments shall consider climate change adaptation, as one of their regular functions. Notably, the same provision expressly authorized LGUs to appropriate and use such amount from its Internal Revenue Allotment or IRA (now National Tax Allocation or NTA) necessary to implement said local plan effectively, any provision in the Local Government Code to the contrary notwithstanding.</w:t>
      </w:r>
      <w:r>
        <w:rPr>
          <w:rFonts w:ascii="Arial" w:hAnsi="Arial" w:cs="Arial"/>
          <w:sz w:val="22"/>
          <w:szCs w:val="22"/>
          <w:vertAlign w:val="superscript"/>
        </w:rPr>
        <w:footnoteReference w:id="11"/>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bCs/>
          <w:sz w:val="22"/>
          <w:szCs w:val="22"/>
        </w:rPr>
        <w:t>The</w:t>
      </w:r>
      <w:r>
        <w:rPr>
          <w:rFonts w:ascii="Arial" w:hAnsi="Arial" w:cs="Arial"/>
          <w:sz w:val="22"/>
          <w:szCs w:val="22"/>
        </w:rPr>
        <w:t xml:space="preserve"> audit included the determination of the City’s compliance with the requirements with the aforesaid law, as amended by RA No. 10174 and other existing rules and regulations. Specifically, to assess and validate the LCCAP Formulation Process as follows:</w:t>
      </w:r>
    </w:p>
    <w:p>
      <w:pPr>
        <w:tabs>
          <w:tab w:val="left" w:pos="1200"/>
        </w:tabs>
        <w:jc w:val="both"/>
        <w:rPr>
          <w:rFonts w:ascii="Arial" w:hAnsi="Arial" w:cs="Arial"/>
          <w:sz w:val="22"/>
          <w:szCs w:val="22"/>
        </w:rPr>
      </w:pPr>
    </w:p>
    <w:p>
      <w:pPr>
        <w:numPr>
          <w:ilvl w:val="0"/>
          <w:numId w:val="10"/>
        </w:numPr>
        <w:tabs>
          <w:tab w:val="left" w:pos="1200"/>
        </w:tabs>
        <w:jc w:val="both"/>
        <w:rPr>
          <w:rFonts w:ascii="Arial" w:hAnsi="Arial" w:cs="Arial"/>
          <w:sz w:val="22"/>
          <w:szCs w:val="22"/>
        </w:rPr>
      </w:pPr>
      <w:r>
        <w:rPr>
          <w:rFonts w:ascii="Arial" w:hAnsi="Arial" w:cs="Arial"/>
          <w:sz w:val="22"/>
          <w:szCs w:val="22"/>
        </w:rPr>
        <w:t>Preparatory Stage – organization of the LCCAP Core Team and orientation of LGU officials, key stakeholders, etc., on the purpose and scope of climate change adaptation planning, consultations, etc;</w:t>
      </w:r>
    </w:p>
    <w:p>
      <w:pPr>
        <w:numPr>
          <w:ilvl w:val="0"/>
          <w:numId w:val="10"/>
        </w:numPr>
        <w:tabs>
          <w:tab w:val="left" w:pos="1200"/>
        </w:tabs>
        <w:jc w:val="both"/>
        <w:rPr>
          <w:rFonts w:ascii="Arial" w:hAnsi="Arial" w:cs="Arial"/>
          <w:sz w:val="22"/>
          <w:szCs w:val="22"/>
        </w:rPr>
      </w:pPr>
      <w:r>
        <w:rPr>
          <w:rFonts w:ascii="Arial" w:hAnsi="Arial" w:cs="Arial"/>
          <w:sz w:val="22"/>
          <w:szCs w:val="22"/>
        </w:rPr>
        <w:t>Data gathering, assessment, risk analysis and validation</w:t>
      </w:r>
    </w:p>
    <w:p>
      <w:pPr>
        <w:numPr>
          <w:ilvl w:val="0"/>
          <w:numId w:val="10"/>
        </w:numPr>
        <w:tabs>
          <w:tab w:val="left" w:pos="1200"/>
        </w:tabs>
        <w:jc w:val="both"/>
        <w:rPr>
          <w:rFonts w:ascii="Arial" w:hAnsi="Arial" w:cs="Arial"/>
          <w:sz w:val="22"/>
          <w:szCs w:val="22"/>
        </w:rPr>
      </w:pPr>
      <w:r>
        <w:rPr>
          <w:rFonts w:ascii="Arial" w:hAnsi="Arial" w:cs="Arial"/>
          <w:sz w:val="22"/>
          <w:szCs w:val="22"/>
        </w:rPr>
        <w:t xml:space="preserve">Planning, prioritization and budgeting; and </w:t>
      </w:r>
    </w:p>
    <w:p>
      <w:pPr>
        <w:numPr>
          <w:ilvl w:val="0"/>
          <w:numId w:val="10"/>
        </w:numPr>
        <w:tabs>
          <w:tab w:val="left" w:pos="1200"/>
        </w:tabs>
        <w:jc w:val="both"/>
        <w:rPr>
          <w:rFonts w:ascii="Arial" w:hAnsi="Arial" w:cs="Arial"/>
          <w:sz w:val="22"/>
          <w:szCs w:val="22"/>
        </w:rPr>
      </w:pPr>
      <w:r>
        <w:rPr>
          <w:rFonts w:ascii="Arial" w:hAnsi="Arial" w:cs="Arial"/>
          <w:sz w:val="22"/>
          <w:szCs w:val="22"/>
        </w:rPr>
        <w:t>Implementation, monitoring and evaluation</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bCs/>
          <w:sz w:val="22"/>
          <w:szCs w:val="22"/>
        </w:rPr>
        <w:t>Records</w:t>
      </w:r>
      <w:r>
        <w:rPr>
          <w:rFonts w:ascii="Arial" w:hAnsi="Arial" w:cs="Arial"/>
          <w:sz w:val="22"/>
          <w:szCs w:val="22"/>
        </w:rPr>
        <w:t xml:space="preserve"> disclosed that the City Council of Manila, in its Resolution No. 214, s. 2021, dated October 4, 2021, adopted the approval of the City’s initial LCCAP for 2022-2032 which was prepared and submitted by the Manila Disaster Risk Reduction and Management Office (MDRRMO).  The Philippine Climate Change Commission, in its letter dated May 4, 2022, certified its receipt of a copy of said plan as mandated by DILG MC No. 2021-068, dated June 28, 2021. </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A reading of the LCCAP shows that it provides two main areas with corresponding sectors and strategies wherein possible priority programs, projects, activities and strategies may be identified for implementation, to wit: </w:t>
      </w:r>
    </w:p>
    <w:p>
      <w:pPr>
        <w:tabs>
          <w:tab w:val="left" w:pos="1200"/>
        </w:tabs>
        <w:jc w:val="both"/>
        <w:rPr>
          <w:rFonts w:ascii="Arial" w:hAnsi="Arial" w:cs="Arial"/>
          <w:sz w:val="22"/>
          <w:szCs w:val="22"/>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817"/>
      </w:tblGrid>
      <w:tr>
        <w:tc>
          <w:tcPr>
            <w:tcW w:w="2790" w:type="dxa"/>
            <w:hideMark/>
          </w:tcPr>
          <w:p>
            <w:pPr>
              <w:tabs>
                <w:tab w:val="left" w:pos="1200"/>
              </w:tabs>
              <w:jc w:val="both"/>
              <w:rPr>
                <w:rFonts w:ascii="Arial" w:hAnsi="Arial" w:cs="Arial"/>
                <w:sz w:val="22"/>
                <w:szCs w:val="22"/>
              </w:rPr>
            </w:pPr>
            <w:r>
              <w:rPr>
                <w:rFonts w:ascii="Arial" w:hAnsi="Arial" w:cs="Arial"/>
                <w:sz w:val="22"/>
                <w:szCs w:val="22"/>
              </w:rPr>
              <w:t>Area</w:t>
            </w:r>
          </w:p>
        </w:tc>
        <w:tc>
          <w:tcPr>
            <w:tcW w:w="4817" w:type="dxa"/>
          </w:tcPr>
          <w:p>
            <w:pPr>
              <w:tabs>
                <w:tab w:val="left" w:pos="1200"/>
              </w:tabs>
              <w:jc w:val="both"/>
              <w:rPr>
                <w:rFonts w:ascii="Arial" w:hAnsi="Arial" w:cs="Arial"/>
                <w:sz w:val="22"/>
                <w:szCs w:val="22"/>
              </w:rPr>
            </w:pPr>
          </w:p>
        </w:tc>
      </w:tr>
      <w:tr>
        <w:tc>
          <w:tcPr>
            <w:tcW w:w="2790" w:type="dxa"/>
            <w:vMerge w:val="restart"/>
            <w:hideMark/>
          </w:tcPr>
          <w:p>
            <w:pPr>
              <w:numPr>
                <w:ilvl w:val="0"/>
                <w:numId w:val="11"/>
              </w:numPr>
              <w:tabs>
                <w:tab w:val="left" w:pos="1200"/>
              </w:tabs>
              <w:ind w:left="700"/>
              <w:jc w:val="both"/>
              <w:rPr>
                <w:rFonts w:ascii="Arial" w:hAnsi="Arial" w:cs="Arial"/>
                <w:sz w:val="22"/>
                <w:szCs w:val="22"/>
              </w:rPr>
            </w:pPr>
            <w:r>
              <w:rPr>
                <w:rFonts w:ascii="Arial" w:hAnsi="Arial" w:cs="Arial"/>
                <w:sz w:val="22"/>
                <w:szCs w:val="22"/>
              </w:rPr>
              <w:t>Climate Change Mitigation</w:t>
            </w:r>
          </w:p>
        </w:tc>
        <w:tc>
          <w:tcPr>
            <w:tcW w:w="4817" w:type="dxa"/>
            <w:hideMark/>
          </w:tcPr>
          <w:p>
            <w:pPr>
              <w:tabs>
                <w:tab w:val="left" w:pos="1200"/>
              </w:tabs>
              <w:jc w:val="both"/>
              <w:rPr>
                <w:rFonts w:ascii="Arial" w:hAnsi="Arial" w:cs="Arial"/>
                <w:sz w:val="22"/>
                <w:szCs w:val="22"/>
              </w:rPr>
            </w:pPr>
            <w:r>
              <w:rPr>
                <w:rFonts w:ascii="Arial" w:hAnsi="Arial" w:cs="Arial"/>
                <w:sz w:val="22"/>
                <w:szCs w:val="22"/>
              </w:rPr>
              <w:t>Sectors:</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 xml:space="preserve">Energy </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Transportation and Traffic Management</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 xml:space="preserve">Agricultural </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Forest and other Land Use</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Industrial Processes and Product Use</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Waste Management</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Environment (Forestry and Other Environment Sector)</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Industrial and Commercial Establishments</w:t>
            </w:r>
          </w:p>
        </w:tc>
      </w:tr>
      <w:tr>
        <w:tc>
          <w:tcPr>
            <w:tcW w:w="2790" w:type="dxa"/>
            <w:vMerge/>
            <w:vAlign w:val="center"/>
            <w:hideMark/>
          </w:tcPr>
          <w:p>
            <w:pPr>
              <w:tabs>
                <w:tab w:val="left" w:pos="1200"/>
              </w:tabs>
              <w:ind w:left="700" w:hanging="360"/>
              <w:jc w:val="both"/>
              <w:rPr>
                <w:rFonts w:ascii="Arial" w:hAnsi="Arial" w:cs="Arial"/>
                <w:sz w:val="22"/>
                <w:szCs w:val="22"/>
              </w:rPr>
            </w:pPr>
          </w:p>
        </w:tc>
        <w:tc>
          <w:tcPr>
            <w:tcW w:w="4817" w:type="dxa"/>
            <w:hideMark/>
          </w:tcPr>
          <w:p>
            <w:pPr>
              <w:numPr>
                <w:ilvl w:val="0"/>
                <w:numId w:val="12"/>
              </w:numPr>
              <w:tabs>
                <w:tab w:val="left" w:pos="1200"/>
              </w:tabs>
              <w:ind w:left="432"/>
              <w:jc w:val="both"/>
              <w:rPr>
                <w:rFonts w:ascii="Arial" w:hAnsi="Arial" w:cs="Arial"/>
                <w:sz w:val="22"/>
                <w:szCs w:val="22"/>
              </w:rPr>
            </w:pPr>
            <w:r>
              <w:rPr>
                <w:rFonts w:ascii="Arial" w:hAnsi="Arial" w:cs="Arial"/>
                <w:sz w:val="22"/>
                <w:szCs w:val="22"/>
              </w:rPr>
              <w:t>Science and Technology</w:t>
            </w:r>
          </w:p>
        </w:tc>
      </w:tr>
      <w:tr>
        <w:tc>
          <w:tcPr>
            <w:tcW w:w="2790" w:type="dxa"/>
            <w:hideMark/>
          </w:tcPr>
          <w:p>
            <w:pPr>
              <w:numPr>
                <w:ilvl w:val="0"/>
                <w:numId w:val="11"/>
              </w:numPr>
              <w:tabs>
                <w:tab w:val="left" w:pos="1200"/>
              </w:tabs>
              <w:ind w:left="700"/>
              <w:jc w:val="both"/>
              <w:rPr>
                <w:rFonts w:ascii="Arial" w:hAnsi="Arial" w:cs="Arial"/>
                <w:sz w:val="22"/>
                <w:szCs w:val="22"/>
              </w:rPr>
            </w:pPr>
            <w:r>
              <w:rPr>
                <w:rFonts w:ascii="Arial" w:hAnsi="Arial" w:cs="Arial"/>
                <w:sz w:val="22"/>
                <w:szCs w:val="22"/>
              </w:rPr>
              <w:t>Climate Change Adaptation</w:t>
            </w:r>
          </w:p>
        </w:tc>
        <w:tc>
          <w:tcPr>
            <w:tcW w:w="4817" w:type="dxa"/>
            <w:hideMark/>
          </w:tcPr>
          <w:p>
            <w:pPr>
              <w:tabs>
                <w:tab w:val="left" w:pos="1200"/>
              </w:tabs>
              <w:jc w:val="both"/>
              <w:rPr>
                <w:rFonts w:ascii="Arial" w:hAnsi="Arial" w:cs="Arial"/>
                <w:sz w:val="22"/>
                <w:szCs w:val="22"/>
              </w:rPr>
            </w:pPr>
            <w:r>
              <w:rPr>
                <w:rFonts w:ascii="Arial" w:hAnsi="Arial" w:cs="Arial"/>
                <w:sz w:val="22"/>
                <w:szCs w:val="22"/>
              </w:rPr>
              <w:t>Strategies:</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Promotion of renewable energy sources (solar, wind, etc.)</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Rooftop water harvesting is to be made mandatory</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Sewage system, water sanitation and wastewater treatment</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Improvement of drainage system and waterways</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Contraction of sea walls/breakwater</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Development, installation and establishment Early Warning System</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Improvement of Traffic Management</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Monitoring compliance of commercial establishments in implementing strict parking regulations</w:t>
            </w:r>
          </w:p>
        </w:tc>
      </w:tr>
      <w:tr>
        <w:tc>
          <w:tcPr>
            <w:tcW w:w="2790" w:type="dxa"/>
          </w:tcPr>
          <w:p>
            <w:pPr>
              <w:tabs>
                <w:tab w:val="left" w:pos="1200"/>
              </w:tabs>
              <w:jc w:val="both"/>
              <w:rPr>
                <w:rFonts w:ascii="Arial" w:hAnsi="Arial" w:cs="Arial"/>
                <w:sz w:val="22"/>
                <w:szCs w:val="22"/>
              </w:rPr>
            </w:pPr>
          </w:p>
        </w:tc>
        <w:tc>
          <w:tcPr>
            <w:tcW w:w="4817" w:type="dxa"/>
            <w:hideMark/>
          </w:tcPr>
          <w:p>
            <w:pPr>
              <w:numPr>
                <w:ilvl w:val="0"/>
                <w:numId w:val="13"/>
              </w:numPr>
              <w:tabs>
                <w:tab w:val="left" w:pos="1200"/>
              </w:tabs>
              <w:ind w:left="432"/>
              <w:jc w:val="both"/>
              <w:rPr>
                <w:rFonts w:ascii="Arial" w:hAnsi="Arial" w:cs="Arial"/>
                <w:sz w:val="22"/>
                <w:szCs w:val="22"/>
              </w:rPr>
            </w:pPr>
            <w:r>
              <w:rPr>
                <w:rFonts w:ascii="Arial" w:hAnsi="Arial" w:cs="Arial"/>
                <w:sz w:val="22"/>
                <w:szCs w:val="22"/>
              </w:rPr>
              <w:t>Improvement and continuation of food security program</w:t>
            </w:r>
          </w:p>
        </w:tc>
      </w:tr>
    </w:tbl>
    <w:p>
      <w:pPr>
        <w:tabs>
          <w:tab w:val="left" w:pos="1200"/>
        </w:tabs>
        <w:jc w:val="both"/>
        <w:rPr>
          <w:rFonts w:ascii="Arial" w:hAnsi="Arial" w:cs="Arial"/>
          <w:sz w:val="22"/>
          <w:szCs w:val="22"/>
        </w:rPr>
      </w:pP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A review of the City’s CY 2023 Annual Investment Plan (AIP) prepared by the City Planning and Development Office (CPDO) showed that it did not specifically have a list of proposed climate change PPAs for implementation during the same year. Concerned CPDO personnel explained that some PPAs may be identified and classified as climate change PPAs from among the several PPAs submitted by various City offices/departments.  Concerned personnel from both the CPDO and MDRRMO however, cannot assure the specific area or strategy the purported PPAs from the AIP may refer to in the City’s LCCAP since there were no prior discussions undertaken thereon.  </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Notably, funds for the various PPAs submitted by different City offices/departments were to be charged from their respective approved appropriations.  According to the aforementioned provision, it was categorically provided that climate change PPAs are to be funded from the City’s IRA (now NTA). </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It was also admitted by said personnel that there were no submitted monitoring, assessment or evaluation reports pertaining to any climate change PPAs that could have been implemented. These reports are necessary to validate the City’s implementation of PPAs as mandated by law. </w:t>
      </w:r>
    </w:p>
    <w:p>
      <w:pPr>
        <w:pStyle w:val="ListParagraph"/>
        <w:tabs>
          <w:tab w:val="left" w:pos="990"/>
        </w:tabs>
        <w:ind w:left="990"/>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Moreover, the City was unable to create its LCCAP Core Team which is not in consonance with Paragraph 3.1.1 of Memorandum Circular (MC) No. 2014-135 </w:t>
      </w:r>
      <w:r>
        <w:rPr>
          <w:rFonts w:ascii="Arial" w:hAnsi="Arial" w:cs="Arial"/>
          <w:sz w:val="22"/>
          <w:szCs w:val="22"/>
        </w:rPr>
        <w:lastRenderedPageBreak/>
        <w:t>dated October 21, 2014,</w:t>
      </w:r>
      <w:r>
        <w:rPr>
          <w:rFonts w:ascii="Arial" w:hAnsi="Arial" w:cs="Arial"/>
          <w:sz w:val="22"/>
          <w:szCs w:val="22"/>
          <w:vertAlign w:val="superscript"/>
        </w:rPr>
        <w:footnoteReference w:id="12"/>
      </w:r>
      <w:r>
        <w:rPr>
          <w:rFonts w:ascii="Arial" w:hAnsi="Arial" w:cs="Arial"/>
          <w:sz w:val="22"/>
          <w:szCs w:val="22"/>
        </w:rPr>
        <w:t xml:space="preserve"> of the Department of the Interior and Local Government (DILG)</w:t>
      </w:r>
      <w:r>
        <w:rPr>
          <w:rFonts w:ascii="Arial" w:hAnsi="Arial" w:cs="Arial"/>
          <w:sz w:val="22"/>
          <w:szCs w:val="22"/>
          <w:vertAlign w:val="superscript"/>
        </w:rPr>
        <w:footnoteReference w:id="13"/>
      </w:r>
      <w:r>
        <w:rPr>
          <w:rFonts w:ascii="Arial" w:hAnsi="Arial" w:cs="Arial"/>
          <w:sz w:val="22"/>
          <w:szCs w:val="22"/>
        </w:rPr>
        <w:t>.</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Paragraph 3.1.1 of the MC No. 2014-135 provides that the Local Chief Executive, shall organize a LCCAP Core Team (LCT), who will lead, oversee and ensure that an LCCAP will be drafted, eventually approved, implemented, regularly monitored and updated when necessary. It recommended the following LGU offices be represented in the team: Planning and Development, Health, Engineering, Agriculture, Social Welfare and Development, Budget, Treasurer, DRRM and Local Government Operations Officer. Under Section 7 of the City’s LCCAP, it provides for the creation, my means of an Executive Order (EO), of the Climate Change Action Committee (CCAC), also called the Climate Core Team, composed of various Department Heads of the City as members with the City Mayor and City Vice Mayor as Chairman and Vice Chairman, respectively. Among the duties and responsibilities of the said CCAC is to prepare the LCCAP and facilitate effective integration of planned initiatives into the City’s development plans. </w:t>
      </w:r>
    </w:p>
    <w:p>
      <w:pPr>
        <w:tabs>
          <w:tab w:val="left" w:pos="1200"/>
        </w:tabs>
        <w:jc w:val="both"/>
        <w:rPr>
          <w:rFonts w:ascii="Arial" w:hAnsi="Arial" w:cs="Arial"/>
          <w:sz w:val="22"/>
          <w:szCs w:val="22"/>
        </w:rPr>
      </w:pPr>
    </w:p>
    <w:p>
      <w:pPr>
        <w:pStyle w:val="ListParagraph"/>
        <w:numPr>
          <w:ilvl w:val="1"/>
          <w:numId w:val="14"/>
        </w:numPr>
        <w:ind w:hanging="630"/>
        <w:jc w:val="both"/>
        <w:rPr>
          <w:rFonts w:ascii="Arial" w:hAnsi="Arial" w:cs="Arial"/>
          <w:sz w:val="22"/>
          <w:szCs w:val="22"/>
        </w:rPr>
      </w:pPr>
      <w:r>
        <w:rPr>
          <w:rFonts w:ascii="Arial" w:hAnsi="Arial" w:cs="Arial"/>
          <w:sz w:val="22"/>
          <w:szCs w:val="22"/>
        </w:rPr>
        <w:t xml:space="preserve">Verification revealed that the approved LCCAP was not initiated by the City’s LCT nor by the said CCAC (Climate Core Team) but was prepared and submitted to the City Council by personnel of the MDRRMO, as Main Author, </w:t>
      </w:r>
      <w:r>
        <w:rPr>
          <w:rFonts w:ascii="Arial" w:hAnsi="Arial" w:cs="Arial"/>
          <w:sz w:val="22"/>
          <w:szCs w:val="22"/>
        </w:rPr>
        <w:br/>
        <w:t>Co-Authors and Chief Editors.  Further inquiry disclosed that Section 7 is, to date, not implemented since a copy of the relevant EO has not been presented.</w:t>
      </w:r>
    </w:p>
    <w:p>
      <w:pPr>
        <w:tabs>
          <w:tab w:val="left" w:pos="1200"/>
        </w:tabs>
        <w:jc w:val="both"/>
        <w:rPr>
          <w:rFonts w:ascii="Arial" w:hAnsi="Arial" w:cs="Arial"/>
          <w:b/>
          <w:bCs/>
          <w:sz w:val="22"/>
          <w:szCs w:val="22"/>
        </w:rPr>
      </w:pPr>
    </w:p>
    <w:p>
      <w:pPr>
        <w:pStyle w:val="ListParagraph"/>
        <w:numPr>
          <w:ilvl w:val="1"/>
          <w:numId w:val="26"/>
        </w:numPr>
        <w:ind w:hanging="654"/>
        <w:jc w:val="both"/>
        <w:rPr>
          <w:rFonts w:ascii="Arial" w:hAnsi="Arial" w:cs="Arial"/>
          <w:b/>
          <w:bCs/>
          <w:sz w:val="22"/>
          <w:szCs w:val="22"/>
        </w:rPr>
      </w:pPr>
      <w:r>
        <w:rPr>
          <w:rFonts w:ascii="Arial" w:hAnsi="Arial" w:cs="Arial"/>
          <w:b/>
          <w:bCs/>
          <w:sz w:val="22"/>
          <w:szCs w:val="22"/>
        </w:rPr>
        <w:t>We recommended and Management agreed to:</w:t>
      </w:r>
    </w:p>
    <w:p>
      <w:pPr>
        <w:tabs>
          <w:tab w:val="left" w:pos="1890"/>
          <w:tab w:val="left" w:pos="1980"/>
        </w:tabs>
        <w:spacing w:line="259" w:lineRule="auto"/>
        <w:ind w:left="720"/>
        <w:contextualSpacing/>
        <w:jc w:val="both"/>
        <w:rPr>
          <w:rFonts w:ascii="Arial" w:hAnsi="Arial" w:cs="Arial"/>
          <w:b/>
          <w:bCs/>
          <w:sz w:val="22"/>
          <w:szCs w:val="22"/>
        </w:rPr>
      </w:pPr>
    </w:p>
    <w:p>
      <w:pPr>
        <w:numPr>
          <w:ilvl w:val="2"/>
          <w:numId w:val="27"/>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t>Promptly create the City’s LCCAP Core Team in accordance with Paragraph 3.1.1 of DILG-MC No. 2014-135 and Section 7 of the City’s LCCAP to facilitate the proper planning, prioritization, funding, implementation and monitoring/assessment of proposed climate change PPAs; and</w:t>
      </w:r>
    </w:p>
    <w:p>
      <w:pPr>
        <w:tabs>
          <w:tab w:val="left" w:pos="1890"/>
          <w:tab w:val="left" w:pos="1980"/>
        </w:tabs>
        <w:spacing w:line="259" w:lineRule="auto"/>
        <w:ind w:left="1418"/>
        <w:contextualSpacing/>
        <w:jc w:val="both"/>
        <w:rPr>
          <w:rFonts w:ascii="Arial" w:hAnsi="Arial" w:cs="Arial"/>
          <w:b/>
          <w:bCs/>
          <w:sz w:val="22"/>
          <w:szCs w:val="22"/>
        </w:rPr>
      </w:pPr>
    </w:p>
    <w:p>
      <w:pPr>
        <w:numPr>
          <w:ilvl w:val="2"/>
          <w:numId w:val="27"/>
        </w:numPr>
        <w:tabs>
          <w:tab w:val="left" w:pos="1890"/>
          <w:tab w:val="left" w:pos="1980"/>
        </w:tabs>
        <w:spacing w:line="259" w:lineRule="auto"/>
        <w:ind w:left="1418"/>
        <w:contextualSpacing/>
        <w:jc w:val="both"/>
        <w:rPr>
          <w:rFonts w:ascii="Arial" w:hAnsi="Arial" w:cs="Arial"/>
          <w:b/>
          <w:bCs/>
          <w:sz w:val="22"/>
          <w:szCs w:val="22"/>
        </w:rPr>
      </w:pPr>
      <w:r>
        <w:rPr>
          <w:rFonts w:ascii="Arial" w:hAnsi="Arial" w:cs="Arial"/>
          <w:b/>
          <w:bCs/>
          <w:sz w:val="22"/>
          <w:szCs w:val="22"/>
        </w:rPr>
        <w:t>Ensure that approved climate change PPAs are aligned with the City’s LCCAP and funded from the City’s IRA (now NTA) in accordance with Section 14 of RA No. 9729.</w:t>
      </w: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
          <w:bCs/>
          <w:sz w:val="22"/>
          <w:szCs w:val="22"/>
        </w:rPr>
      </w:pPr>
    </w:p>
    <w:p>
      <w:pPr>
        <w:tabs>
          <w:tab w:val="left" w:pos="1200"/>
        </w:tabs>
        <w:jc w:val="both"/>
        <w:rPr>
          <w:rFonts w:ascii="Arial" w:hAnsi="Arial" w:cs="Arial"/>
          <w:bCs/>
          <w:sz w:val="22"/>
          <w:szCs w:val="22"/>
        </w:rPr>
      </w:pPr>
    </w:p>
    <w:p>
      <w:pPr>
        <w:tabs>
          <w:tab w:val="left" w:pos="1200"/>
        </w:tabs>
        <w:jc w:val="both"/>
        <w:rPr>
          <w:rFonts w:ascii="Arial" w:hAnsi="Arial" w:cs="Arial"/>
          <w:bCs/>
          <w:sz w:val="22"/>
          <w:szCs w:val="22"/>
        </w:rPr>
      </w:pPr>
    </w:p>
    <w:p>
      <w:pPr>
        <w:tabs>
          <w:tab w:val="left" w:pos="1200"/>
        </w:tabs>
        <w:jc w:val="both"/>
        <w:rPr>
          <w:rFonts w:ascii="Arial" w:hAnsi="Arial" w:cs="Arial"/>
          <w:bCs/>
          <w:sz w:val="22"/>
          <w:szCs w:val="22"/>
        </w:rPr>
      </w:pPr>
      <w:r>
        <w:rPr>
          <w:rFonts w:ascii="Arial" w:hAnsi="Arial" w:cs="Arial"/>
          <w:bCs/>
          <w:sz w:val="22"/>
          <w:szCs w:val="22"/>
        </w:rPr>
        <w:t xml:space="preserve">SETTLEMENT OF AUDIT SUSPENSIONS, DISALLOWANCES AND CHARGES </w:t>
      </w:r>
    </w:p>
    <w:p>
      <w:pPr>
        <w:pStyle w:val="NoSpacing"/>
        <w:rPr>
          <w:sz w:val="22"/>
          <w:u w:val="none"/>
          <w:lang w:bidi="hi-IN"/>
        </w:rPr>
      </w:pPr>
    </w:p>
    <w:p>
      <w:pPr>
        <w:pStyle w:val="NoSpacing"/>
        <w:numPr>
          <w:ilvl w:val="0"/>
          <w:numId w:val="14"/>
        </w:numPr>
        <w:ind w:left="450" w:hanging="450"/>
        <w:jc w:val="both"/>
        <w:rPr>
          <w:b/>
          <w:bCs/>
          <w:sz w:val="22"/>
          <w:u w:val="none"/>
          <w:shd w:val="clear" w:color="auto" w:fill="FFFFFF"/>
        </w:rPr>
      </w:pPr>
      <w:r>
        <w:rPr>
          <w:b/>
          <w:bCs/>
          <w:sz w:val="22"/>
          <w:u w:val="none"/>
          <w:shd w:val="clear" w:color="auto" w:fill="FFFFFF"/>
          <w:lang w:val="en-PH"/>
        </w:rPr>
        <w:t xml:space="preserve">The status of the </w:t>
      </w:r>
      <w:r>
        <w:rPr>
          <w:b/>
          <w:bCs/>
          <w:sz w:val="22"/>
          <w:u w:val="none"/>
          <w:shd w:val="clear" w:color="auto" w:fill="FFFFFF"/>
        </w:rPr>
        <w:t>audit suspensions, disallowances and charges</w:t>
      </w:r>
      <w:r>
        <w:rPr>
          <w:b/>
          <w:bCs/>
          <w:sz w:val="22"/>
          <w:u w:val="none"/>
          <w:shd w:val="clear" w:color="auto" w:fill="FFFFFF"/>
          <w:lang w:val="en-PH"/>
        </w:rPr>
        <w:t xml:space="preserve"> a</w:t>
      </w:r>
      <w:r>
        <w:rPr>
          <w:b/>
          <w:bCs/>
          <w:sz w:val="22"/>
          <w:u w:val="none"/>
          <w:shd w:val="clear" w:color="auto" w:fill="FFFFFF"/>
        </w:rPr>
        <w:t xml:space="preserve">s of </w:t>
      </w:r>
      <w:r>
        <w:rPr>
          <w:b/>
          <w:bCs/>
          <w:sz w:val="22"/>
          <w:u w:val="none"/>
          <w:shd w:val="clear" w:color="auto" w:fill="FFFFFF"/>
        </w:rPr>
        <w:br/>
        <w:t xml:space="preserve">December </w:t>
      </w:r>
      <w:r>
        <w:rPr>
          <w:b/>
          <w:bCs/>
          <w:sz w:val="22"/>
          <w:u w:val="none"/>
          <w:shd w:val="clear" w:color="auto" w:fill="FFFFFF"/>
          <w:lang w:val="en-PH"/>
        </w:rPr>
        <w:t xml:space="preserve">31, </w:t>
      </w:r>
      <w:r>
        <w:rPr>
          <w:b/>
          <w:bCs/>
          <w:sz w:val="22"/>
          <w:u w:val="none"/>
          <w:shd w:val="clear" w:color="auto" w:fill="FFFFFF"/>
        </w:rPr>
        <w:t>2023,</w:t>
      </w:r>
      <w:r>
        <w:rPr>
          <w:b/>
          <w:bCs/>
          <w:sz w:val="22"/>
          <w:u w:val="none"/>
          <w:shd w:val="clear" w:color="auto" w:fill="FFFFFF"/>
          <w:lang w:val="en-PH"/>
        </w:rPr>
        <w:t xml:space="preserve"> is in T</w:t>
      </w:r>
      <w:r>
        <w:rPr>
          <w:b/>
          <w:bCs/>
          <w:sz w:val="22"/>
          <w:u w:val="none"/>
          <w:shd w:val="clear" w:color="auto" w:fill="FFFFFF"/>
        </w:rPr>
        <w:t>able</w:t>
      </w:r>
      <w:r>
        <w:rPr>
          <w:b/>
          <w:bCs/>
          <w:sz w:val="22"/>
          <w:u w:val="none"/>
          <w:shd w:val="clear" w:color="auto" w:fill="FFFFFF"/>
          <w:lang w:val="en-PH"/>
        </w:rPr>
        <w:t xml:space="preserve"> 15</w:t>
      </w:r>
      <w:r>
        <w:rPr>
          <w:b/>
          <w:bCs/>
          <w:sz w:val="22"/>
          <w:u w:val="none"/>
          <w:shd w:val="clear" w:color="auto" w:fill="FFFFFF"/>
        </w:rPr>
        <w:t>.</w:t>
      </w:r>
    </w:p>
    <w:p>
      <w:pPr>
        <w:pStyle w:val="NoSpacing"/>
        <w:tabs>
          <w:tab w:val="left" w:pos="0"/>
        </w:tabs>
        <w:jc w:val="both"/>
        <w:rPr>
          <w:color w:val="FF0000"/>
          <w:sz w:val="22"/>
          <w:u w:val="none"/>
          <w:shd w:val="clear" w:color="auto" w:fill="FFFFFF"/>
        </w:rPr>
      </w:pPr>
      <w:r>
        <w:rPr>
          <w:color w:val="FF0000"/>
          <w:sz w:val="22"/>
          <w:u w:val="none"/>
          <w:shd w:val="clear" w:color="auto" w:fill="FFFFFF"/>
        </w:rPr>
        <w:tab/>
      </w:r>
    </w:p>
    <w:p>
      <w:pPr>
        <w:pStyle w:val="NoSpacing"/>
        <w:tabs>
          <w:tab w:val="left" w:pos="0"/>
        </w:tabs>
        <w:ind w:firstLine="360"/>
        <w:jc w:val="center"/>
        <w:rPr>
          <w:rFonts w:eastAsia="SimSun"/>
          <w:bCs/>
          <w:color w:val="000000" w:themeColor="text1"/>
          <w:sz w:val="22"/>
          <w:u w:val="none"/>
          <w:shd w:val="clear" w:color="auto" w:fill="FFFFFF"/>
          <w:lang w:val="en-PH" w:eastAsia="en-PH"/>
        </w:rPr>
      </w:pPr>
      <w:r>
        <w:rPr>
          <w:rFonts w:eastAsia="SimSun"/>
          <w:bCs/>
          <w:color w:val="000000" w:themeColor="text1"/>
          <w:sz w:val="22"/>
          <w:u w:val="none"/>
          <w:shd w:val="clear" w:color="auto" w:fill="FFFFFF"/>
          <w:lang w:val="en-PH" w:eastAsia="en-PH"/>
        </w:rPr>
        <w:t>Table 15. Audit Suspensions, Disallowances and Charges as of December 31, 2023</w:t>
      </w:r>
    </w:p>
    <w:tbl>
      <w:tblPr>
        <w:tblStyle w:val="TableGrid"/>
        <w:tblW w:w="8712"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4"/>
        <w:gridCol w:w="1842"/>
        <w:gridCol w:w="993"/>
        <w:gridCol w:w="850"/>
        <w:gridCol w:w="851"/>
        <w:gridCol w:w="1842"/>
      </w:tblGrid>
      <w:tr>
        <w:trPr>
          <w:tblHeader/>
        </w:trPr>
        <w:tc>
          <w:tcPr>
            <w:tcW w:w="2334" w:type="dxa"/>
            <w:vMerge w:val="restart"/>
            <w:tcBorders>
              <w:top w:val="single" w:sz="4" w:space="0" w:color="auto"/>
            </w:tcBorders>
            <w:vAlign w:val="center"/>
          </w:tcPr>
          <w:p>
            <w:pPr>
              <w:pStyle w:val="NoSpacing"/>
              <w:tabs>
                <w:tab w:val="left" w:pos="0"/>
              </w:tabs>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Particulars</w:t>
            </w:r>
          </w:p>
        </w:tc>
        <w:tc>
          <w:tcPr>
            <w:tcW w:w="1842" w:type="dxa"/>
            <w:vMerge w:val="restart"/>
            <w:tcBorders>
              <w:top w:val="single" w:sz="4" w:space="0" w:color="auto"/>
            </w:tcBorders>
            <w:vAlign w:val="center"/>
          </w:tcPr>
          <w:p>
            <w:pPr>
              <w:pStyle w:val="NoSpacing"/>
              <w:tabs>
                <w:tab w:val="left" w:pos="0"/>
              </w:tabs>
              <w:jc w:val="center"/>
              <w:rPr>
                <w:b/>
                <w:bCs/>
                <w:color w:val="000000" w:themeColor="text1"/>
                <w:sz w:val="20"/>
                <w:szCs w:val="20"/>
                <w:u w:val="none"/>
                <w:shd w:val="clear" w:color="auto" w:fill="FFFFFF"/>
                <w:lang w:val="en-PH" w:eastAsia="en-PH"/>
              </w:rPr>
            </w:pPr>
            <w:r>
              <w:rPr>
                <w:b/>
                <w:bCs/>
                <w:color w:val="000000" w:themeColor="text1"/>
                <w:sz w:val="20"/>
                <w:szCs w:val="20"/>
                <w:u w:val="none"/>
                <w:shd w:val="clear" w:color="auto" w:fill="FFFFFF"/>
                <w:lang w:val="en-PH" w:eastAsia="en-PH"/>
              </w:rPr>
              <w:t>Beginning</w:t>
            </w:r>
          </w:p>
          <w:p>
            <w:pPr>
              <w:pStyle w:val="NoSpacing"/>
              <w:tabs>
                <w:tab w:val="left" w:pos="0"/>
              </w:tabs>
              <w:jc w:val="center"/>
              <w:rPr>
                <w:b/>
                <w:bCs/>
                <w:color w:val="000000" w:themeColor="text1"/>
                <w:sz w:val="20"/>
                <w:szCs w:val="20"/>
                <w:u w:val="none"/>
                <w:shd w:val="clear" w:color="auto" w:fill="FFFFFF"/>
                <w:lang w:val="en-PH" w:eastAsia="en-PH"/>
              </w:rPr>
            </w:pPr>
            <w:r>
              <w:rPr>
                <w:b/>
                <w:bCs/>
                <w:color w:val="000000" w:themeColor="text1"/>
                <w:sz w:val="20"/>
                <w:szCs w:val="20"/>
                <w:u w:val="none"/>
                <w:shd w:val="clear" w:color="auto" w:fill="FFFFFF"/>
                <w:lang w:val="en-PH" w:eastAsia="en-PH"/>
              </w:rPr>
              <w:t>Balance</w:t>
            </w:r>
          </w:p>
          <w:p>
            <w:pPr>
              <w:pStyle w:val="NoSpacing"/>
              <w:tabs>
                <w:tab w:val="left" w:pos="0"/>
              </w:tabs>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Jan. 1, 2023</w:t>
            </w:r>
          </w:p>
        </w:tc>
        <w:tc>
          <w:tcPr>
            <w:tcW w:w="2694" w:type="dxa"/>
            <w:gridSpan w:val="3"/>
            <w:tcBorders>
              <w:top w:val="single" w:sz="4" w:space="0" w:color="auto"/>
            </w:tcBorders>
            <w:vAlign w:val="center"/>
          </w:tcPr>
          <w:p>
            <w:pPr>
              <w:pStyle w:val="NoSpacing"/>
              <w:tabs>
                <w:tab w:val="left" w:pos="0"/>
              </w:tabs>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 xml:space="preserve">January 1 to </w:t>
            </w:r>
            <w:r>
              <w:rPr>
                <w:b/>
                <w:bCs/>
                <w:color w:val="000000" w:themeColor="text1"/>
                <w:sz w:val="20"/>
                <w:szCs w:val="20"/>
                <w:u w:val="none"/>
                <w:shd w:val="clear" w:color="auto" w:fill="FFFFFF"/>
                <w:lang w:val="en-PH" w:eastAsia="en-PH"/>
              </w:rPr>
              <w:br/>
              <w:t>December 31</w:t>
            </w:r>
            <w:r>
              <w:rPr>
                <w:b/>
                <w:bCs/>
                <w:color w:val="000000" w:themeColor="text1"/>
                <w:sz w:val="20"/>
                <w:szCs w:val="20"/>
                <w:u w:val="none"/>
                <w:shd w:val="clear" w:color="auto" w:fill="FFFFFF"/>
                <w:lang w:eastAsia="en-PH"/>
              </w:rPr>
              <w:t>, 2023</w:t>
            </w:r>
          </w:p>
        </w:tc>
        <w:tc>
          <w:tcPr>
            <w:tcW w:w="1842" w:type="dxa"/>
            <w:vMerge w:val="restart"/>
            <w:tcBorders>
              <w:top w:val="single" w:sz="4" w:space="0" w:color="auto"/>
            </w:tcBorders>
            <w:vAlign w:val="center"/>
          </w:tcPr>
          <w:p>
            <w:pPr>
              <w:pStyle w:val="NoSpacing"/>
              <w:tabs>
                <w:tab w:val="left" w:pos="0"/>
              </w:tabs>
              <w:jc w:val="center"/>
              <w:rPr>
                <w:b/>
                <w:bCs/>
                <w:color w:val="000000" w:themeColor="text1"/>
                <w:sz w:val="20"/>
                <w:szCs w:val="20"/>
                <w:u w:val="none"/>
                <w:shd w:val="clear" w:color="auto" w:fill="FFFFFF"/>
                <w:lang w:val="en-PH" w:eastAsia="en-PH"/>
              </w:rPr>
            </w:pPr>
            <w:r>
              <w:rPr>
                <w:b/>
                <w:bCs/>
                <w:color w:val="000000" w:themeColor="text1"/>
                <w:sz w:val="20"/>
                <w:szCs w:val="20"/>
                <w:u w:val="none"/>
                <w:shd w:val="clear" w:color="auto" w:fill="FFFFFF"/>
                <w:lang w:val="en-PH" w:eastAsia="en-PH"/>
              </w:rPr>
              <w:t>Ending</w:t>
            </w:r>
          </w:p>
          <w:p>
            <w:pPr>
              <w:pStyle w:val="NoSpacing"/>
              <w:tabs>
                <w:tab w:val="left" w:pos="0"/>
              </w:tabs>
              <w:jc w:val="center"/>
              <w:rPr>
                <w:b/>
                <w:bCs/>
                <w:color w:val="000000" w:themeColor="text1"/>
                <w:sz w:val="20"/>
                <w:szCs w:val="20"/>
                <w:u w:val="none"/>
                <w:shd w:val="clear" w:color="auto" w:fill="FFFFFF"/>
                <w:lang w:val="en-PH" w:eastAsia="en-PH"/>
              </w:rPr>
            </w:pPr>
            <w:r>
              <w:rPr>
                <w:b/>
                <w:bCs/>
                <w:color w:val="000000" w:themeColor="text1"/>
                <w:sz w:val="20"/>
                <w:szCs w:val="20"/>
                <w:u w:val="none"/>
                <w:shd w:val="clear" w:color="auto" w:fill="FFFFFF"/>
                <w:lang w:val="en-PH" w:eastAsia="en-PH"/>
              </w:rPr>
              <w:t>Balance</w:t>
            </w:r>
          </w:p>
          <w:p>
            <w:pPr>
              <w:pStyle w:val="NoSpacing"/>
              <w:tabs>
                <w:tab w:val="left" w:pos="0"/>
              </w:tabs>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Dec. 31, 2023</w:t>
            </w:r>
          </w:p>
        </w:tc>
      </w:tr>
      <w:tr>
        <w:tc>
          <w:tcPr>
            <w:tcW w:w="2334" w:type="dxa"/>
            <w:vMerge/>
            <w:tcBorders>
              <w:bottom w:val="single" w:sz="4" w:space="0" w:color="auto"/>
            </w:tcBorders>
          </w:tcPr>
          <w:p>
            <w:pPr>
              <w:pStyle w:val="NoSpacing"/>
              <w:tabs>
                <w:tab w:val="left" w:pos="0"/>
              </w:tabs>
              <w:jc w:val="both"/>
              <w:rPr>
                <w:color w:val="FF0000"/>
                <w:sz w:val="20"/>
                <w:szCs w:val="20"/>
                <w:u w:val="none"/>
                <w:shd w:val="clear" w:color="auto" w:fill="FFFFFF"/>
              </w:rPr>
            </w:pPr>
          </w:p>
        </w:tc>
        <w:tc>
          <w:tcPr>
            <w:tcW w:w="1842" w:type="dxa"/>
            <w:vMerge/>
            <w:tcBorders>
              <w:bottom w:val="single" w:sz="4" w:space="0" w:color="auto"/>
            </w:tcBorders>
          </w:tcPr>
          <w:p>
            <w:pPr>
              <w:pStyle w:val="NoSpacing"/>
              <w:tabs>
                <w:tab w:val="left" w:pos="0"/>
              </w:tabs>
              <w:jc w:val="both"/>
              <w:rPr>
                <w:color w:val="FF0000"/>
                <w:sz w:val="20"/>
                <w:szCs w:val="20"/>
                <w:u w:val="none"/>
                <w:shd w:val="clear" w:color="auto" w:fill="FFFFFF"/>
              </w:rPr>
            </w:pPr>
          </w:p>
        </w:tc>
        <w:tc>
          <w:tcPr>
            <w:tcW w:w="993" w:type="dxa"/>
            <w:tcBorders>
              <w:bottom w:val="single" w:sz="4" w:space="0" w:color="auto"/>
            </w:tcBorders>
            <w:vAlign w:val="center"/>
          </w:tcPr>
          <w:p>
            <w:pPr>
              <w:pStyle w:val="NoSpacing"/>
              <w:tabs>
                <w:tab w:val="left" w:pos="0"/>
              </w:tabs>
              <w:jc w:val="center"/>
              <w:rPr>
                <w:b/>
                <w:bCs/>
                <w:color w:val="000000" w:themeColor="text1"/>
                <w:sz w:val="20"/>
                <w:szCs w:val="20"/>
                <w:u w:val="none"/>
                <w:shd w:val="clear" w:color="auto" w:fill="FFFFFF"/>
                <w:lang w:val="en-PH" w:eastAsia="en-PH"/>
              </w:rPr>
            </w:pPr>
            <w:r>
              <w:rPr>
                <w:b/>
                <w:bCs/>
                <w:color w:val="000000" w:themeColor="text1"/>
                <w:sz w:val="20"/>
                <w:szCs w:val="20"/>
                <w:u w:val="none"/>
                <w:shd w:val="clear" w:color="auto" w:fill="FFFFFF"/>
                <w:lang w:val="en-PH" w:eastAsia="en-PH"/>
              </w:rPr>
              <w:t>NS/ND/</w:t>
            </w:r>
          </w:p>
          <w:p>
            <w:pPr>
              <w:pStyle w:val="NoSpacing"/>
              <w:tabs>
                <w:tab w:val="left" w:pos="0"/>
              </w:tabs>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NC</w:t>
            </w:r>
          </w:p>
        </w:tc>
        <w:tc>
          <w:tcPr>
            <w:tcW w:w="850" w:type="dxa"/>
            <w:tcBorders>
              <w:bottom w:val="single" w:sz="4" w:space="0" w:color="auto"/>
            </w:tcBorders>
            <w:vAlign w:val="center"/>
          </w:tcPr>
          <w:p>
            <w:pPr>
              <w:pStyle w:val="NoSpacing"/>
              <w:tabs>
                <w:tab w:val="left" w:pos="0"/>
              </w:tabs>
              <w:ind w:right="-106" w:hanging="105"/>
              <w:jc w:val="center"/>
              <w:rPr>
                <w:color w:val="FF0000"/>
                <w:sz w:val="20"/>
                <w:szCs w:val="20"/>
                <w:u w:val="none"/>
                <w:shd w:val="clear" w:color="auto" w:fill="FFFFFF"/>
              </w:rPr>
            </w:pPr>
            <w:r>
              <w:rPr>
                <w:b/>
                <w:bCs/>
                <w:color w:val="000000" w:themeColor="text1"/>
                <w:sz w:val="20"/>
                <w:szCs w:val="20"/>
                <w:u w:val="none"/>
                <w:shd w:val="clear" w:color="auto" w:fill="FFFFFF"/>
                <w:lang w:val="en-PH" w:eastAsia="en-PH"/>
              </w:rPr>
              <w:t>NSSDC</w:t>
            </w:r>
          </w:p>
        </w:tc>
        <w:tc>
          <w:tcPr>
            <w:tcW w:w="851" w:type="dxa"/>
            <w:tcBorders>
              <w:bottom w:val="single" w:sz="4" w:space="0" w:color="auto"/>
            </w:tcBorders>
            <w:vAlign w:val="center"/>
          </w:tcPr>
          <w:p>
            <w:pPr>
              <w:pStyle w:val="NoSpacing"/>
              <w:tabs>
                <w:tab w:val="left" w:pos="0"/>
              </w:tabs>
              <w:jc w:val="center"/>
              <w:rPr>
                <w:color w:val="FF0000"/>
                <w:sz w:val="20"/>
                <w:szCs w:val="20"/>
                <w:u w:val="none"/>
                <w:shd w:val="clear" w:color="auto" w:fill="FFFFFF"/>
              </w:rPr>
            </w:pPr>
            <w:r>
              <w:rPr>
                <w:b/>
                <w:color w:val="000000" w:themeColor="text1"/>
                <w:sz w:val="20"/>
                <w:szCs w:val="20"/>
                <w:u w:val="none"/>
                <w:shd w:val="clear" w:color="auto" w:fill="FFFFFF"/>
                <w:lang w:val="en-PH" w:eastAsia="en-PH"/>
              </w:rPr>
              <w:t>Adjustment</w:t>
            </w:r>
          </w:p>
        </w:tc>
        <w:tc>
          <w:tcPr>
            <w:tcW w:w="1842" w:type="dxa"/>
            <w:vMerge/>
            <w:tcBorders>
              <w:bottom w:val="single" w:sz="4" w:space="0" w:color="auto"/>
            </w:tcBorders>
          </w:tcPr>
          <w:p>
            <w:pPr>
              <w:pStyle w:val="NoSpacing"/>
              <w:tabs>
                <w:tab w:val="left" w:pos="0"/>
              </w:tabs>
              <w:jc w:val="both"/>
              <w:rPr>
                <w:color w:val="FF0000"/>
                <w:sz w:val="20"/>
                <w:szCs w:val="20"/>
                <w:u w:val="none"/>
                <w:shd w:val="clear" w:color="auto" w:fill="FFFFFF"/>
              </w:rPr>
            </w:pPr>
          </w:p>
        </w:tc>
      </w:tr>
      <w:tr>
        <w:tc>
          <w:tcPr>
            <w:tcW w:w="2334" w:type="dxa"/>
            <w:tcBorders>
              <w:top w:val="single" w:sz="4" w:space="0" w:color="auto"/>
            </w:tcBorders>
            <w:vAlign w:val="center"/>
          </w:tcPr>
          <w:p>
            <w:pPr>
              <w:pStyle w:val="NoSpacing"/>
              <w:tabs>
                <w:tab w:val="left" w:pos="0"/>
              </w:tabs>
              <w:ind w:right="72"/>
              <w:rPr>
                <w:color w:val="FF0000"/>
                <w:sz w:val="20"/>
                <w:szCs w:val="20"/>
                <w:u w:val="none"/>
                <w:shd w:val="clear" w:color="auto" w:fill="FFFFFF"/>
              </w:rPr>
            </w:pPr>
            <w:r>
              <w:rPr>
                <w:color w:val="000000" w:themeColor="text1"/>
                <w:sz w:val="20"/>
                <w:szCs w:val="20"/>
                <w:u w:val="none"/>
                <w:shd w:val="clear" w:color="auto" w:fill="FFFFFF"/>
                <w:lang w:val="en-PH" w:eastAsia="en-PH"/>
              </w:rPr>
              <w:t xml:space="preserve">Notice of Suspension </w:t>
            </w:r>
          </w:p>
        </w:tc>
        <w:tc>
          <w:tcPr>
            <w:tcW w:w="1842" w:type="dxa"/>
            <w:tcBorders>
              <w:top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P  42,538,364.47</w:t>
            </w:r>
          </w:p>
        </w:tc>
        <w:tc>
          <w:tcPr>
            <w:tcW w:w="993" w:type="dxa"/>
            <w:tcBorders>
              <w:top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0" w:type="dxa"/>
            <w:tcBorders>
              <w:top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1" w:type="dxa"/>
            <w:tcBorders>
              <w:top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1842" w:type="dxa"/>
            <w:tcBorders>
              <w:top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P  42,538,364.47</w:t>
            </w:r>
          </w:p>
        </w:tc>
      </w:tr>
      <w:tr>
        <w:tc>
          <w:tcPr>
            <w:tcW w:w="2334" w:type="dxa"/>
          </w:tcPr>
          <w:p>
            <w:pPr>
              <w:pStyle w:val="NoSpacing"/>
              <w:tabs>
                <w:tab w:val="left" w:pos="0"/>
              </w:tabs>
              <w:rPr>
                <w:color w:val="FF0000"/>
                <w:sz w:val="20"/>
                <w:szCs w:val="20"/>
                <w:u w:val="none"/>
                <w:shd w:val="clear" w:color="auto" w:fill="FFFFFF"/>
              </w:rPr>
            </w:pPr>
            <w:r>
              <w:rPr>
                <w:color w:val="000000" w:themeColor="text1"/>
                <w:sz w:val="20"/>
                <w:szCs w:val="20"/>
                <w:u w:val="none"/>
                <w:shd w:val="clear" w:color="auto" w:fill="FFFFFF"/>
                <w:lang w:val="en-PH" w:eastAsia="en-PH"/>
              </w:rPr>
              <w:t xml:space="preserve">Notice of Disallowance </w:t>
            </w:r>
          </w:p>
        </w:tc>
        <w:tc>
          <w:tcPr>
            <w:tcW w:w="1842" w:type="dxa"/>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 xml:space="preserve">  67,199,797.90</w:t>
            </w:r>
          </w:p>
        </w:tc>
        <w:tc>
          <w:tcPr>
            <w:tcW w:w="993" w:type="dxa"/>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0" w:type="dxa"/>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1" w:type="dxa"/>
            <w:vAlign w:val="center"/>
          </w:tcPr>
          <w:p>
            <w:pPr>
              <w:pStyle w:val="NoSpacing"/>
              <w:tabs>
                <w:tab w:val="left" w:pos="0"/>
              </w:tabs>
              <w:jc w:val="right"/>
              <w:rPr>
                <w:sz w:val="20"/>
                <w:szCs w:val="20"/>
                <w:u w:val="none"/>
                <w:shd w:val="clear" w:color="auto" w:fill="FFFFFF"/>
              </w:rPr>
            </w:pPr>
            <w:r>
              <w:rPr>
                <w:color w:val="000000" w:themeColor="text1"/>
                <w:sz w:val="20"/>
                <w:szCs w:val="20"/>
                <w:u w:val="none"/>
                <w:shd w:val="clear" w:color="auto" w:fill="FFFFFF"/>
                <w:lang w:val="en-PH" w:eastAsia="en-PH"/>
              </w:rPr>
              <w:t>-</w:t>
            </w:r>
          </w:p>
        </w:tc>
        <w:tc>
          <w:tcPr>
            <w:tcW w:w="1842" w:type="dxa"/>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 xml:space="preserve">  67,199,797.90</w:t>
            </w:r>
          </w:p>
        </w:tc>
      </w:tr>
      <w:tr>
        <w:tc>
          <w:tcPr>
            <w:tcW w:w="2334" w:type="dxa"/>
            <w:tcBorders>
              <w:bottom w:val="single" w:sz="4" w:space="0" w:color="auto"/>
            </w:tcBorders>
          </w:tcPr>
          <w:p>
            <w:pPr>
              <w:pStyle w:val="NoSpacing"/>
              <w:tabs>
                <w:tab w:val="left" w:pos="0"/>
              </w:tabs>
              <w:rPr>
                <w:color w:val="FF0000"/>
                <w:sz w:val="20"/>
                <w:szCs w:val="20"/>
                <w:u w:val="none"/>
                <w:shd w:val="clear" w:color="auto" w:fill="FFFFFF"/>
              </w:rPr>
            </w:pPr>
            <w:r>
              <w:rPr>
                <w:color w:val="000000" w:themeColor="text1"/>
                <w:sz w:val="20"/>
                <w:szCs w:val="20"/>
                <w:u w:val="none"/>
                <w:shd w:val="clear" w:color="auto" w:fill="FFFFFF"/>
                <w:lang w:val="en-PH" w:eastAsia="en-PH"/>
              </w:rPr>
              <w:t xml:space="preserve">Notice of Charge </w:t>
            </w:r>
          </w:p>
        </w:tc>
        <w:tc>
          <w:tcPr>
            <w:tcW w:w="1842" w:type="dxa"/>
            <w:tcBorders>
              <w:bottom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 xml:space="preserve">  33,046,763.65</w:t>
            </w:r>
          </w:p>
        </w:tc>
        <w:tc>
          <w:tcPr>
            <w:tcW w:w="993" w:type="dxa"/>
            <w:tcBorders>
              <w:bottom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0" w:type="dxa"/>
            <w:tcBorders>
              <w:bottom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851" w:type="dxa"/>
            <w:tcBorders>
              <w:bottom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w:t>
            </w:r>
          </w:p>
        </w:tc>
        <w:tc>
          <w:tcPr>
            <w:tcW w:w="1842" w:type="dxa"/>
            <w:tcBorders>
              <w:bottom w:val="single" w:sz="4" w:space="0" w:color="auto"/>
            </w:tcBorders>
            <w:vAlign w:val="center"/>
          </w:tcPr>
          <w:p>
            <w:pPr>
              <w:pStyle w:val="NoSpacing"/>
              <w:tabs>
                <w:tab w:val="left" w:pos="0"/>
              </w:tabs>
              <w:jc w:val="right"/>
              <w:rPr>
                <w:color w:val="FF0000"/>
                <w:sz w:val="20"/>
                <w:szCs w:val="20"/>
                <w:u w:val="none"/>
                <w:shd w:val="clear" w:color="auto" w:fill="FFFFFF"/>
              </w:rPr>
            </w:pPr>
            <w:r>
              <w:rPr>
                <w:color w:val="000000" w:themeColor="text1"/>
                <w:sz w:val="20"/>
                <w:szCs w:val="20"/>
                <w:u w:val="none"/>
                <w:shd w:val="clear" w:color="auto" w:fill="FFFFFF"/>
                <w:lang w:val="en-PH" w:eastAsia="en-PH"/>
              </w:rPr>
              <w:t xml:space="preserve">  33,046,763.65</w:t>
            </w:r>
          </w:p>
        </w:tc>
      </w:tr>
      <w:tr>
        <w:tc>
          <w:tcPr>
            <w:tcW w:w="2334" w:type="dxa"/>
            <w:tcBorders>
              <w:top w:val="single" w:sz="4" w:space="0" w:color="auto"/>
              <w:bottom w:val="single" w:sz="4" w:space="0" w:color="auto"/>
            </w:tcBorders>
          </w:tcPr>
          <w:p>
            <w:pPr>
              <w:pStyle w:val="NoSpacing"/>
              <w:tabs>
                <w:tab w:val="left" w:pos="0"/>
              </w:tabs>
              <w:jc w:val="center"/>
              <w:rPr>
                <w:color w:val="FF0000"/>
                <w:sz w:val="20"/>
                <w:szCs w:val="20"/>
                <w:u w:val="none"/>
                <w:shd w:val="clear" w:color="auto" w:fill="FFFFFF"/>
              </w:rPr>
            </w:pPr>
            <w:r>
              <w:rPr>
                <w:b/>
                <w:color w:val="000000" w:themeColor="text1"/>
                <w:sz w:val="20"/>
                <w:szCs w:val="20"/>
                <w:u w:val="none"/>
                <w:shd w:val="clear" w:color="auto" w:fill="FFFFFF"/>
                <w:lang w:val="en-PH" w:eastAsia="en-PH"/>
              </w:rPr>
              <w:t>Total</w:t>
            </w:r>
          </w:p>
        </w:tc>
        <w:tc>
          <w:tcPr>
            <w:tcW w:w="1842" w:type="dxa"/>
            <w:tcBorders>
              <w:top w:val="single" w:sz="4" w:space="0" w:color="auto"/>
              <w:bottom w:val="single" w:sz="4" w:space="0" w:color="auto"/>
            </w:tcBorders>
            <w:vAlign w:val="center"/>
          </w:tcPr>
          <w:p>
            <w:pPr>
              <w:pStyle w:val="NoSpacing"/>
              <w:tabs>
                <w:tab w:val="left" w:pos="0"/>
              </w:tabs>
              <w:jc w:val="right"/>
              <w:rPr>
                <w:color w:val="FF0000"/>
                <w:sz w:val="20"/>
                <w:szCs w:val="20"/>
                <w:u w:val="none"/>
                <w:shd w:val="clear" w:color="auto" w:fill="FFFFFF"/>
              </w:rPr>
            </w:pPr>
            <w:r>
              <w:rPr>
                <w:b/>
                <w:color w:val="000000" w:themeColor="text1"/>
                <w:sz w:val="20"/>
                <w:szCs w:val="20"/>
                <w:u w:val="none"/>
                <w:shd w:val="clear" w:color="auto" w:fill="FFFFFF"/>
                <w:lang w:val="en-PH" w:eastAsia="en-PH"/>
              </w:rPr>
              <w:t>P142,784,926.02</w:t>
            </w:r>
          </w:p>
        </w:tc>
        <w:tc>
          <w:tcPr>
            <w:tcW w:w="993" w:type="dxa"/>
            <w:tcBorders>
              <w:top w:val="single" w:sz="4" w:space="0" w:color="auto"/>
              <w:bottom w:val="single" w:sz="4" w:space="0" w:color="auto"/>
            </w:tcBorders>
            <w:vAlign w:val="center"/>
          </w:tcPr>
          <w:p>
            <w:pPr>
              <w:pStyle w:val="NoSpacing"/>
              <w:tabs>
                <w:tab w:val="left" w:pos="0"/>
              </w:tabs>
              <w:jc w:val="right"/>
              <w:rPr>
                <w:color w:val="FF0000"/>
                <w:sz w:val="20"/>
                <w:szCs w:val="20"/>
                <w:u w:val="none"/>
                <w:shd w:val="clear" w:color="auto" w:fill="FFFFFF"/>
              </w:rPr>
            </w:pPr>
            <w:r>
              <w:rPr>
                <w:b/>
                <w:color w:val="000000" w:themeColor="text1"/>
                <w:sz w:val="20"/>
                <w:szCs w:val="20"/>
                <w:u w:val="none"/>
                <w:shd w:val="clear" w:color="auto" w:fill="FFFFFF"/>
                <w:lang w:val="en-PH" w:eastAsia="en-PH"/>
              </w:rPr>
              <w:t>-</w:t>
            </w:r>
          </w:p>
        </w:tc>
        <w:tc>
          <w:tcPr>
            <w:tcW w:w="850" w:type="dxa"/>
            <w:tcBorders>
              <w:top w:val="single" w:sz="4" w:space="0" w:color="auto"/>
              <w:bottom w:val="single" w:sz="4" w:space="0" w:color="auto"/>
            </w:tcBorders>
            <w:vAlign w:val="center"/>
          </w:tcPr>
          <w:p>
            <w:pPr>
              <w:pStyle w:val="NoSpacing"/>
              <w:tabs>
                <w:tab w:val="left" w:pos="0"/>
              </w:tabs>
              <w:jc w:val="right"/>
              <w:rPr>
                <w:color w:val="FF0000"/>
                <w:sz w:val="20"/>
                <w:szCs w:val="20"/>
                <w:u w:val="none"/>
                <w:shd w:val="clear" w:color="auto" w:fill="FFFFFF"/>
              </w:rPr>
            </w:pPr>
            <w:r>
              <w:rPr>
                <w:b/>
                <w:color w:val="000000" w:themeColor="text1"/>
                <w:sz w:val="20"/>
                <w:szCs w:val="20"/>
                <w:u w:val="none"/>
                <w:shd w:val="clear" w:color="auto" w:fill="FFFFFF"/>
                <w:lang w:val="en-PH" w:eastAsia="en-PH"/>
              </w:rPr>
              <w:t>-</w:t>
            </w:r>
          </w:p>
        </w:tc>
        <w:tc>
          <w:tcPr>
            <w:tcW w:w="851" w:type="dxa"/>
            <w:tcBorders>
              <w:top w:val="single" w:sz="4" w:space="0" w:color="auto"/>
              <w:bottom w:val="single" w:sz="4" w:space="0" w:color="auto"/>
            </w:tcBorders>
            <w:vAlign w:val="center"/>
          </w:tcPr>
          <w:p>
            <w:pPr>
              <w:pStyle w:val="NoSpacing"/>
              <w:tabs>
                <w:tab w:val="left" w:pos="0"/>
              </w:tabs>
              <w:jc w:val="right"/>
              <w:rPr>
                <w:b/>
                <w:bCs/>
                <w:color w:val="FF0000"/>
                <w:sz w:val="20"/>
                <w:szCs w:val="20"/>
                <w:u w:val="none"/>
                <w:shd w:val="clear" w:color="auto" w:fill="FFFFFF"/>
              </w:rPr>
            </w:pPr>
            <w:r>
              <w:rPr>
                <w:b/>
                <w:color w:val="000000" w:themeColor="text1"/>
                <w:sz w:val="20"/>
                <w:szCs w:val="20"/>
                <w:u w:val="none"/>
                <w:shd w:val="clear" w:color="auto" w:fill="FFFFFF"/>
                <w:lang w:val="en-PH" w:eastAsia="en-PH"/>
              </w:rPr>
              <w:t>-</w:t>
            </w:r>
          </w:p>
        </w:tc>
        <w:tc>
          <w:tcPr>
            <w:tcW w:w="1842" w:type="dxa"/>
            <w:tcBorders>
              <w:top w:val="single" w:sz="4" w:space="0" w:color="auto"/>
              <w:bottom w:val="single" w:sz="4" w:space="0" w:color="auto"/>
            </w:tcBorders>
            <w:vAlign w:val="center"/>
          </w:tcPr>
          <w:p>
            <w:pPr>
              <w:pStyle w:val="NoSpacing"/>
              <w:tabs>
                <w:tab w:val="left" w:pos="0"/>
              </w:tabs>
              <w:jc w:val="right"/>
              <w:rPr>
                <w:color w:val="FF0000"/>
                <w:sz w:val="20"/>
                <w:szCs w:val="20"/>
                <w:u w:val="none"/>
                <w:shd w:val="clear" w:color="auto" w:fill="FFFFFF"/>
              </w:rPr>
            </w:pPr>
            <w:r>
              <w:rPr>
                <w:b/>
                <w:color w:val="000000" w:themeColor="text1"/>
                <w:sz w:val="20"/>
                <w:szCs w:val="20"/>
                <w:u w:val="none"/>
                <w:shd w:val="clear" w:color="auto" w:fill="FFFFFF"/>
                <w:lang w:val="en-PH" w:eastAsia="en-PH"/>
              </w:rPr>
              <w:t>P142,784,926.02</w:t>
            </w:r>
          </w:p>
        </w:tc>
      </w:tr>
    </w:tbl>
    <w:p>
      <w:pPr>
        <w:tabs>
          <w:tab w:val="left" w:pos="425"/>
          <w:tab w:val="left" w:pos="1200"/>
          <w:tab w:val="left" w:pos="1377"/>
        </w:tabs>
        <w:jc w:val="both"/>
        <w:rPr>
          <w:rFonts w:ascii="Arial" w:hAnsi="Arial" w:cs="Arial"/>
          <w:b/>
          <w:sz w:val="22"/>
          <w:szCs w:val="22"/>
        </w:rPr>
      </w:pPr>
    </w:p>
    <w:sectPr>
      <w:footerReference w:type="default" r:id="rId8"/>
      <w:pgSz w:w="12240" w:h="15840"/>
      <w:pgMar w:top="1440" w:right="1440" w:bottom="1440" w:left="1800" w:header="720" w:footer="720" w:gutter="0"/>
      <w:pgNumType w:start="7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1953856184"/>
    </w:sdtPr>
    <w:sdtContent>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rPr>
          <w:t>88</w:t>
        </w:r>
        <w:r>
          <w:rPr>
            <w:rFonts w:ascii="Arial" w:hAnsi="Arial" w:cs="Arial"/>
            <w:sz w:val="20"/>
            <w:szCs w:val="20"/>
          </w:rPr>
          <w:fldChar w:fldCharType="end"/>
        </w:r>
      </w:p>
    </w:sdtContent>
  </w:sdt>
  <w:p>
    <w:pPr>
      <w:pStyle w:val="Footer"/>
      <w:rPr>
        <w:rFonts w:ascii="Arial" w:hAnsi="Arial" w:cs="Arial"/>
        <w:sz w:val="20"/>
        <w:szCs w:val="20"/>
      </w:rPr>
    </w:pP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 w:id="1">
    <w:p>
      <w:pPr>
        <w:spacing w:after="160"/>
        <w:jc w:val="both"/>
        <w:rPr>
          <w:rFonts w:ascii="Arial" w:hAnsi="Arial" w:cs="Arial"/>
          <w:color w:val="000000" w:themeColor="text1"/>
          <w:sz w:val="18"/>
          <w:szCs w:val="18"/>
        </w:rPr>
      </w:pPr>
      <w:r>
        <w:rPr>
          <w:rStyle w:val="FootnoteReference"/>
          <w:rFonts w:ascii="Arial" w:hAnsi="Arial" w:cs="Arial"/>
          <w:sz w:val="18"/>
          <w:szCs w:val="18"/>
        </w:rPr>
        <w:footnoteRef/>
      </w:r>
      <w:r>
        <w:rPr>
          <w:rFonts w:ascii="Arial" w:hAnsi="Arial" w:cs="Arial"/>
          <w:sz w:val="18"/>
          <w:szCs w:val="18"/>
        </w:rPr>
        <w:t xml:space="preserve"> </w:t>
      </w:r>
      <w:r>
        <w:rPr>
          <w:rFonts w:ascii="Arial" w:hAnsi="Arial" w:cs="Arial"/>
          <w:color w:val="000000" w:themeColor="text1"/>
          <w:sz w:val="18"/>
          <w:szCs w:val="18"/>
        </w:rPr>
        <w:t>Paragraph 7, IPSAS 1, defines liabilities as present obligations of the entity arising from past events, the settlement of which is expected to result in an outflow from the entity of resources embodying economic benefits or service potential.</w:t>
      </w:r>
    </w:p>
  </w:footnote>
  <w:footnote w:id="2">
    <w:p>
      <w:pPr>
        <w:pStyle w:val="FootnoteText"/>
        <w:jc w:val="both"/>
        <w:rPr>
          <w:rFonts w:ascii="Arial" w:hAnsi="Arial" w:cs="Arial"/>
          <w:lang w:val="en-PH"/>
        </w:rPr>
      </w:pPr>
      <w:r>
        <w:rPr>
          <w:rStyle w:val="FootnoteReference"/>
          <w:rFonts w:ascii="Arial" w:hAnsi="Arial" w:cs="Arial"/>
        </w:rPr>
        <w:footnoteRef/>
      </w:r>
      <w:r>
        <w:rPr>
          <w:rFonts w:ascii="Arial" w:hAnsi="Arial" w:cs="Arial"/>
        </w:rPr>
        <w:t xml:space="preserve"> </w:t>
      </w:r>
      <w:r>
        <w:rPr>
          <w:rFonts w:ascii="Arial" w:hAnsi="Arial" w:cs="Arial"/>
          <w:color w:val="000000" w:themeColor="text1"/>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footnote>
  <w:footnote w:id="3">
    <w:p>
      <w:pPr>
        <w:pStyle w:val="FootnoteText"/>
        <w:rPr>
          <w:rFonts w:ascii="Arial" w:hAnsi="Arial" w:cs="Arial"/>
        </w:rPr>
      </w:pPr>
      <w:r>
        <w:rPr>
          <w:rStyle w:val="FootnoteReference"/>
          <w:rFonts w:ascii="Arial" w:hAnsi="Arial" w:cs="Arial"/>
        </w:rPr>
        <w:footnoteRef/>
      </w:r>
      <w:r>
        <w:rPr>
          <w:rFonts w:ascii="Arial" w:hAnsi="Arial" w:cs="Arial"/>
        </w:rPr>
        <w:t xml:space="preserve"> Also known as the “2013 Omnibus Revenue Code of the City of Manila”</w:t>
      </w:r>
    </w:p>
  </w:footnote>
  <w:footnote w:id="4">
    <w:p>
      <w:pPr>
        <w:pStyle w:val="FootnoteText"/>
        <w:rPr>
          <w:rFonts w:ascii="Arial" w:hAnsi="Arial" w:cs="Arial"/>
        </w:rPr>
      </w:pPr>
      <w:r>
        <w:rPr>
          <w:rStyle w:val="FootnoteReference"/>
          <w:rFonts w:ascii="Arial" w:hAnsi="Arial" w:cs="Arial"/>
        </w:rPr>
        <w:footnoteRef/>
      </w:r>
      <w:r>
        <w:rPr>
          <w:rFonts w:ascii="Arial" w:hAnsi="Arial" w:cs="Arial"/>
        </w:rPr>
        <w:t xml:space="preserve"> January 2006 edition</w:t>
      </w:r>
    </w:p>
  </w:footnote>
  <w:footnote w:id="5">
    <w:p>
      <w:pPr>
        <w:pStyle w:val="FootnoteText"/>
        <w:rPr>
          <w:rFonts w:ascii="Arial" w:hAnsi="Arial" w:cs="Arial"/>
        </w:rPr>
      </w:pPr>
      <w:r>
        <w:rPr>
          <w:rStyle w:val="FootnoteReference"/>
          <w:rFonts w:ascii="Arial" w:hAnsi="Arial" w:cs="Arial"/>
        </w:rPr>
        <w:footnoteRef/>
      </w:r>
      <w:r>
        <w:rPr>
          <w:rFonts w:ascii="Arial" w:hAnsi="Arial" w:cs="Arial"/>
        </w:rPr>
        <w:t xml:space="preserve"> Also known as the “2013 Omnibus Revenue Code of the City of Manila”</w:t>
      </w:r>
    </w:p>
  </w:footnote>
  <w:footnote w:id="6">
    <w:p>
      <w:pPr>
        <w:pStyle w:val="FootnoteText"/>
        <w:rPr>
          <w:rFonts w:ascii="Arial" w:hAnsi="Arial" w:cs="Arial"/>
        </w:rPr>
      </w:pPr>
      <w:r>
        <w:rPr>
          <w:rStyle w:val="FootnoteReference"/>
          <w:rFonts w:ascii="Arial" w:hAnsi="Arial" w:cs="Arial"/>
        </w:rPr>
        <w:footnoteRef/>
      </w:r>
      <w:r>
        <w:rPr>
          <w:rFonts w:ascii="Arial" w:hAnsi="Arial" w:cs="Arial"/>
        </w:rPr>
        <w:t xml:space="preserve"> January 2006 edition</w:t>
      </w:r>
    </w:p>
  </w:footnote>
  <w:footnote w:id="7">
    <w:p>
      <w:pPr>
        <w:pStyle w:val="FootnoteText"/>
        <w:rPr>
          <w:rFonts w:ascii="Arial" w:hAnsi="Arial" w:cs="Arial"/>
        </w:rPr>
      </w:pPr>
      <w:r>
        <w:rPr>
          <w:rStyle w:val="FootnoteReference"/>
          <w:rFonts w:ascii="Arial" w:hAnsi="Arial" w:cs="Arial"/>
        </w:rPr>
        <w:footnoteRef/>
      </w:r>
      <w:r>
        <w:rPr>
          <w:rFonts w:ascii="Arial" w:hAnsi="Arial" w:cs="Arial"/>
        </w:rPr>
        <w:t xml:space="preserve"> Tax Mapping Operations, Section 2, Chapter II, MRPAAO </w:t>
      </w:r>
    </w:p>
  </w:footnote>
  <w:footnote w:id="8">
    <w:p>
      <w:pPr>
        <w:pStyle w:val="FootnoteText"/>
        <w:jc w:val="both"/>
        <w:rPr>
          <w:rFonts w:ascii="Arial" w:hAnsi="Arial" w:cs="Arial"/>
        </w:rPr>
      </w:pPr>
      <w:r>
        <w:rPr>
          <w:rStyle w:val="FootnoteReference"/>
          <w:rFonts w:ascii="Arial" w:hAnsi="Arial" w:cs="Arial"/>
        </w:rPr>
        <w:footnoteRef/>
      </w:r>
      <w:r>
        <w:rPr>
          <w:rFonts w:ascii="Arial" w:hAnsi="Arial" w:cs="Arial"/>
        </w:rPr>
        <w:t xml:space="preserve"> Item C.8 of PCW-DILG-DBM-NEDA JMC No. 2013-01 dated July 18, 2013 or the Guidelines on the Localization of the Magna Carta of Women, provides the guidelines on the preparation and submission of LGU GAD Accomplishment Reports (AR).</w:t>
      </w:r>
    </w:p>
    <w:p>
      <w:pPr>
        <w:pStyle w:val="FootnoteText"/>
        <w:rPr>
          <w:rFonts w:ascii="Arial" w:hAnsi="Arial" w:cs="Arial"/>
        </w:rPr>
      </w:pPr>
    </w:p>
  </w:footnote>
  <w:footnote w:id="9">
    <w:p>
      <w:pPr>
        <w:pStyle w:val="FootnoteText"/>
        <w:rPr>
          <w:rFonts w:ascii="Arial" w:hAnsi="Arial" w:cs="Arial"/>
          <w:lang w:val="en-PH"/>
        </w:rPr>
      </w:pPr>
      <w:r>
        <w:rPr>
          <w:rStyle w:val="FootnoteReference"/>
          <w:rFonts w:ascii="Arial" w:hAnsi="Arial" w:cs="Arial"/>
        </w:rPr>
        <w:footnoteRef/>
      </w:r>
      <w:r>
        <w:rPr>
          <w:rFonts w:ascii="Arial" w:hAnsi="Arial" w:cs="Arial"/>
        </w:rPr>
        <w:t xml:space="preserve"> </w:t>
      </w:r>
      <w:r>
        <w:rPr>
          <w:rFonts w:ascii="Arial" w:hAnsi="Arial" w:cs="Arial"/>
          <w:lang w:val="en-PH"/>
        </w:rPr>
        <w:t>Balance after cut-off procedures as at 31 January 2024</w:t>
      </w:r>
    </w:p>
  </w:footnote>
  <w:footnote w:id="10">
    <w:p>
      <w:pPr>
        <w:pStyle w:val="FootnoteText"/>
        <w:rPr>
          <w:rFonts w:ascii="Arial" w:hAnsi="Arial" w:cs="Arial"/>
        </w:rPr>
      </w:pPr>
      <w:r>
        <w:rPr>
          <w:rStyle w:val="FootnoteReference"/>
          <w:rFonts w:ascii="Arial" w:hAnsi="Arial" w:cs="Arial"/>
        </w:rPr>
        <w:footnoteRef/>
      </w:r>
      <w:r>
        <w:rPr>
          <w:rFonts w:ascii="Arial" w:hAnsi="Arial" w:cs="Arial"/>
        </w:rPr>
        <w:t xml:space="preserve"> Approved on October 23, 2009</w:t>
      </w:r>
    </w:p>
  </w:footnote>
  <w:footnote w:id="11">
    <w:p>
      <w:pPr>
        <w:pStyle w:val="FootnoteText"/>
        <w:rPr>
          <w:rFonts w:ascii="Arial" w:hAnsi="Arial" w:cs="Arial"/>
        </w:rPr>
      </w:pPr>
      <w:r>
        <w:rPr>
          <w:rStyle w:val="FootnoteReference"/>
          <w:rFonts w:ascii="Arial" w:hAnsi="Arial" w:cs="Arial"/>
        </w:rPr>
        <w:footnoteRef/>
      </w:r>
      <w:r>
        <w:rPr>
          <w:rFonts w:ascii="Arial" w:hAnsi="Arial" w:cs="Arial"/>
        </w:rPr>
        <w:t xml:space="preserve"> Also reiterated under Section 4, Rule VIII of the Implementing Rules and Regulation (IRR) of RA 9729</w:t>
      </w:r>
    </w:p>
  </w:footnote>
  <w:footnote w:id="12">
    <w:p>
      <w:pPr>
        <w:pStyle w:val="FootnoteText"/>
        <w:rPr>
          <w:rFonts w:ascii="Arial" w:hAnsi="Arial" w:cs="Arial"/>
        </w:rPr>
      </w:pPr>
      <w:r>
        <w:rPr>
          <w:rStyle w:val="FootnoteReference"/>
          <w:rFonts w:ascii="Arial" w:hAnsi="Arial" w:cs="Arial"/>
        </w:rPr>
        <w:footnoteRef/>
      </w:r>
      <w:r>
        <w:rPr>
          <w:rFonts w:ascii="Arial" w:hAnsi="Arial" w:cs="Arial"/>
        </w:rPr>
        <w:t xml:space="preserve"> Guidelines on the Formulation of Local Climate Change Action Plan</w:t>
      </w:r>
    </w:p>
  </w:footnote>
  <w:footnote w:id="13">
    <w:p>
      <w:pPr>
        <w:pStyle w:val="FootnoteText"/>
        <w:jc w:val="both"/>
        <w:rPr>
          <w:rFonts w:ascii="Arial" w:hAnsi="Arial" w:cs="Arial"/>
        </w:rPr>
      </w:pPr>
      <w:r>
        <w:rPr>
          <w:rStyle w:val="FootnoteReference"/>
          <w:rFonts w:ascii="Arial" w:hAnsi="Arial" w:cs="Arial"/>
        </w:rPr>
        <w:footnoteRef/>
      </w:r>
      <w:r>
        <w:rPr>
          <w:rFonts w:ascii="Arial" w:hAnsi="Arial" w:cs="Arial"/>
        </w:rPr>
        <w:t xml:space="preserve"> Also mentioned in </w:t>
      </w:r>
      <w:r>
        <w:rPr>
          <w:rFonts w:ascii="Arial" w:hAnsi="Arial" w:cs="Arial"/>
          <w:sz w:val="22"/>
          <w:szCs w:val="22"/>
        </w:rPr>
        <w:t>M</w:t>
      </w:r>
      <w:r>
        <w:rPr>
          <w:rFonts w:ascii="Arial" w:hAnsi="Arial" w:cs="Arial"/>
        </w:rPr>
        <w:t>odule A.2, p17, LGU GUIDEBOOK on the Formulation of LCCAP, Book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75E8B"/>
    <w:multiLevelType w:val="hybridMultilevel"/>
    <w:tmpl w:val="DDB051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2580B21"/>
    <w:multiLevelType w:val="hybridMultilevel"/>
    <w:tmpl w:val="40A09ECC"/>
    <w:lvl w:ilvl="0" w:tplc="B6546C18">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9A1931"/>
    <w:multiLevelType w:val="hybridMultilevel"/>
    <w:tmpl w:val="9796043C"/>
    <w:lvl w:ilvl="0" w:tplc="A11C4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062A67"/>
    <w:multiLevelType w:val="hybridMultilevel"/>
    <w:tmpl w:val="3FA63A48"/>
    <w:lvl w:ilvl="0" w:tplc="9E84C702">
      <w:start w:val="1"/>
      <w:numFmt w:val="decimal"/>
      <w:lvlText w:val="%1."/>
      <w:lvlJc w:val="left"/>
      <w:pPr>
        <w:ind w:left="2061" w:hanging="360"/>
      </w:pPr>
      <w:rPr>
        <w:rFonts w:hint="default"/>
      </w:rPr>
    </w:lvl>
    <w:lvl w:ilvl="1" w:tplc="34090019" w:tentative="1">
      <w:start w:val="1"/>
      <w:numFmt w:val="lowerLetter"/>
      <w:lvlText w:val="%2."/>
      <w:lvlJc w:val="left"/>
      <w:pPr>
        <w:ind w:left="2781" w:hanging="360"/>
      </w:pPr>
    </w:lvl>
    <w:lvl w:ilvl="2" w:tplc="3409001B" w:tentative="1">
      <w:start w:val="1"/>
      <w:numFmt w:val="lowerRoman"/>
      <w:lvlText w:val="%3."/>
      <w:lvlJc w:val="right"/>
      <w:pPr>
        <w:ind w:left="3501" w:hanging="180"/>
      </w:pPr>
    </w:lvl>
    <w:lvl w:ilvl="3" w:tplc="3409000F" w:tentative="1">
      <w:start w:val="1"/>
      <w:numFmt w:val="decimal"/>
      <w:lvlText w:val="%4."/>
      <w:lvlJc w:val="left"/>
      <w:pPr>
        <w:ind w:left="4221" w:hanging="360"/>
      </w:pPr>
    </w:lvl>
    <w:lvl w:ilvl="4" w:tplc="34090019" w:tentative="1">
      <w:start w:val="1"/>
      <w:numFmt w:val="lowerLetter"/>
      <w:lvlText w:val="%5."/>
      <w:lvlJc w:val="left"/>
      <w:pPr>
        <w:ind w:left="4941" w:hanging="360"/>
      </w:pPr>
    </w:lvl>
    <w:lvl w:ilvl="5" w:tplc="3409001B" w:tentative="1">
      <w:start w:val="1"/>
      <w:numFmt w:val="lowerRoman"/>
      <w:lvlText w:val="%6."/>
      <w:lvlJc w:val="right"/>
      <w:pPr>
        <w:ind w:left="5661" w:hanging="180"/>
      </w:pPr>
    </w:lvl>
    <w:lvl w:ilvl="6" w:tplc="3409000F" w:tentative="1">
      <w:start w:val="1"/>
      <w:numFmt w:val="decimal"/>
      <w:lvlText w:val="%7."/>
      <w:lvlJc w:val="left"/>
      <w:pPr>
        <w:ind w:left="6381" w:hanging="360"/>
      </w:pPr>
    </w:lvl>
    <w:lvl w:ilvl="7" w:tplc="34090019" w:tentative="1">
      <w:start w:val="1"/>
      <w:numFmt w:val="lowerLetter"/>
      <w:lvlText w:val="%8."/>
      <w:lvlJc w:val="left"/>
      <w:pPr>
        <w:ind w:left="7101" w:hanging="360"/>
      </w:pPr>
    </w:lvl>
    <w:lvl w:ilvl="8" w:tplc="3409001B" w:tentative="1">
      <w:start w:val="1"/>
      <w:numFmt w:val="lowerRoman"/>
      <w:lvlText w:val="%9."/>
      <w:lvlJc w:val="right"/>
      <w:pPr>
        <w:ind w:left="7821" w:hanging="180"/>
      </w:pPr>
    </w:lvl>
  </w:abstractNum>
  <w:abstractNum w:abstractNumId="4" w15:restartNumberingAfterBreak="0">
    <w:nsid w:val="13B372F7"/>
    <w:multiLevelType w:val="hybridMultilevel"/>
    <w:tmpl w:val="ED64DB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382A30"/>
    <w:multiLevelType w:val="hybridMultilevel"/>
    <w:tmpl w:val="E744A932"/>
    <w:lvl w:ilvl="0" w:tplc="DF985CB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1609024E"/>
    <w:multiLevelType w:val="hybridMultilevel"/>
    <w:tmpl w:val="26A4E53C"/>
    <w:lvl w:ilvl="0" w:tplc="BC38518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A376ED1"/>
    <w:multiLevelType w:val="multilevel"/>
    <w:tmpl w:val="D284B58A"/>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decimal"/>
      <w:isLgl/>
      <w:lvlText w:val="%1.%2.%3."/>
      <w:lvlJc w:val="left"/>
      <w:pPr>
        <w:ind w:left="1080" w:hanging="720"/>
      </w:pPr>
      <w:rPr>
        <w:rFonts w:ascii="Arial" w:hAnsi="Arial" w:cs="Arial" w:hint="default"/>
        <w:sz w:val="22"/>
      </w:r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8" w15:restartNumberingAfterBreak="0">
    <w:nsid w:val="23AA75F1"/>
    <w:multiLevelType w:val="multilevel"/>
    <w:tmpl w:val="BB1CB3F2"/>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9" w15:restartNumberingAfterBreak="0">
    <w:nsid w:val="25D10869"/>
    <w:multiLevelType w:val="hybridMultilevel"/>
    <w:tmpl w:val="B986D0FE"/>
    <w:lvl w:ilvl="0" w:tplc="AD2E7414">
      <w:start w:val="1"/>
      <w:numFmt w:val="decimal"/>
      <w:lvlText w:val="%1."/>
      <w:lvlJc w:val="left"/>
      <w:pPr>
        <w:ind w:left="1800" w:hanging="360"/>
      </w:pPr>
      <w:rPr>
        <w:color w:val="auto"/>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27604207"/>
    <w:multiLevelType w:val="multilevel"/>
    <w:tmpl w:val="88E2DDEC"/>
    <w:lvl w:ilvl="0">
      <w:start w:val="5"/>
      <w:numFmt w:val="decimal"/>
      <w:lvlText w:val="%1."/>
      <w:lvlJc w:val="left"/>
      <w:pPr>
        <w:ind w:left="720" w:hanging="360"/>
      </w:pPr>
      <w:rPr>
        <w:rFonts w:hint="default"/>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decimal"/>
      <w:isLgl/>
      <w:lvlText w:val="%1.%2.%3."/>
      <w:lvlJc w:val="left"/>
      <w:pPr>
        <w:ind w:left="1080" w:hanging="720"/>
      </w:pPr>
      <w:rPr>
        <w:rFonts w:ascii="Arial" w:hAnsi="Arial" w:cs="Arial" w:hint="default"/>
        <w:sz w:val="22"/>
      </w:r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11" w15:restartNumberingAfterBreak="0">
    <w:nsid w:val="281A259E"/>
    <w:multiLevelType w:val="multilevel"/>
    <w:tmpl w:val="211479AC"/>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12" w15:restartNumberingAfterBreak="0">
    <w:nsid w:val="31BD4FC7"/>
    <w:multiLevelType w:val="hybridMultilevel"/>
    <w:tmpl w:val="D80E3466"/>
    <w:lvl w:ilvl="0" w:tplc="A6FA6540">
      <w:start w:val="1"/>
      <w:numFmt w:val="upperLetter"/>
      <w:lvlText w:val="%1.)"/>
      <w:lvlJc w:val="left"/>
      <w:pPr>
        <w:ind w:left="1710" w:hanging="360"/>
      </w:pPr>
      <w:rPr>
        <w:rFonts w:hint="default"/>
      </w:rPr>
    </w:lvl>
    <w:lvl w:ilvl="1" w:tplc="34090019" w:tentative="1">
      <w:start w:val="1"/>
      <w:numFmt w:val="lowerLetter"/>
      <w:lvlText w:val="%2."/>
      <w:lvlJc w:val="left"/>
      <w:pPr>
        <w:ind w:left="2430" w:hanging="360"/>
      </w:pPr>
    </w:lvl>
    <w:lvl w:ilvl="2" w:tplc="3409001B" w:tentative="1">
      <w:start w:val="1"/>
      <w:numFmt w:val="lowerRoman"/>
      <w:lvlText w:val="%3."/>
      <w:lvlJc w:val="right"/>
      <w:pPr>
        <w:ind w:left="3150" w:hanging="180"/>
      </w:pPr>
    </w:lvl>
    <w:lvl w:ilvl="3" w:tplc="3409000F" w:tentative="1">
      <w:start w:val="1"/>
      <w:numFmt w:val="decimal"/>
      <w:lvlText w:val="%4."/>
      <w:lvlJc w:val="left"/>
      <w:pPr>
        <w:ind w:left="3870" w:hanging="360"/>
      </w:pPr>
    </w:lvl>
    <w:lvl w:ilvl="4" w:tplc="34090019" w:tentative="1">
      <w:start w:val="1"/>
      <w:numFmt w:val="lowerLetter"/>
      <w:lvlText w:val="%5."/>
      <w:lvlJc w:val="left"/>
      <w:pPr>
        <w:ind w:left="4590" w:hanging="360"/>
      </w:pPr>
    </w:lvl>
    <w:lvl w:ilvl="5" w:tplc="3409001B" w:tentative="1">
      <w:start w:val="1"/>
      <w:numFmt w:val="lowerRoman"/>
      <w:lvlText w:val="%6."/>
      <w:lvlJc w:val="right"/>
      <w:pPr>
        <w:ind w:left="5310" w:hanging="180"/>
      </w:pPr>
    </w:lvl>
    <w:lvl w:ilvl="6" w:tplc="3409000F" w:tentative="1">
      <w:start w:val="1"/>
      <w:numFmt w:val="decimal"/>
      <w:lvlText w:val="%7."/>
      <w:lvlJc w:val="left"/>
      <w:pPr>
        <w:ind w:left="6030" w:hanging="360"/>
      </w:pPr>
    </w:lvl>
    <w:lvl w:ilvl="7" w:tplc="34090019" w:tentative="1">
      <w:start w:val="1"/>
      <w:numFmt w:val="lowerLetter"/>
      <w:lvlText w:val="%8."/>
      <w:lvlJc w:val="left"/>
      <w:pPr>
        <w:ind w:left="6750" w:hanging="360"/>
      </w:pPr>
    </w:lvl>
    <w:lvl w:ilvl="8" w:tplc="3409001B" w:tentative="1">
      <w:start w:val="1"/>
      <w:numFmt w:val="lowerRoman"/>
      <w:lvlText w:val="%9."/>
      <w:lvlJc w:val="right"/>
      <w:pPr>
        <w:ind w:left="7470" w:hanging="180"/>
      </w:pPr>
    </w:lvl>
  </w:abstractNum>
  <w:abstractNum w:abstractNumId="13" w15:restartNumberingAfterBreak="0">
    <w:nsid w:val="33881F38"/>
    <w:multiLevelType w:val="hybridMultilevel"/>
    <w:tmpl w:val="DEE6B5CC"/>
    <w:lvl w:ilvl="0" w:tplc="FCBEB2E0">
      <w:start w:val="1"/>
      <w:numFmt w:val="lowerLetter"/>
      <w:lvlText w:val="%1)"/>
      <w:lvlJc w:val="left"/>
      <w:pPr>
        <w:ind w:left="790" w:hanging="360"/>
      </w:pPr>
      <w:rPr>
        <w:rFonts w:hint="default"/>
        <w:b/>
        <w:i/>
      </w:rPr>
    </w:lvl>
    <w:lvl w:ilvl="1" w:tplc="34090019" w:tentative="1">
      <w:start w:val="1"/>
      <w:numFmt w:val="lowerLetter"/>
      <w:lvlText w:val="%2."/>
      <w:lvlJc w:val="left"/>
      <w:pPr>
        <w:ind w:left="1510" w:hanging="360"/>
      </w:pPr>
    </w:lvl>
    <w:lvl w:ilvl="2" w:tplc="3409001B" w:tentative="1">
      <w:start w:val="1"/>
      <w:numFmt w:val="lowerRoman"/>
      <w:lvlText w:val="%3."/>
      <w:lvlJc w:val="right"/>
      <w:pPr>
        <w:ind w:left="2230" w:hanging="180"/>
      </w:pPr>
    </w:lvl>
    <w:lvl w:ilvl="3" w:tplc="3409000F" w:tentative="1">
      <w:start w:val="1"/>
      <w:numFmt w:val="decimal"/>
      <w:lvlText w:val="%4."/>
      <w:lvlJc w:val="left"/>
      <w:pPr>
        <w:ind w:left="2950" w:hanging="360"/>
      </w:pPr>
    </w:lvl>
    <w:lvl w:ilvl="4" w:tplc="34090019" w:tentative="1">
      <w:start w:val="1"/>
      <w:numFmt w:val="lowerLetter"/>
      <w:lvlText w:val="%5."/>
      <w:lvlJc w:val="left"/>
      <w:pPr>
        <w:ind w:left="3670" w:hanging="360"/>
      </w:pPr>
    </w:lvl>
    <w:lvl w:ilvl="5" w:tplc="3409001B" w:tentative="1">
      <w:start w:val="1"/>
      <w:numFmt w:val="lowerRoman"/>
      <w:lvlText w:val="%6."/>
      <w:lvlJc w:val="right"/>
      <w:pPr>
        <w:ind w:left="4390" w:hanging="180"/>
      </w:pPr>
    </w:lvl>
    <w:lvl w:ilvl="6" w:tplc="3409000F" w:tentative="1">
      <w:start w:val="1"/>
      <w:numFmt w:val="decimal"/>
      <w:lvlText w:val="%7."/>
      <w:lvlJc w:val="left"/>
      <w:pPr>
        <w:ind w:left="5110" w:hanging="360"/>
      </w:pPr>
    </w:lvl>
    <w:lvl w:ilvl="7" w:tplc="34090019" w:tentative="1">
      <w:start w:val="1"/>
      <w:numFmt w:val="lowerLetter"/>
      <w:lvlText w:val="%8."/>
      <w:lvlJc w:val="left"/>
      <w:pPr>
        <w:ind w:left="5830" w:hanging="360"/>
      </w:pPr>
    </w:lvl>
    <w:lvl w:ilvl="8" w:tplc="3409001B" w:tentative="1">
      <w:start w:val="1"/>
      <w:numFmt w:val="lowerRoman"/>
      <w:lvlText w:val="%9."/>
      <w:lvlJc w:val="right"/>
      <w:pPr>
        <w:ind w:left="6550" w:hanging="180"/>
      </w:pPr>
    </w:lvl>
  </w:abstractNum>
  <w:abstractNum w:abstractNumId="14" w15:restartNumberingAfterBreak="0">
    <w:nsid w:val="49422A0A"/>
    <w:multiLevelType w:val="multilevel"/>
    <w:tmpl w:val="BB1CB3F2"/>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15" w15:restartNumberingAfterBreak="0">
    <w:nsid w:val="4DA874D0"/>
    <w:multiLevelType w:val="hybridMultilevel"/>
    <w:tmpl w:val="A37AF7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F8A25B9"/>
    <w:multiLevelType w:val="multilevel"/>
    <w:tmpl w:val="BB1CB3F2"/>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17" w15:restartNumberingAfterBreak="0">
    <w:nsid w:val="59FE3BFE"/>
    <w:multiLevelType w:val="hybridMultilevel"/>
    <w:tmpl w:val="5A222B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28146D1"/>
    <w:multiLevelType w:val="hybridMultilevel"/>
    <w:tmpl w:val="00121E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5A07F13"/>
    <w:multiLevelType w:val="hybridMultilevel"/>
    <w:tmpl w:val="1EE45B8C"/>
    <w:lvl w:ilvl="0" w:tplc="34090019">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8CB0F44"/>
    <w:multiLevelType w:val="hybridMultilevel"/>
    <w:tmpl w:val="85407BE8"/>
    <w:lvl w:ilvl="0" w:tplc="3B4059E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74E307F2"/>
    <w:multiLevelType w:val="hybridMultilevel"/>
    <w:tmpl w:val="10F01A7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12"/>
  </w:num>
  <w:num w:numId="3">
    <w:abstractNumId w:val="6"/>
  </w:num>
  <w:num w:numId="4">
    <w:abstractNumId w:val="19"/>
  </w:num>
  <w:num w:numId="5">
    <w:abstractNumId w:val="3"/>
  </w:num>
  <w:num w:numId="6">
    <w:abstractNumId w:val="1"/>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5"/>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3"/>
  </w:num>
  <w:num w:numId="16">
    <w:abstractNumId w:val="7"/>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17">
    <w:abstractNumId w:val="21"/>
  </w:num>
  <w:num w:numId="18">
    <w:abstractNumId w:val="7"/>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19">
    <w:abstractNumId w:val="11"/>
  </w:num>
  <w:num w:numId="20">
    <w:abstractNumId w:val="17"/>
  </w:num>
  <w:num w:numId="21">
    <w:abstractNumId w:val="8"/>
  </w:num>
  <w:num w:numId="22">
    <w:abstractNumId w:val="18"/>
  </w:num>
  <w:num w:numId="23">
    <w:abstractNumId w:val="7"/>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24">
    <w:abstractNumId w:val="14"/>
  </w:num>
  <w:num w:numId="25">
    <w:abstractNumId w:val="10"/>
    <w:lvlOverride w:ilvl="0">
      <w:lvl w:ilvl="0">
        <w:start w:val="5"/>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26">
    <w:abstractNumId w:val="10"/>
    <w:lvlOverride w:ilvl="0">
      <w:lvl w:ilvl="0">
        <w:start w:val="5"/>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27">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FkxbDAIGr6j5LwjcNYuA2C+F30oJ0KGT1OZJYyUriNSe0CauQtSS7Ma8CMkWDmZ6Ts5bnL5SwnueMJiJd82S0Q==" w:salt="I+yJm3N58AtTQXZUIY6jT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A8E6C393-0FD7-4C0F-923C-EEB36449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pPr>
      <w:keepNext/>
      <w:jc w:val="center"/>
      <w:outlineLvl w:val="2"/>
    </w:pPr>
    <w:rPr>
      <w:rFonts w:ascii="Century Schoolbook" w:hAnsi="Century Schoolbook"/>
      <w:b/>
      <w:i/>
      <w:color w:val="000000"/>
      <w:spacing w:val="14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unhideWhenUsed/>
    <w:qFormat/>
    <w:pPr>
      <w:ind w:left="1440" w:hanging="720"/>
    </w:p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lang w:val="en-GB" w:eastAsia="en-GB"/>
    </w:rPr>
  </w:style>
  <w:style w:type="paragraph" w:styleId="CommentSubject">
    <w:name w:val="annotation subject"/>
    <w:basedOn w:val="CommentText"/>
    <w:next w:val="CommentText"/>
    <w:link w:val="CommentSubjectChar"/>
    <w:uiPriority w:val="99"/>
    <w:semiHidden/>
    <w:unhideWhenUsed/>
    <w:qFormat/>
    <w:rPr>
      <w:b/>
      <w:bCs/>
      <w:lang w:val="en-US" w:eastAsia="en-U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lang w:val="en-PH" w:eastAsia="en-PH"/>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qFormat/>
    <w:rPr>
      <w:rFonts w:ascii="Century Schoolbook" w:eastAsia="Times New Roman" w:hAnsi="Century Schoolbook" w:cs="Times New Roman"/>
      <w:b/>
      <w:i/>
      <w:color w:val="000000"/>
      <w:spacing w:val="140"/>
      <w:szCs w:val="20"/>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val="en-GB" w:eastAsia="en-GB"/>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en-US"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18"/>
      <w:szCs w:val="18"/>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paragraph" w:styleId="NoSpacing">
    <w:name w:val="No Spacing"/>
    <w:link w:val="NoSpacingChar"/>
    <w:uiPriority w:val="1"/>
    <w:qFormat/>
    <w:rPr>
      <w:rFonts w:ascii="Arial" w:hAnsi="Arial" w:cs="Arial"/>
      <w:sz w:val="14"/>
      <w:szCs w:val="22"/>
      <w:u w:val="words"/>
    </w:rPr>
  </w:style>
  <w:style w:type="character" w:customStyle="1" w:styleId="NoSpacingChar">
    <w:name w:val="No Spacing Char"/>
    <w:link w:val="NoSpacing"/>
    <w:uiPriority w:val="1"/>
    <w:qFormat/>
    <w:rPr>
      <w:rFonts w:ascii="Arial" w:hAnsi="Arial" w:cs="Arial"/>
      <w:sz w:val="14"/>
      <w:u w:val="words"/>
      <w:lang w:val="en-US"/>
    </w:rPr>
  </w:style>
  <w:style w:type="paragraph" w:styleId="ListParagraph">
    <w:name w:val="List Paragraph"/>
    <w:aliases w:val="Resume Title"/>
    <w:basedOn w:val="Normal"/>
    <w:link w:val="ListParagraphChar"/>
    <w:uiPriority w:val="99"/>
    <w:qFormat/>
    <w:pPr>
      <w:ind w:left="720"/>
      <w:contextualSpacing/>
    </w:pPr>
  </w:style>
  <w:style w:type="character" w:customStyle="1" w:styleId="ListParagraphChar">
    <w:name w:val="List Paragraph Char"/>
    <w:aliases w:val="Resume Title Char"/>
    <w:link w:val="ListParagraph"/>
    <w:uiPriority w:val="99"/>
    <w:qFormat/>
    <w:locked/>
    <w:rPr>
      <w:rFonts w:ascii="Times New Roman" w:eastAsia="Times New Roman" w:hAnsi="Times New Roman" w:cs="Times New Roman"/>
      <w:sz w:val="24"/>
      <w:szCs w:val="24"/>
      <w:lang w:val="en-US"/>
    </w:rPr>
  </w:style>
  <w:style w:type="paragraph" w:customStyle="1" w:styleId="Normal1">
    <w:name w:val="Normal1"/>
    <w:qFormat/>
    <w:rPr>
      <w:rFonts w:ascii="Times New Roman" w:eastAsia="Times New Roman" w:hAnsi="Times New Roman" w:cs="Times New Roman"/>
      <w:color w:val="000000"/>
      <w:sz w:val="24"/>
      <w:szCs w:val="22"/>
    </w:rPr>
  </w:style>
  <w:style w:type="character" w:customStyle="1" w:styleId="im">
    <w:name w:val="im"/>
    <w:basedOn w:val="DefaultParagraphFont"/>
    <w:qFormat/>
  </w:style>
  <w:style w:type="character" w:customStyle="1" w:styleId="font21">
    <w:name w:val="font21"/>
    <w:qFormat/>
    <w:rPr>
      <w:rFonts w:ascii="Times New Roman" w:hAnsi="Times New Roman" w:cs="Times New Roman" w:hint="default"/>
      <w:color w:val="000000"/>
      <w:sz w:val="20"/>
      <w:szCs w:val="20"/>
      <w:u w:val="none"/>
    </w:rPr>
  </w:style>
  <w:style w:type="character" w:customStyle="1" w:styleId="font11">
    <w:name w:val="font11"/>
    <w:qFormat/>
    <w:rPr>
      <w:rFonts w:ascii="Times New Roman" w:hAnsi="Times New Roman" w:cs="Times New Roman" w:hint="default"/>
      <w:b/>
      <w:color w:val="000000"/>
      <w:sz w:val="20"/>
      <w:szCs w:val="20"/>
      <w:u w:val="none"/>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font01">
    <w:name w:val="font01"/>
    <w:qFormat/>
    <w:rPr>
      <w:rFonts w:ascii="Calibri" w:hAnsi="Calibri" w:cs="Calibri" w:hint="default"/>
      <w:b/>
      <w:color w:val="C00000"/>
      <w:sz w:val="22"/>
      <w:szCs w:val="22"/>
      <w:u w:val="none"/>
    </w:rPr>
  </w:style>
  <w:style w:type="character" w:customStyle="1" w:styleId="font31">
    <w:name w:val="font31"/>
    <w:qFormat/>
    <w:rPr>
      <w:rFonts w:ascii="Calibri Light" w:eastAsia="Calibri Light" w:hAnsi="Calibri Light" w:cs="Calibri Light" w:hint="default"/>
      <w:color w:val="C00000"/>
      <w:sz w:val="20"/>
      <w:szCs w:val="20"/>
      <w:u w:val="none"/>
    </w:rPr>
  </w:style>
  <w:style w:type="character" w:customStyle="1" w:styleId="font51">
    <w:name w:val="font51"/>
    <w:qFormat/>
    <w:rPr>
      <w:rFonts w:ascii="Calibri Light" w:eastAsia="Calibri Light" w:hAnsi="Calibri Light" w:cs="Calibri Light" w:hint="default"/>
      <w:color w:val="000000"/>
      <w:sz w:val="20"/>
      <w:szCs w:val="20"/>
      <w:u w:val="none"/>
    </w:rPr>
  </w:style>
  <w:style w:type="character" w:customStyle="1" w:styleId="font61">
    <w:name w:val="font61"/>
    <w:qFormat/>
    <w:rPr>
      <w:rFonts w:ascii="Calibri" w:hAnsi="Calibri" w:cs="Calibri" w:hint="default"/>
      <w:color w:val="C00000"/>
      <w:sz w:val="20"/>
      <w:szCs w:val="20"/>
      <w:u w:val="none"/>
    </w:rPr>
  </w:style>
  <w:style w:type="character" w:customStyle="1" w:styleId="font41">
    <w:name w:val="font41"/>
    <w:qFormat/>
    <w:rPr>
      <w:rFonts w:ascii="Times New Roman" w:hAnsi="Times New Roman" w:cs="Times New Roman" w:hint="default"/>
      <w:color w:val="000000"/>
      <w:sz w:val="20"/>
      <w:szCs w:val="20"/>
      <w:u w:val="none"/>
    </w:rPr>
  </w:style>
  <w:style w:type="paragraph" w:styleId="Revision">
    <w:name w:val="Revision"/>
    <w:hidden/>
    <w:uiPriority w:val="99"/>
    <w:semiHidden/>
    <w:rPr>
      <w:rFonts w:ascii="Times New Roman" w:eastAsia="Times New Roman" w:hAnsi="Times New Roman" w:cs="Times New Roman"/>
      <w:sz w:val="24"/>
      <w:szCs w:val="24"/>
    </w:rPr>
  </w:style>
  <w:style w:type="table" w:customStyle="1" w:styleId="TableGrid1">
    <w:name w:val="Table Grid1"/>
    <w:basedOn w:val="TableNormal"/>
    <w:next w:val="TableGrid"/>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T2Char">
    <w:name w:val="PART 2 Char"/>
    <w:basedOn w:val="DefaultParagraphFont"/>
    <w:link w:val="PART2"/>
    <w:locked/>
    <w:rPr>
      <w:rFonts w:ascii="Arial" w:hAnsi="Arial" w:cs="Arial"/>
    </w:rPr>
  </w:style>
  <w:style w:type="paragraph" w:customStyle="1" w:styleId="PART2">
    <w:name w:val="PART 2"/>
    <w:basedOn w:val="Normal"/>
    <w:link w:val="PART2Char"/>
    <w:qFormat/>
    <w:pPr>
      <w:spacing w:after="160"/>
      <w:ind w:left="1022" w:hanging="648"/>
      <w:jc w:val="both"/>
    </w:pPr>
    <w:rPr>
      <w:rFonts w:ascii="Arial" w:eastAsiaTheme="minorHAnsi"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454528">
      <w:bodyDiv w:val="1"/>
      <w:marLeft w:val="0"/>
      <w:marRight w:val="0"/>
      <w:marTop w:val="0"/>
      <w:marBottom w:val="0"/>
      <w:divBdr>
        <w:top w:val="none" w:sz="0" w:space="0" w:color="auto"/>
        <w:left w:val="none" w:sz="0" w:space="0" w:color="auto"/>
        <w:bottom w:val="none" w:sz="0" w:space="0" w:color="auto"/>
        <w:right w:val="none" w:sz="0" w:space="0" w:color="auto"/>
      </w:divBdr>
    </w:div>
    <w:div w:id="818957293">
      <w:bodyDiv w:val="1"/>
      <w:marLeft w:val="0"/>
      <w:marRight w:val="0"/>
      <w:marTop w:val="0"/>
      <w:marBottom w:val="0"/>
      <w:divBdr>
        <w:top w:val="none" w:sz="0" w:space="0" w:color="auto"/>
        <w:left w:val="none" w:sz="0" w:space="0" w:color="auto"/>
        <w:bottom w:val="none" w:sz="0" w:space="0" w:color="auto"/>
        <w:right w:val="none" w:sz="0" w:space="0" w:color="auto"/>
      </w:divBdr>
    </w:div>
    <w:div w:id="906765102">
      <w:bodyDiv w:val="1"/>
      <w:marLeft w:val="0"/>
      <w:marRight w:val="0"/>
      <w:marTop w:val="0"/>
      <w:marBottom w:val="0"/>
      <w:divBdr>
        <w:top w:val="none" w:sz="0" w:space="0" w:color="auto"/>
        <w:left w:val="none" w:sz="0" w:space="0" w:color="auto"/>
        <w:bottom w:val="none" w:sz="0" w:space="0" w:color="auto"/>
        <w:right w:val="none" w:sz="0" w:space="0" w:color="auto"/>
      </w:divBdr>
    </w:div>
    <w:div w:id="1154177732">
      <w:bodyDiv w:val="1"/>
      <w:marLeft w:val="0"/>
      <w:marRight w:val="0"/>
      <w:marTop w:val="0"/>
      <w:marBottom w:val="0"/>
      <w:divBdr>
        <w:top w:val="none" w:sz="0" w:space="0" w:color="auto"/>
        <w:left w:val="none" w:sz="0" w:space="0" w:color="auto"/>
        <w:bottom w:val="none" w:sz="0" w:space="0" w:color="auto"/>
        <w:right w:val="none" w:sz="0" w:space="0" w:color="auto"/>
      </w:divBdr>
    </w:div>
    <w:div w:id="1523279672">
      <w:bodyDiv w:val="1"/>
      <w:marLeft w:val="0"/>
      <w:marRight w:val="0"/>
      <w:marTop w:val="0"/>
      <w:marBottom w:val="0"/>
      <w:divBdr>
        <w:top w:val="none" w:sz="0" w:space="0" w:color="auto"/>
        <w:left w:val="none" w:sz="0" w:space="0" w:color="auto"/>
        <w:bottom w:val="none" w:sz="0" w:space="0" w:color="auto"/>
        <w:right w:val="none" w:sz="0" w:space="0" w:color="auto"/>
      </w:divBdr>
    </w:div>
    <w:div w:id="1577086823">
      <w:bodyDiv w:val="1"/>
      <w:marLeft w:val="0"/>
      <w:marRight w:val="0"/>
      <w:marTop w:val="0"/>
      <w:marBottom w:val="0"/>
      <w:divBdr>
        <w:top w:val="none" w:sz="0" w:space="0" w:color="auto"/>
        <w:left w:val="none" w:sz="0" w:space="0" w:color="auto"/>
        <w:bottom w:val="none" w:sz="0" w:space="0" w:color="auto"/>
        <w:right w:val="none" w:sz="0" w:space="0" w:color="auto"/>
      </w:divBdr>
    </w:div>
    <w:div w:id="1985693220">
      <w:bodyDiv w:val="1"/>
      <w:marLeft w:val="0"/>
      <w:marRight w:val="0"/>
      <w:marTop w:val="0"/>
      <w:marBottom w:val="0"/>
      <w:divBdr>
        <w:top w:val="none" w:sz="0" w:space="0" w:color="auto"/>
        <w:left w:val="none" w:sz="0" w:space="0" w:color="auto"/>
        <w:bottom w:val="none" w:sz="0" w:space="0" w:color="auto"/>
        <w:right w:val="none" w:sz="0" w:space="0" w:color="auto"/>
      </w:divBdr>
    </w:div>
    <w:div w:id="2064793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44612-0F31-4200-9A38-38C8C37BB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20</Pages>
  <Words>6645</Words>
  <Characters>37881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44438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subject/>
  <dc:creator>COA - Manila City, NCR</dc:creator>
  <cp:keywords/>
  <dc:description/>
  <cp:lastModifiedBy>Ben A. Lazo Jr.</cp:lastModifiedBy>
  <cp:revision>3</cp:revision>
  <cp:lastPrinted>2024-05-30T06:39:00Z</cp:lastPrinted>
  <dcterms:created xsi:type="dcterms:W3CDTF">2024-05-15T01:19:00Z</dcterms:created>
  <dcterms:modified xsi:type="dcterms:W3CDTF">2024-12-12T06:56:00Z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782886E6CC7940E89C7EB7CCF01FC43E</vt:lpwstr>
  </property>
  <property fmtid="{D5CDD505-2E9C-101B-9397-08002B2CF9AE}" pid="4" name="GrammarlyDocumentId">
    <vt:lpwstr>c2e334e71b6543ab37c0cdfe149cc52ddc6fcf349c8f86995135c7b9b46a9d27</vt:lpwstr>
  </property>
</Properties>
</file>