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Subtitle"/>
        <w:jc w:val="center"/>
        <w:rPr>
          <w:rFonts w:ascii="Arial" w:hAnsi="Arial" w:cs="Arial"/>
          <w:sz w:val="22"/>
          <w:szCs w:val="22"/>
        </w:rPr>
      </w:pPr>
      <w:bookmarkStart w:id="0" w:name="OLE_LINK1"/>
      <w:bookmarkStart w:id="1" w:name="_GoBack"/>
      <w:bookmarkEnd w:id="1"/>
      <w:r>
        <w:rPr>
          <w:rFonts w:ascii="Arial" w:hAnsi="Arial" w:cs="Arial"/>
          <w:sz w:val="22"/>
          <w:szCs w:val="22"/>
        </w:rPr>
        <w:t>STATUS OF IMPLEMENTATION OF PRIOR YEARS’ AUDIT RECOMMENDATIONS</w:t>
      </w:r>
    </w:p>
    <w:p>
      <w:pPr>
        <w:pStyle w:val="Subtitle"/>
        <w:rPr>
          <w:rFonts w:ascii="Arial" w:hAnsi="Arial" w:cs="Arial"/>
          <w:sz w:val="22"/>
          <w:szCs w:val="22"/>
        </w:rPr>
      </w:pPr>
    </w:p>
    <w:p>
      <w:pPr>
        <w:spacing w:after="0" w:line="240" w:lineRule="auto"/>
        <w:jc w:val="both"/>
        <w:rPr>
          <w:rFonts w:ascii="Arial" w:hAnsi="Arial" w:cs="Arial"/>
        </w:rPr>
      </w:pPr>
      <w:r>
        <w:rPr>
          <w:rFonts w:ascii="Arial" w:hAnsi="Arial" w:cs="Arial"/>
        </w:rPr>
        <w:t>Of the 53 prior years’ audit recommendations contained in the CYs 2017, 2018, 2019, 2020, 2021, and 2022 Annual Audit Reports, 44 or 83.12 percent were implemented and nine or        16.98 percent were unimplemented. Details are as follows:</w:t>
      </w:r>
    </w:p>
    <w:p>
      <w:pPr>
        <w:spacing w:after="0" w:line="240" w:lineRule="auto"/>
        <w:jc w:val="both"/>
        <w:rPr>
          <w:rFonts w:ascii="Arial" w:hAnsi="Arial" w:cs="Arial"/>
        </w:rPr>
      </w:pPr>
    </w:p>
    <w:tbl>
      <w:tblPr>
        <w:tblpPr w:leftFromText="180" w:rightFromText="180" w:vertAnchor="text" w:tblpX="-5" w:tblpY="1"/>
        <w:tblOverlap w:val="neve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2525"/>
        <w:gridCol w:w="1899"/>
        <w:gridCol w:w="2000"/>
        <w:gridCol w:w="1842"/>
      </w:tblGrid>
      <w:tr>
        <w:trPr>
          <w:tblHeader/>
        </w:trPr>
        <w:tc>
          <w:tcPr>
            <w:tcW w:w="1525" w:type="dxa"/>
            <w:tcBorders>
              <w:bottom w:val="single" w:sz="4" w:space="0" w:color="auto"/>
            </w:tcBorders>
            <w:vAlign w:val="center"/>
          </w:tcPr>
          <w:p>
            <w:pPr>
              <w:pStyle w:val="Heading2"/>
              <w:contextualSpacing/>
              <w:rPr>
                <w:rFonts w:ascii="Arial" w:hAnsi="Arial" w:cs="Arial"/>
                <w:sz w:val="20"/>
                <w:szCs w:val="20"/>
              </w:rPr>
            </w:pPr>
            <w:bookmarkStart w:id="2" w:name="_Hlk105946440"/>
            <w:r>
              <w:rPr>
                <w:rFonts w:ascii="Arial" w:hAnsi="Arial" w:cs="Arial"/>
                <w:sz w:val="20"/>
                <w:szCs w:val="20"/>
              </w:rPr>
              <w:t>Reference</w:t>
            </w:r>
          </w:p>
        </w:tc>
        <w:tc>
          <w:tcPr>
            <w:tcW w:w="2525" w:type="dxa"/>
            <w:tcBorders>
              <w:bottom w:val="single" w:sz="4" w:space="0" w:color="auto"/>
            </w:tcBorders>
            <w:vAlign w:val="center"/>
          </w:tcPr>
          <w:p>
            <w:pPr>
              <w:pStyle w:val="Heading2"/>
              <w:contextualSpacing/>
              <w:rPr>
                <w:rFonts w:ascii="Arial" w:hAnsi="Arial" w:cs="Arial"/>
                <w:sz w:val="20"/>
                <w:szCs w:val="20"/>
              </w:rPr>
            </w:pPr>
            <w:r>
              <w:rPr>
                <w:rFonts w:ascii="Arial" w:hAnsi="Arial" w:cs="Arial"/>
                <w:sz w:val="20"/>
                <w:szCs w:val="20"/>
              </w:rPr>
              <w:t>Observations and Recommendations</w:t>
            </w:r>
          </w:p>
        </w:tc>
        <w:tc>
          <w:tcPr>
            <w:tcW w:w="1899" w:type="dxa"/>
            <w:tcBorders>
              <w:bottom w:val="single" w:sz="4" w:space="0" w:color="auto"/>
            </w:tcBorders>
            <w:vAlign w:val="center"/>
          </w:tcPr>
          <w:p>
            <w:pPr>
              <w:pStyle w:val="Heading2"/>
              <w:contextualSpacing/>
              <w:rPr>
                <w:rFonts w:ascii="Arial" w:hAnsi="Arial" w:cs="Arial"/>
                <w:sz w:val="20"/>
                <w:szCs w:val="20"/>
              </w:rPr>
            </w:pPr>
            <w:r>
              <w:rPr>
                <w:rFonts w:ascii="Arial" w:hAnsi="Arial" w:cs="Arial"/>
                <w:sz w:val="20"/>
                <w:szCs w:val="20"/>
              </w:rPr>
              <w:t>Status of Implementation</w:t>
            </w:r>
          </w:p>
        </w:tc>
        <w:tc>
          <w:tcPr>
            <w:tcW w:w="2000" w:type="dxa"/>
            <w:tcBorders>
              <w:bottom w:val="single" w:sz="4" w:space="0" w:color="auto"/>
            </w:tcBorders>
            <w:vAlign w:val="center"/>
          </w:tcPr>
          <w:p>
            <w:pPr>
              <w:pStyle w:val="Heading2"/>
              <w:contextualSpacing/>
              <w:rPr>
                <w:rFonts w:ascii="Arial" w:hAnsi="Arial" w:cs="Arial"/>
                <w:sz w:val="20"/>
                <w:szCs w:val="20"/>
              </w:rPr>
            </w:pPr>
            <w:r>
              <w:rPr>
                <w:rFonts w:ascii="Arial" w:hAnsi="Arial" w:cs="Arial"/>
                <w:sz w:val="20"/>
                <w:szCs w:val="20"/>
              </w:rPr>
              <w:t>Management Action</w:t>
            </w:r>
          </w:p>
        </w:tc>
        <w:tc>
          <w:tcPr>
            <w:tcW w:w="1842" w:type="dxa"/>
            <w:tcBorders>
              <w:bottom w:val="single" w:sz="4" w:space="0" w:color="auto"/>
            </w:tcBorders>
            <w:vAlign w:val="center"/>
          </w:tcPr>
          <w:p>
            <w:pPr>
              <w:pStyle w:val="Heading2"/>
              <w:contextualSpacing/>
              <w:rPr>
                <w:rFonts w:ascii="Arial" w:hAnsi="Arial" w:cs="Arial"/>
                <w:sz w:val="20"/>
                <w:szCs w:val="20"/>
              </w:rPr>
            </w:pPr>
            <w:r>
              <w:rPr>
                <w:rFonts w:ascii="Arial" w:hAnsi="Arial" w:cs="Arial"/>
                <w:sz w:val="20"/>
                <w:szCs w:val="20"/>
              </w:rPr>
              <w:t xml:space="preserve">Reason for Non- Implementation </w:t>
            </w:r>
          </w:p>
        </w:tc>
      </w:tr>
      <w:tr>
        <w:trPr>
          <w:trHeight w:val="70"/>
        </w:trPr>
        <w:tc>
          <w:tcPr>
            <w:tcW w:w="1525" w:type="dxa"/>
            <w:tcBorders>
              <w:bottom w:val="single" w:sz="4" w:space="0" w:color="auto"/>
            </w:tcBorders>
          </w:tcPr>
          <w:p>
            <w:pPr>
              <w:pStyle w:val="NoSpacing"/>
              <w:contextualSpacing/>
              <w:jc w:val="center"/>
              <w:rPr>
                <w:rFonts w:ascii="Arial" w:hAnsi="Arial" w:cs="Arial"/>
                <w:sz w:val="20"/>
                <w:szCs w:val="20"/>
              </w:rPr>
            </w:pPr>
            <w:r>
              <w:rPr>
                <w:rFonts w:ascii="Arial" w:hAnsi="Arial" w:cs="Arial"/>
                <w:sz w:val="20"/>
                <w:szCs w:val="20"/>
              </w:rPr>
              <w:t xml:space="preserve">CY 2022 </w:t>
            </w:r>
            <w:proofErr w:type="gramStart"/>
            <w:r>
              <w:rPr>
                <w:rFonts w:ascii="Arial" w:hAnsi="Arial" w:cs="Arial"/>
                <w:sz w:val="20"/>
                <w:szCs w:val="20"/>
              </w:rPr>
              <w:t>AAR,  Observation</w:t>
            </w:r>
            <w:proofErr w:type="gramEnd"/>
            <w:r>
              <w:rPr>
                <w:rFonts w:ascii="Arial" w:hAnsi="Arial" w:cs="Arial"/>
                <w:sz w:val="20"/>
                <w:szCs w:val="20"/>
              </w:rPr>
              <w:t xml:space="preserve"> No. 1,</w:t>
            </w:r>
          </w:p>
          <w:p>
            <w:pPr>
              <w:pStyle w:val="NoSpacing"/>
              <w:contextualSpacing/>
              <w:jc w:val="center"/>
              <w:rPr>
                <w:rFonts w:ascii="Arial" w:hAnsi="Arial" w:cs="Arial"/>
                <w:sz w:val="20"/>
                <w:szCs w:val="20"/>
              </w:rPr>
            </w:pPr>
            <w:r>
              <w:rPr>
                <w:rFonts w:ascii="Arial" w:hAnsi="Arial" w:cs="Arial"/>
                <w:sz w:val="20"/>
                <w:szCs w:val="20"/>
              </w:rPr>
              <w:t xml:space="preserve">Page 73 </w:t>
            </w:r>
          </w:p>
        </w:tc>
        <w:tc>
          <w:tcPr>
            <w:tcW w:w="2525" w:type="dxa"/>
            <w:tcBorders>
              <w:bottom w:val="single" w:sz="4" w:space="0" w:color="auto"/>
            </w:tcBorders>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 xml:space="preserve">The inventory accounts were overstated by a net amount of </w:t>
            </w:r>
            <w:r>
              <w:rPr>
                <w:rFonts w:ascii="Arial" w:hAnsi="Arial" w:cs="Arial"/>
                <w:bCs/>
                <w:iCs/>
                <w:sz w:val="20"/>
                <w:szCs w:val="20"/>
              </w:rPr>
              <w:br/>
              <w:t>P32.595 million due to accounting errors in record keeping, non-maintenance of inventory records and unreconciled records of the Office of the City Accountant (OCAT) and City General Services Office (CGSO) contrary to Paragraph 27 of the International Public Sector Accounting Standards (IPSAS) 1. This condition weighed on the fairness of the presentation of the inventories in the Financial Statement (FS).</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We recommended and Management agreed that:</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1"/>
                <w:numId w:val="1"/>
              </w:numPr>
              <w:overflowPunct w:val="0"/>
              <w:autoSpaceDE w:val="0"/>
              <w:autoSpaceDN w:val="0"/>
              <w:adjustRightInd w:val="0"/>
              <w:ind w:left="636" w:hanging="283"/>
              <w:jc w:val="both"/>
              <w:rPr>
                <w:rFonts w:ascii="Arial" w:hAnsi="Arial" w:cs="Arial"/>
                <w:bCs/>
                <w:iCs/>
                <w:sz w:val="20"/>
                <w:szCs w:val="20"/>
              </w:rPr>
            </w:pPr>
            <w:r>
              <w:rPr>
                <w:rFonts w:ascii="Arial" w:hAnsi="Arial" w:cs="Arial"/>
                <w:bCs/>
                <w:iCs/>
                <w:sz w:val="20"/>
                <w:szCs w:val="20"/>
              </w:rPr>
              <w:t>OCAT correct the accounting errors in record-keeping; and</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1"/>
                <w:numId w:val="1"/>
              </w:numPr>
              <w:overflowPunct w:val="0"/>
              <w:autoSpaceDE w:val="0"/>
              <w:autoSpaceDN w:val="0"/>
              <w:adjustRightInd w:val="0"/>
              <w:ind w:left="636" w:hanging="283"/>
              <w:jc w:val="both"/>
              <w:rPr>
                <w:rFonts w:ascii="Arial" w:hAnsi="Arial" w:cs="Arial"/>
                <w:bCs/>
                <w:iCs/>
                <w:sz w:val="20"/>
                <w:szCs w:val="20"/>
              </w:rPr>
            </w:pPr>
            <w:r>
              <w:rPr>
                <w:rFonts w:ascii="Arial" w:hAnsi="Arial" w:cs="Arial"/>
                <w:bCs/>
                <w:iCs/>
                <w:sz w:val="20"/>
                <w:szCs w:val="20"/>
              </w:rPr>
              <w:t xml:space="preserve">OCAT and CGSO: (a) maintain the prescribed inventory records and information that will enable effective and </w:t>
            </w:r>
            <w:r>
              <w:rPr>
                <w:rFonts w:ascii="Arial" w:hAnsi="Arial" w:cs="Arial"/>
                <w:bCs/>
                <w:iCs/>
                <w:sz w:val="20"/>
                <w:szCs w:val="20"/>
              </w:rPr>
              <w:lastRenderedPageBreak/>
              <w:t>efficient tracking of the movements of inventories; and (b) reconcile their inventory records periodically.</w:t>
            </w:r>
          </w:p>
          <w:p>
            <w:pPr>
              <w:pStyle w:val="ListParagraph"/>
              <w:widowControl w:val="0"/>
              <w:overflowPunct w:val="0"/>
              <w:autoSpaceDE w:val="0"/>
              <w:autoSpaceDN w:val="0"/>
              <w:adjustRightInd w:val="0"/>
              <w:ind w:left="636"/>
              <w:jc w:val="both"/>
              <w:rPr>
                <w:rFonts w:ascii="Arial" w:hAnsi="Arial" w:cs="Arial"/>
                <w:bCs/>
                <w:iCs/>
                <w:sz w:val="20"/>
                <w:szCs w:val="20"/>
              </w:rPr>
            </w:pPr>
          </w:p>
        </w:tc>
        <w:tc>
          <w:tcPr>
            <w:tcW w:w="1899" w:type="dxa"/>
            <w:tcBorders>
              <w:bottom w:val="single" w:sz="4" w:space="0" w:color="auto"/>
            </w:tcBorders>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tc>
        <w:tc>
          <w:tcPr>
            <w:tcW w:w="2000" w:type="dxa"/>
            <w:tcBorders>
              <w:bottom w:val="single" w:sz="4" w:space="0" w:color="auto"/>
            </w:tcBorders>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OCAT prepared corresponding adjustment to reconcile the books of account with the inventory records of CGSO.</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The OCAT and CGSO now maintains prescribed inventory records (OCAT -Supplies Ledger Card, </w:t>
            </w:r>
            <w:r>
              <w:rPr>
                <w:rFonts w:ascii="Arial" w:hAnsi="Arial" w:cs="Arial"/>
                <w:sz w:val="20"/>
                <w:szCs w:val="20"/>
              </w:rPr>
              <w:lastRenderedPageBreak/>
              <w:t xml:space="preserve">Procurement Receipts Journal) (CGSO-Stock Card, Requisition and Issue Slip-Summary of Supplies and Materials Issued, Report of Supplies and Materials Issued, Report on </w:t>
            </w:r>
            <w:proofErr w:type="gramStart"/>
            <w:r>
              <w:rPr>
                <w:rFonts w:ascii="Arial" w:hAnsi="Arial" w:cs="Arial"/>
                <w:sz w:val="20"/>
                <w:szCs w:val="20"/>
              </w:rPr>
              <w:t>the  Physical</w:t>
            </w:r>
            <w:proofErr w:type="gramEnd"/>
            <w:r>
              <w:rPr>
                <w:rFonts w:ascii="Arial" w:hAnsi="Arial" w:cs="Arial"/>
                <w:sz w:val="20"/>
                <w:szCs w:val="20"/>
              </w:rPr>
              <w:t xml:space="preserve"> Count of Inventories) and reconciles it periodically.  </w:t>
            </w:r>
          </w:p>
          <w:p>
            <w:pPr>
              <w:pStyle w:val="NoSpacing"/>
              <w:contextualSpacing/>
              <w:jc w:val="both"/>
              <w:rPr>
                <w:rFonts w:ascii="Arial" w:hAnsi="Arial" w:cs="Arial"/>
                <w:sz w:val="20"/>
                <w:szCs w:val="20"/>
              </w:rPr>
            </w:pPr>
          </w:p>
        </w:tc>
        <w:tc>
          <w:tcPr>
            <w:tcW w:w="1842" w:type="dxa"/>
            <w:tcBorders>
              <w:bottom w:val="single" w:sz="4" w:space="0" w:color="auto"/>
            </w:tcBorders>
          </w:tcPr>
          <w:p>
            <w:pPr>
              <w:pStyle w:val="NoSpacing"/>
              <w:contextualSpacing/>
              <w:jc w:val="both"/>
              <w:rPr>
                <w:rFonts w:ascii="Arial" w:hAnsi="Arial" w:cs="Arial"/>
                <w:sz w:val="20"/>
                <w:szCs w:val="20"/>
              </w:rPr>
            </w:pPr>
          </w:p>
        </w:tc>
      </w:tr>
      <w:tr>
        <w:trPr>
          <w:trHeight w:val="70"/>
        </w:trPr>
        <w:tc>
          <w:tcPr>
            <w:tcW w:w="1525" w:type="dxa"/>
            <w:tcBorders>
              <w:bottom w:val="single" w:sz="4" w:space="0" w:color="auto"/>
            </w:tcBorders>
          </w:tcPr>
          <w:p>
            <w:pPr>
              <w:pStyle w:val="NoSpacing"/>
              <w:contextualSpacing/>
              <w:jc w:val="center"/>
              <w:rPr>
                <w:rFonts w:ascii="Arial" w:hAnsi="Arial" w:cs="Arial"/>
                <w:sz w:val="20"/>
                <w:szCs w:val="20"/>
              </w:rPr>
            </w:pPr>
            <w:r>
              <w:rPr>
                <w:rFonts w:ascii="Arial" w:hAnsi="Arial" w:cs="Arial"/>
                <w:sz w:val="20"/>
                <w:szCs w:val="20"/>
              </w:rPr>
              <w:t xml:space="preserve">CY 2022 </w:t>
            </w:r>
            <w:proofErr w:type="gramStart"/>
            <w:r>
              <w:rPr>
                <w:rFonts w:ascii="Arial" w:hAnsi="Arial" w:cs="Arial"/>
                <w:sz w:val="20"/>
                <w:szCs w:val="20"/>
              </w:rPr>
              <w:t>AAR,  Observation</w:t>
            </w:r>
            <w:proofErr w:type="gramEnd"/>
            <w:r>
              <w:rPr>
                <w:rFonts w:ascii="Arial" w:hAnsi="Arial" w:cs="Arial"/>
                <w:sz w:val="20"/>
                <w:szCs w:val="20"/>
              </w:rPr>
              <w:t xml:space="preserve"> No. 2,</w:t>
            </w:r>
          </w:p>
          <w:p>
            <w:pPr>
              <w:pStyle w:val="NoSpacing"/>
              <w:contextualSpacing/>
              <w:jc w:val="center"/>
              <w:rPr>
                <w:rFonts w:ascii="Arial" w:hAnsi="Arial" w:cs="Arial"/>
                <w:sz w:val="20"/>
                <w:szCs w:val="20"/>
              </w:rPr>
            </w:pPr>
            <w:r>
              <w:rPr>
                <w:rFonts w:ascii="Arial" w:hAnsi="Arial" w:cs="Arial"/>
                <w:sz w:val="20"/>
                <w:szCs w:val="20"/>
              </w:rPr>
              <w:t>Page 76</w:t>
            </w:r>
          </w:p>
        </w:tc>
        <w:tc>
          <w:tcPr>
            <w:tcW w:w="2525" w:type="dxa"/>
            <w:tcBorders>
              <w:bottom w:val="single" w:sz="4" w:space="0" w:color="auto"/>
            </w:tcBorders>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 xml:space="preserve">The accuracy and completeness of the Real Property Tax (RPT) and Special Education Tax (SET) Receivables and related Deferred Credit accounts as at year end of P11.388 billion, P5.941 billion and P4.791 billion, respectively, could not be established because access to the application system tracking these accounts was not granted to the Audit Team contrary to COA Circular No. 2020-010 dated </w:t>
            </w:r>
            <w:r>
              <w:rPr>
                <w:rFonts w:ascii="Arial" w:hAnsi="Arial" w:cs="Arial"/>
                <w:bCs/>
                <w:iCs/>
                <w:sz w:val="20"/>
                <w:szCs w:val="20"/>
              </w:rPr>
              <w:br/>
              <w:t>December 2, 2020.</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We recommended and Management agreed to provide the Audit Team access to the CTO application system that tracks the RPT and SET accounts.</w:t>
            </w:r>
          </w:p>
          <w:p>
            <w:pPr>
              <w:pStyle w:val="ListParagraph"/>
              <w:widowControl w:val="0"/>
              <w:overflowPunct w:val="0"/>
              <w:autoSpaceDE w:val="0"/>
              <w:autoSpaceDN w:val="0"/>
              <w:adjustRightInd w:val="0"/>
              <w:ind w:left="338"/>
              <w:jc w:val="both"/>
              <w:rPr>
                <w:rFonts w:ascii="Arial" w:hAnsi="Arial" w:cs="Arial"/>
                <w:bCs/>
                <w:iCs/>
                <w:sz w:val="20"/>
                <w:szCs w:val="20"/>
              </w:rPr>
            </w:pPr>
          </w:p>
        </w:tc>
        <w:tc>
          <w:tcPr>
            <w:tcW w:w="1899" w:type="dxa"/>
            <w:tcBorders>
              <w:bottom w:val="single" w:sz="4" w:space="0" w:color="auto"/>
            </w:tcBorders>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tc>
        <w:tc>
          <w:tcPr>
            <w:tcW w:w="2000" w:type="dxa"/>
            <w:tcBorders>
              <w:bottom w:val="single" w:sz="4" w:space="0" w:color="auto"/>
            </w:tcBorders>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management provided to the</w:t>
            </w:r>
          </w:p>
          <w:p>
            <w:pPr>
              <w:pStyle w:val="NoSpacing"/>
              <w:contextualSpacing/>
              <w:jc w:val="both"/>
              <w:rPr>
                <w:rFonts w:ascii="Arial" w:hAnsi="Arial" w:cs="Arial"/>
                <w:sz w:val="20"/>
                <w:szCs w:val="20"/>
              </w:rPr>
            </w:pPr>
            <w:r>
              <w:rPr>
                <w:rFonts w:ascii="Arial" w:hAnsi="Arial" w:cs="Arial"/>
                <w:sz w:val="20"/>
                <w:szCs w:val="20"/>
              </w:rPr>
              <w:t>Audit Team, the</w:t>
            </w:r>
          </w:p>
          <w:p>
            <w:pPr>
              <w:pStyle w:val="NoSpacing"/>
              <w:contextualSpacing/>
              <w:jc w:val="both"/>
              <w:rPr>
                <w:rFonts w:ascii="Arial" w:hAnsi="Arial" w:cs="Arial"/>
                <w:sz w:val="20"/>
                <w:szCs w:val="20"/>
              </w:rPr>
            </w:pPr>
            <w:r>
              <w:rPr>
                <w:rFonts w:ascii="Arial" w:hAnsi="Arial" w:cs="Arial"/>
                <w:sz w:val="20"/>
                <w:szCs w:val="20"/>
              </w:rPr>
              <w:t>access to the</w:t>
            </w:r>
          </w:p>
          <w:p>
            <w:pPr>
              <w:pStyle w:val="NoSpacing"/>
              <w:contextualSpacing/>
              <w:jc w:val="both"/>
              <w:rPr>
                <w:rFonts w:ascii="Arial" w:hAnsi="Arial" w:cs="Arial"/>
                <w:sz w:val="20"/>
                <w:szCs w:val="20"/>
              </w:rPr>
            </w:pPr>
            <w:r>
              <w:rPr>
                <w:rFonts w:ascii="Arial" w:hAnsi="Arial" w:cs="Arial"/>
                <w:sz w:val="20"/>
                <w:szCs w:val="20"/>
              </w:rPr>
              <w:t>application system</w:t>
            </w:r>
          </w:p>
          <w:p>
            <w:pPr>
              <w:pStyle w:val="NoSpacing"/>
              <w:contextualSpacing/>
              <w:jc w:val="both"/>
              <w:rPr>
                <w:rFonts w:ascii="Arial" w:hAnsi="Arial" w:cs="Arial"/>
                <w:sz w:val="20"/>
                <w:szCs w:val="20"/>
              </w:rPr>
            </w:pPr>
            <w:r>
              <w:rPr>
                <w:rFonts w:ascii="Arial" w:hAnsi="Arial" w:cs="Arial"/>
                <w:sz w:val="20"/>
                <w:szCs w:val="20"/>
              </w:rPr>
              <w:t>that tracks the RPT</w:t>
            </w:r>
          </w:p>
          <w:p>
            <w:pPr>
              <w:pStyle w:val="NoSpacing"/>
              <w:contextualSpacing/>
              <w:jc w:val="both"/>
              <w:rPr>
                <w:rFonts w:ascii="Arial" w:hAnsi="Arial" w:cs="Arial"/>
                <w:sz w:val="20"/>
                <w:szCs w:val="20"/>
              </w:rPr>
            </w:pPr>
            <w:r>
              <w:rPr>
                <w:rFonts w:ascii="Arial" w:hAnsi="Arial" w:cs="Arial"/>
                <w:sz w:val="20"/>
                <w:szCs w:val="20"/>
              </w:rPr>
              <w:t>and SET accounts.</w:t>
            </w:r>
          </w:p>
        </w:tc>
        <w:tc>
          <w:tcPr>
            <w:tcW w:w="1842" w:type="dxa"/>
            <w:tcBorders>
              <w:bottom w:val="single" w:sz="4" w:space="0" w:color="auto"/>
            </w:tcBorders>
          </w:tcPr>
          <w:p>
            <w:pPr>
              <w:pStyle w:val="NoSpacing"/>
              <w:contextualSpacing/>
              <w:jc w:val="both"/>
              <w:rPr>
                <w:rFonts w:ascii="Arial" w:hAnsi="Arial" w:cs="Arial"/>
                <w:sz w:val="20"/>
                <w:szCs w:val="20"/>
              </w:rPr>
            </w:pPr>
          </w:p>
        </w:tc>
      </w:tr>
      <w:tr>
        <w:trPr>
          <w:trHeight w:val="70"/>
        </w:trPr>
        <w:tc>
          <w:tcPr>
            <w:tcW w:w="1525" w:type="dxa"/>
            <w:tcBorders>
              <w:bottom w:val="single" w:sz="4" w:space="0" w:color="auto"/>
            </w:tcBorders>
          </w:tcPr>
          <w:p>
            <w:pPr>
              <w:pStyle w:val="NoSpacing"/>
              <w:contextualSpacing/>
              <w:jc w:val="center"/>
              <w:rPr>
                <w:rFonts w:ascii="Arial" w:hAnsi="Arial" w:cs="Arial"/>
                <w:sz w:val="20"/>
                <w:szCs w:val="20"/>
              </w:rPr>
            </w:pPr>
            <w:r>
              <w:rPr>
                <w:rFonts w:ascii="Arial" w:hAnsi="Arial" w:cs="Arial"/>
                <w:sz w:val="20"/>
                <w:szCs w:val="20"/>
              </w:rPr>
              <w:t xml:space="preserve">CY 2022 </w:t>
            </w:r>
            <w:proofErr w:type="gramStart"/>
            <w:r>
              <w:rPr>
                <w:rFonts w:ascii="Arial" w:hAnsi="Arial" w:cs="Arial"/>
                <w:sz w:val="20"/>
                <w:szCs w:val="20"/>
              </w:rPr>
              <w:t>AAR,  Observation</w:t>
            </w:r>
            <w:proofErr w:type="gramEnd"/>
            <w:r>
              <w:rPr>
                <w:rFonts w:ascii="Arial" w:hAnsi="Arial" w:cs="Arial"/>
                <w:sz w:val="20"/>
                <w:szCs w:val="20"/>
              </w:rPr>
              <w:t xml:space="preserve"> No. 3,</w:t>
            </w:r>
          </w:p>
          <w:p>
            <w:pPr>
              <w:pStyle w:val="NoSpacing"/>
              <w:contextualSpacing/>
              <w:jc w:val="center"/>
              <w:rPr>
                <w:rFonts w:ascii="Arial" w:hAnsi="Arial" w:cs="Arial"/>
                <w:sz w:val="20"/>
                <w:szCs w:val="20"/>
              </w:rPr>
            </w:pPr>
            <w:r>
              <w:rPr>
                <w:rFonts w:ascii="Arial" w:hAnsi="Arial" w:cs="Arial"/>
                <w:sz w:val="20"/>
                <w:szCs w:val="20"/>
              </w:rPr>
              <w:t>Page 77</w:t>
            </w:r>
          </w:p>
        </w:tc>
        <w:tc>
          <w:tcPr>
            <w:tcW w:w="2525" w:type="dxa"/>
            <w:tcBorders>
              <w:bottom w:val="single" w:sz="4" w:space="0" w:color="auto"/>
            </w:tcBorders>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 xml:space="preserve">Accounts Payable (AP) totaling </w:t>
            </w:r>
            <w:r>
              <w:rPr>
                <w:rFonts w:ascii="Arial" w:hAnsi="Arial" w:cs="Arial"/>
                <w:bCs/>
                <w:iCs/>
                <w:sz w:val="20"/>
                <w:szCs w:val="20"/>
              </w:rPr>
              <w:br/>
              <w:t xml:space="preserve">P2.015 billion were not supported with the subsidiary ledger (SL) of each creditor containing the prescribed accounting details that provide an </w:t>
            </w:r>
            <w:r>
              <w:rPr>
                <w:rFonts w:ascii="Arial" w:hAnsi="Arial" w:cs="Arial"/>
                <w:bCs/>
                <w:iCs/>
                <w:sz w:val="20"/>
                <w:szCs w:val="20"/>
              </w:rPr>
              <w:lastRenderedPageBreak/>
              <w:t>audit trail contrary Section 12, Volume II, Government Accounting Manual for Local Government Units (GAM for LGUs), thus, limiting the audit of this account and foregoing the benefit of timely detection of errors.</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We recommended and Management agreed that OCAT:</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1"/>
                <w:numId w:val="1"/>
              </w:numPr>
              <w:overflowPunct w:val="0"/>
              <w:autoSpaceDE w:val="0"/>
              <w:autoSpaceDN w:val="0"/>
              <w:adjustRightInd w:val="0"/>
              <w:ind w:left="636" w:hanging="283"/>
              <w:jc w:val="both"/>
              <w:rPr>
                <w:rFonts w:ascii="Arial" w:hAnsi="Arial" w:cs="Arial"/>
                <w:bCs/>
                <w:iCs/>
                <w:sz w:val="20"/>
                <w:szCs w:val="20"/>
              </w:rPr>
            </w:pPr>
            <w:r>
              <w:rPr>
                <w:rFonts w:ascii="Arial" w:hAnsi="Arial" w:cs="Arial"/>
                <w:bCs/>
                <w:iCs/>
                <w:sz w:val="20"/>
                <w:szCs w:val="20"/>
              </w:rPr>
              <w:t>Submit to the Audit Team the details/ breakdown of beginning balances of the AP; and</w:t>
            </w:r>
          </w:p>
          <w:p>
            <w:pPr>
              <w:pStyle w:val="ListParagraph"/>
              <w:widowControl w:val="0"/>
              <w:overflowPunct w:val="0"/>
              <w:autoSpaceDE w:val="0"/>
              <w:autoSpaceDN w:val="0"/>
              <w:adjustRightInd w:val="0"/>
              <w:ind w:left="636"/>
              <w:jc w:val="both"/>
              <w:rPr>
                <w:rFonts w:ascii="Arial" w:hAnsi="Arial" w:cs="Arial"/>
                <w:bCs/>
                <w:iCs/>
                <w:sz w:val="20"/>
                <w:szCs w:val="20"/>
              </w:rPr>
            </w:pPr>
          </w:p>
          <w:p>
            <w:pPr>
              <w:pStyle w:val="ListParagraph"/>
              <w:widowControl w:val="0"/>
              <w:numPr>
                <w:ilvl w:val="1"/>
                <w:numId w:val="1"/>
              </w:numPr>
              <w:overflowPunct w:val="0"/>
              <w:autoSpaceDE w:val="0"/>
              <w:autoSpaceDN w:val="0"/>
              <w:adjustRightInd w:val="0"/>
              <w:ind w:left="636" w:hanging="283"/>
              <w:jc w:val="both"/>
              <w:rPr>
                <w:rFonts w:ascii="Arial" w:hAnsi="Arial" w:cs="Arial"/>
                <w:bCs/>
                <w:iCs/>
                <w:sz w:val="20"/>
                <w:szCs w:val="20"/>
              </w:rPr>
            </w:pPr>
            <w:r>
              <w:rPr>
                <w:rFonts w:ascii="Arial" w:hAnsi="Arial" w:cs="Arial"/>
                <w:bCs/>
                <w:iCs/>
                <w:sz w:val="20"/>
                <w:szCs w:val="20"/>
              </w:rPr>
              <w:t>Maintain individual SL for each creditor in order to determine the balance of AP of each creditor at a certain period and for effective monitoring of the account.</w:t>
            </w:r>
          </w:p>
          <w:p>
            <w:pPr>
              <w:pStyle w:val="ListParagraph"/>
              <w:widowControl w:val="0"/>
              <w:overflowPunct w:val="0"/>
              <w:autoSpaceDE w:val="0"/>
              <w:autoSpaceDN w:val="0"/>
              <w:adjustRightInd w:val="0"/>
              <w:ind w:left="636"/>
              <w:jc w:val="both"/>
              <w:rPr>
                <w:rFonts w:ascii="Arial" w:hAnsi="Arial" w:cs="Arial"/>
                <w:bCs/>
                <w:iCs/>
                <w:sz w:val="20"/>
                <w:szCs w:val="20"/>
              </w:rPr>
            </w:pPr>
          </w:p>
        </w:tc>
        <w:tc>
          <w:tcPr>
            <w:tcW w:w="1899" w:type="dxa"/>
            <w:tcBorders>
              <w:bottom w:val="single" w:sz="4" w:space="0" w:color="auto"/>
            </w:tcBorders>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tc>
        <w:tc>
          <w:tcPr>
            <w:tcW w:w="2000" w:type="dxa"/>
            <w:tcBorders>
              <w:bottom w:val="single" w:sz="4" w:space="0" w:color="auto"/>
            </w:tcBorders>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OCAT now maintains Accounts Payable monitoring that corresponds the balance amount in GL.</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OCAT now maintains Accounts Payable monitoring that corresponds the balance amount in GL.</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Details of transactions per Supplier can now be accessed to our accounting software application </w:t>
            </w:r>
            <w:proofErr w:type="spellStart"/>
            <w:r>
              <w:rPr>
                <w:rFonts w:ascii="Arial" w:hAnsi="Arial" w:cs="Arial"/>
                <w:sz w:val="20"/>
                <w:szCs w:val="20"/>
              </w:rPr>
              <w:t>iSmart</w:t>
            </w:r>
            <w:proofErr w:type="spellEnd"/>
            <w:r>
              <w:rPr>
                <w:rFonts w:ascii="Arial" w:hAnsi="Arial" w:cs="Arial"/>
                <w:sz w:val="20"/>
                <w:szCs w:val="20"/>
              </w:rPr>
              <w:t>.</w:t>
            </w:r>
          </w:p>
          <w:p>
            <w:pPr>
              <w:pStyle w:val="NoSpacing"/>
              <w:contextualSpacing/>
              <w:jc w:val="both"/>
              <w:rPr>
                <w:rFonts w:ascii="Arial" w:hAnsi="Arial" w:cs="Arial"/>
                <w:sz w:val="20"/>
                <w:szCs w:val="20"/>
              </w:rPr>
            </w:pPr>
          </w:p>
        </w:tc>
        <w:tc>
          <w:tcPr>
            <w:tcW w:w="1842" w:type="dxa"/>
            <w:tcBorders>
              <w:bottom w:val="single" w:sz="4" w:space="0" w:color="auto"/>
            </w:tcBorders>
          </w:tcPr>
          <w:p>
            <w:pPr>
              <w:pStyle w:val="NoSpacing"/>
              <w:contextualSpacing/>
              <w:jc w:val="both"/>
              <w:rPr>
                <w:rFonts w:ascii="Arial" w:hAnsi="Arial" w:cs="Arial"/>
                <w:sz w:val="20"/>
                <w:szCs w:val="20"/>
              </w:rPr>
            </w:pPr>
          </w:p>
        </w:tc>
      </w:tr>
      <w:tr>
        <w:trPr>
          <w:trHeight w:val="70"/>
        </w:trPr>
        <w:tc>
          <w:tcPr>
            <w:tcW w:w="1525" w:type="dxa"/>
            <w:tcBorders>
              <w:bottom w:val="single" w:sz="4" w:space="0" w:color="auto"/>
            </w:tcBorders>
          </w:tcPr>
          <w:p>
            <w:pPr>
              <w:pStyle w:val="NoSpacing"/>
              <w:contextualSpacing/>
              <w:jc w:val="center"/>
              <w:rPr>
                <w:rFonts w:ascii="Arial" w:hAnsi="Arial" w:cs="Arial"/>
                <w:sz w:val="20"/>
                <w:szCs w:val="20"/>
              </w:rPr>
            </w:pPr>
            <w:r>
              <w:rPr>
                <w:rFonts w:ascii="Arial" w:hAnsi="Arial" w:cs="Arial"/>
                <w:sz w:val="20"/>
                <w:szCs w:val="20"/>
              </w:rPr>
              <w:t xml:space="preserve">CY 2022 </w:t>
            </w:r>
            <w:proofErr w:type="gramStart"/>
            <w:r>
              <w:rPr>
                <w:rFonts w:ascii="Arial" w:hAnsi="Arial" w:cs="Arial"/>
                <w:sz w:val="20"/>
                <w:szCs w:val="20"/>
              </w:rPr>
              <w:t>AAR,  Observation</w:t>
            </w:r>
            <w:proofErr w:type="gramEnd"/>
            <w:r>
              <w:rPr>
                <w:rFonts w:ascii="Arial" w:hAnsi="Arial" w:cs="Arial"/>
                <w:sz w:val="20"/>
                <w:szCs w:val="20"/>
              </w:rPr>
              <w:t xml:space="preserve"> No. 4,</w:t>
            </w:r>
          </w:p>
          <w:p>
            <w:pPr>
              <w:pStyle w:val="NoSpacing"/>
              <w:contextualSpacing/>
              <w:jc w:val="center"/>
              <w:rPr>
                <w:rFonts w:ascii="Arial" w:hAnsi="Arial" w:cs="Arial"/>
                <w:sz w:val="20"/>
                <w:szCs w:val="20"/>
              </w:rPr>
            </w:pPr>
            <w:r>
              <w:rPr>
                <w:rFonts w:ascii="Arial" w:hAnsi="Arial" w:cs="Arial"/>
                <w:sz w:val="20"/>
                <w:szCs w:val="20"/>
              </w:rPr>
              <w:t>Page 78</w:t>
            </w:r>
          </w:p>
        </w:tc>
        <w:tc>
          <w:tcPr>
            <w:tcW w:w="2525" w:type="dxa"/>
            <w:tcBorders>
              <w:bottom w:val="single" w:sz="4" w:space="0" w:color="auto"/>
            </w:tcBorders>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 xml:space="preserve">Hospital Charges (HC) collected from Philippine Health Insurance Corporation (PhilHealth) amounting to P550.494 million remained unutilized as at year-end. This works against achieving the purpose of the HC of investing on health infrastructures or equipment, professional fees (PF), drugs and supplies, or health information </w:t>
            </w:r>
            <w:r>
              <w:rPr>
                <w:rFonts w:ascii="Arial" w:hAnsi="Arial" w:cs="Arial"/>
                <w:bCs/>
                <w:iCs/>
                <w:sz w:val="20"/>
                <w:szCs w:val="20"/>
              </w:rPr>
              <w:lastRenderedPageBreak/>
              <w:t xml:space="preserve">technology and database, as provided in Section 49 of Republic Act (RA) </w:t>
            </w:r>
            <w:r>
              <w:rPr>
                <w:rFonts w:ascii="Arial" w:hAnsi="Arial" w:cs="Arial"/>
                <w:bCs/>
                <w:iCs/>
                <w:sz w:val="20"/>
                <w:szCs w:val="20"/>
              </w:rPr>
              <w:br/>
              <w:t>No. 10606.</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We recommended that Management:</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1"/>
                <w:numId w:val="1"/>
              </w:numPr>
              <w:overflowPunct w:val="0"/>
              <w:autoSpaceDE w:val="0"/>
              <w:autoSpaceDN w:val="0"/>
              <w:adjustRightInd w:val="0"/>
              <w:ind w:left="636" w:hanging="283"/>
              <w:jc w:val="both"/>
              <w:rPr>
                <w:rFonts w:ascii="Arial" w:hAnsi="Arial" w:cs="Arial"/>
                <w:bCs/>
                <w:iCs/>
                <w:sz w:val="20"/>
                <w:szCs w:val="20"/>
              </w:rPr>
            </w:pPr>
            <w:r>
              <w:rPr>
                <w:rFonts w:ascii="Arial" w:hAnsi="Arial" w:cs="Arial"/>
                <w:bCs/>
                <w:iCs/>
                <w:sz w:val="20"/>
                <w:szCs w:val="20"/>
              </w:rPr>
              <w:t>Direct the management of the City’s six district hospitals to submit to the OCAT the monthly report itemizing the bills for HC and PF together with the underlying documents; and</w:t>
            </w:r>
          </w:p>
          <w:p>
            <w:pPr>
              <w:pStyle w:val="ListParagraph"/>
              <w:widowControl w:val="0"/>
              <w:overflowPunct w:val="0"/>
              <w:autoSpaceDE w:val="0"/>
              <w:autoSpaceDN w:val="0"/>
              <w:adjustRightInd w:val="0"/>
              <w:ind w:left="636"/>
              <w:jc w:val="both"/>
              <w:rPr>
                <w:rFonts w:ascii="Arial" w:hAnsi="Arial" w:cs="Arial"/>
                <w:bCs/>
                <w:iCs/>
                <w:sz w:val="20"/>
                <w:szCs w:val="20"/>
              </w:rPr>
            </w:pPr>
          </w:p>
          <w:p>
            <w:pPr>
              <w:pStyle w:val="ListParagraph"/>
              <w:widowControl w:val="0"/>
              <w:numPr>
                <w:ilvl w:val="1"/>
                <w:numId w:val="1"/>
              </w:numPr>
              <w:overflowPunct w:val="0"/>
              <w:autoSpaceDE w:val="0"/>
              <w:autoSpaceDN w:val="0"/>
              <w:adjustRightInd w:val="0"/>
              <w:ind w:left="636" w:hanging="283"/>
              <w:jc w:val="both"/>
              <w:rPr>
                <w:rFonts w:ascii="Arial" w:hAnsi="Arial" w:cs="Arial"/>
                <w:bCs/>
                <w:iCs/>
                <w:sz w:val="20"/>
                <w:szCs w:val="20"/>
              </w:rPr>
            </w:pPr>
            <w:r>
              <w:rPr>
                <w:rFonts w:ascii="Arial" w:hAnsi="Arial" w:cs="Arial"/>
                <w:bCs/>
                <w:iCs/>
                <w:sz w:val="20"/>
                <w:szCs w:val="20"/>
              </w:rPr>
              <w:t>Improve significantly the utilization of the HC.</w:t>
            </w:r>
          </w:p>
        </w:tc>
        <w:tc>
          <w:tcPr>
            <w:tcW w:w="1899" w:type="dxa"/>
            <w:tcBorders>
              <w:bottom w:val="single" w:sz="4" w:space="0" w:color="auto"/>
            </w:tcBorders>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tc>
        <w:tc>
          <w:tcPr>
            <w:tcW w:w="2000" w:type="dxa"/>
            <w:tcBorders>
              <w:bottom w:val="single" w:sz="4" w:space="0" w:color="auto"/>
            </w:tcBorders>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OCAT has submitted the monthly report itemizing the bills for HC and PF including the supporting documents.</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Submitted Fund Utilization Report which shows that as of April 25, 2024, the District Hospitals utilized amounting P508,614,166.10 or 75.73 percent of the total beginning balance of the HC.</w:t>
            </w:r>
          </w:p>
          <w:p>
            <w:pPr>
              <w:pStyle w:val="NoSpacing"/>
              <w:contextualSpacing/>
              <w:jc w:val="both"/>
              <w:rPr>
                <w:rFonts w:ascii="Arial" w:hAnsi="Arial" w:cs="Arial"/>
                <w:sz w:val="20"/>
                <w:szCs w:val="20"/>
              </w:rPr>
            </w:pPr>
          </w:p>
        </w:tc>
        <w:tc>
          <w:tcPr>
            <w:tcW w:w="1842" w:type="dxa"/>
            <w:tcBorders>
              <w:bottom w:val="single" w:sz="4" w:space="0" w:color="auto"/>
            </w:tcBorders>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tc>
      </w:tr>
      <w:tr>
        <w:trPr>
          <w:trHeight w:val="70"/>
        </w:trPr>
        <w:tc>
          <w:tcPr>
            <w:tcW w:w="1525" w:type="dxa"/>
            <w:tcBorders>
              <w:bottom w:val="single" w:sz="4" w:space="0" w:color="auto"/>
            </w:tcBorders>
          </w:tcPr>
          <w:p>
            <w:pPr>
              <w:pStyle w:val="NoSpacing"/>
              <w:contextualSpacing/>
              <w:jc w:val="center"/>
              <w:rPr>
                <w:rFonts w:ascii="Arial" w:hAnsi="Arial" w:cs="Arial"/>
                <w:sz w:val="20"/>
                <w:szCs w:val="20"/>
              </w:rPr>
            </w:pPr>
            <w:r>
              <w:rPr>
                <w:rFonts w:ascii="Arial" w:hAnsi="Arial" w:cs="Arial"/>
                <w:sz w:val="20"/>
                <w:szCs w:val="20"/>
              </w:rPr>
              <w:lastRenderedPageBreak/>
              <w:t xml:space="preserve">CY 2022 </w:t>
            </w:r>
            <w:proofErr w:type="gramStart"/>
            <w:r>
              <w:rPr>
                <w:rFonts w:ascii="Arial" w:hAnsi="Arial" w:cs="Arial"/>
                <w:sz w:val="20"/>
                <w:szCs w:val="20"/>
              </w:rPr>
              <w:t>AAR,  Observation</w:t>
            </w:r>
            <w:proofErr w:type="gramEnd"/>
            <w:r>
              <w:rPr>
                <w:rFonts w:ascii="Arial" w:hAnsi="Arial" w:cs="Arial"/>
                <w:sz w:val="20"/>
                <w:szCs w:val="20"/>
              </w:rPr>
              <w:t xml:space="preserve"> No. 5,</w:t>
            </w:r>
          </w:p>
          <w:p>
            <w:pPr>
              <w:pStyle w:val="NoSpacing"/>
              <w:contextualSpacing/>
              <w:jc w:val="center"/>
              <w:rPr>
                <w:rFonts w:ascii="Arial" w:hAnsi="Arial" w:cs="Arial"/>
                <w:sz w:val="20"/>
                <w:szCs w:val="20"/>
              </w:rPr>
            </w:pPr>
            <w:r>
              <w:rPr>
                <w:rFonts w:ascii="Arial" w:hAnsi="Arial" w:cs="Arial"/>
                <w:sz w:val="20"/>
                <w:szCs w:val="20"/>
              </w:rPr>
              <w:t>Page 79</w:t>
            </w:r>
          </w:p>
        </w:tc>
        <w:tc>
          <w:tcPr>
            <w:tcW w:w="2525" w:type="dxa"/>
            <w:tcBorders>
              <w:bottom w:val="single" w:sz="4" w:space="0" w:color="auto"/>
            </w:tcBorders>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 xml:space="preserve">The City has not implemented 43 out of the total 188 essential Gender and Development (GAD) Programs/Projects/Activities (PPAs) contrary to Philippine Commission on Women (PCW), Department of Interior and Local Government (DILG), Department of Budget and Management (DBM) and National Economic Development Authority (NEDA) Joint Memorandum Circular (JMC) </w:t>
            </w:r>
            <w:r>
              <w:rPr>
                <w:rFonts w:ascii="Arial" w:hAnsi="Arial" w:cs="Arial"/>
                <w:bCs/>
                <w:iCs/>
                <w:sz w:val="20"/>
                <w:szCs w:val="20"/>
              </w:rPr>
              <w:br/>
              <w:t xml:space="preserve">No. 2013-01 dated July 18, 2013, thus, </w:t>
            </w:r>
            <w:r>
              <w:rPr>
                <w:rFonts w:ascii="Arial" w:hAnsi="Arial" w:cs="Arial"/>
                <w:bCs/>
                <w:iCs/>
                <w:sz w:val="20"/>
                <w:szCs w:val="20"/>
              </w:rPr>
              <w:lastRenderedPageBreak/>
              <w:t>bypassed the timely realization of the benefits expected therefrom.</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 xml:space="preserve">We recommended and Management agreed that the GFPS implement a catch-up plan for the </w:t>
            </w:r>
            <w:r>
              <w:rPr>
                <w:rFonts w:ascii="Arial" w:hAnsi="Arial" w:cs="Arial"/>
                <w:bCs/>
                <w:iCs/>
                <w:sz w:val="20"/>
                <w:szCs w:val="20"/>
              </w:rPr>
              <w:br/>
              <w:t>43 unimplemented GAD PPAs.</w:t>
            </w:r>
          </w:p>
          <w:p>
            <w:pPr>
              <w:pStyle w:val="ListParagraph"/>
              <w:widowControl w:val="0"/>
              <w:overflowPunct w:val="0"/>
              <w:autoSpaceDE w:val="0"/>
              <w:autoSpaceDN w:val="0"/>
              <w:adjustRightInd w:val="0"/>
              <w:ind w:left="338"/>
              <w:jc w:val="both"/>
              <w:rPr>
                <w:rFonts w:ascii="Arial" w:hAnsi="Arial" w:cs="Arial"/>
                <w:bCs/>
                <w:iCs/>
                <w:sz w:val="20"/>
                <w:szCs w:val="20"/>
              </w:rPr>
            </w:pPr>
          </w:p>
        </w:tc>
        <w:tc>
          <w:tcPr>
            <w:tcW w:w="1899" w:type="dxa"/>
            <w:tcBorders>
              <w:bottom w:val="single" w:sz="4" w:space="0" w:color="auto"/>
            </w:tcBorders>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tc>
        <w:tc>
          <w:tcPr>
            <w:tcW w:w="2000" w:type="dxa"/>
            <w:tcBorders>
              <w:bottom w:val="single" w:sz="4" w:space="0" w:color="auto"/>
            </w:tcBorders>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The unimplemented GAD PPAs for </w:t>
            </w:r>
            <w:r>
              <w:rPr>
                <w:rFonts w:ascii="Arial" w:hAnsi="Arial" w:cs="Arial"/>
                <w:sz w:val="20"/>
                <w:szCs w:val="20"/>
              </w:rPr>
              <w:br/>
              <w:t>CY 2022 were already included in the GPB which are to be implemented in CY 2024.</w:t>
            </w:r>
          </w:p>
          <w:p>
            <w:pPr>
              <w:pStyle w:val="NoSpacing"/>
              <w:contextualSpacing/>
              <w:jc w:val="both"/>
              <w:rPr>
                <w:rFonts w:ascii="Arial" w:hAnsi="Arial" w:cs="Arial"/>
                <w:sz w:val="20"/>
                <w:szCs w:val="20"/>
              </w:rPr>
            </w:pPr>
          </w:p>
        </w:tc>
        <w:tc>
          <w:tcPr>
            <w:tcW w:w="1842" w:type="dxa"/>
            <w:tcBorders>
              <w:bottom w:val="single" w:sz="4" w:space="0" w:color="auto"/>
            </w:tcBorders>
          </w:tcPr>
          <w:p>
            <w:pPr>
              <w:pStyle w:val="NoSpacing"/>
              <w:contextualSpacing/>
              <w:jc w:val="both"/>
              <w:rPr>
                <w:rFonts w:ascii="Arial" w:hAnsi="Arial" w:cs="Arial"/>
                <w:sz w:val="20"/>
                <w:szCs w:val="20"/>
              </w:rPr>
            </w:pPr>
          </w:p>
        </w:tc>
      </w:tr>
      <w:tr>
        <w:trPr>
          <w:trHeight w:val="2537"/>
        </w:trPr>
        <w:tc>
          <w:tcPr>
            <w:tcW w:w="1525" w:type="dxa"/>
            <w:tcBorders>
              <w:bottom w:val="single" w:sz="4" w:space="0" w:color="auto"/>
            </w:tcBorders>
          </w:tcPr>
          <w:p>
            <w:pPr>
              <w:pStyle w:val="NoSpacing"/>
              <w:contextualSpacing/>
              <w:jc w:val="center"/>
              <w:rPr>
                <w:rFonts w:ascii="Arial" w:hAnsi="Arial" w:cs="Arial"/>
                <w:sz w:val="20"/>
                <w:szCs w:val="20"/>
              </w:rPr>
            </w:pPr>
            <w:r>
              <w:rPr>
                <w:rFonts w:ascii="Arial" w:hAnsi="Arial" w:cs="Arial"/>
                <w:sz w:val="20"/>
                <w:szCs w:val="20"/>
              </w:rPr>
              <w:t xml:space="preserve">CY 2022 </w:t>
            </w:r>
            <w:proofErr w:type="gramStart"/>
            <w:r>
              <w:rPr>
                <w:rFonts w:ascii="Arial" w:hAnsi="Arial" w:cs="Arial"/>
                <w:sz w:val="20"/>
                <w:szCs w:val="20"/>
              </w:rPr>
              <w:t>AAR,  Observation</w:t>
            </w:r>
            <w:proofErr w:type="gramEnd"/>
            <w:r>
              <w:rPr>
                <w:rFonts w:ascii="Arial" w:hAnsi="Arial" w:cs="Arial"/>
                <w:sz w:val="20"/>
                <w:szCs w:val="20"/>
              </w:rPr>
              <w:t xml:space="preserve"> No. 6,</w:t>
            </w:r>
          </w:p>
          <w:p>
            <w:pPr>
              <w:pStyle w:val="NoSpacing"/>
              <w:contextualSpacing/>
              <w:jc w:val="center"/>
              <w:rPr>
                <w:rFonts w:ascii="Arial" w:hAnsi="Arial" w:cs="Arial"/>
                <w:sz w:val="20"/>
                <w:szCs w:val="20"/>
              </w:rPr>
            </w:pPr>
            <w:r>
              <w:rPr>
                <w:rFonts w:ascii="Arial" w:hAnsi="Arial" w:cs="Arial"/>
                <w:sz w:val="20"/>
                <w:szCs w:val="20"/>
              </w:rPr>
              <w:t>Page 81</w:t>
            </w:r>
          </w:p>
        </w:tc>
        <w:tc>
          <w:tcPr>
            <w:tcW w:w="2525" w:type="dxa"/>
            <w:tcBorders>
              <w:bottom w:val="single" w:sz="4" w:space="0" w:color="auto"/>
            </w:tcBorders>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The City has not remitted P393.564 million representing the amounts withheld as of December 31, 2022 for the accounts of the BIR, GSIS, Pag-IBIG and PhilHealth, contrary to the appertaining legal prescriptions.</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 xml:space="preserve">We reiterated our recommendation that Management direct the OCAT and CTO to remit the </w:t>
            </w:r>
            <w:r>
              <w:rPr>
                <w:rFonts w:ascii="Arial" w:hAnsi="Arial" w:cs="Arial"/>
                <w:bCs/>
                <w:iCs/>
                <w:sz w:val="20"/>
                <w:szCs w:val="20"/>
              </w:rPr>
              <w:br/>
              <w:t xml:space="preserve">P393.564 million to the BIR, GSIS, </w:t>
            </w:r>
            <w:r>
              <w:rPr>
                <w:rFonts w:ascii="Arial" w:hAnsi="Arial" w:cs="Arial"/>
                <w:bCs/>
                <w:iCs/>
                <w:sz w:val="20"/>
                <w:szCs w:val="20"/>
              </w:rPr>
              <w:br/>
              <w:t>Pag-IBIG and PhilHealth without further delay.</w:t>
            </w:r>
          </w:p>
          <w:p>
            <w:pPr>
              <w:pStyle w:val="ListParagraph"/>
              <w:widowControl w:val="0"/>
              <w:overflowPunct w:val="0"/>
              <w:autoSpaceDE w:val="0"/>
              <w:autoSpaceDN w:val="0"/>
              <w:adjustRightInd w:val="0"/>
              <w:ind w:left="338"/>
              <w:jc w:val="both"/>
              <w:rPr>
                <w:rFonts w:ascii="Arial" w:hAnsi="Arial" w:cs="Arial"/>
                <w:bCs/>
                <w:iCs/>
                <w:sz w:val="20"/>
                <w:szCs w:val="20"/>
              </w:rPr>
            </w:pPr>
          </w:p>
        </w:tc>
        <w:tc>
          <w:tcPr>
            <w:tcW w:w="1899" w:type="dxa"/>
            <w:tcBorders>
              <w:bottom w:val="single" w:sz="4" w:space="0" w:color="auto"/>
            </w:tcBorders>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Unimplemented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 xml:space="preserve">Reiterated in </w:t>
            </w:r>
            <w:r>
              <w:rPr>
                <w:rFonts w:ascii="Arial" w:hAnsi="Arial" w:cs="Arial"/>
                <w:sz w:val="20"/>
                <w:szCs w:val="20"/>
              </w:rPr>
              <w:br/>
              <w:t>Part II, Observation No. 5, Page 84</w:t>
            </w:r>
          </w:p>
        </w:tc>
        <w:tc>
          <w:tcPr>
            <w:tcW w:w="2000" w:type="dxa"/>
            <w:tcBorders>
              <w:bottom w:val="single" w:sz="4" w:space="0" w:color="auto"/>
            </w:tcBorders>
          </w:tcPr>
          <w:p>
            <w:pPr>
              <w:pStyle w:val="NoSpacing"/>
              <w:contextualSpacing/>
              <w:jc w:val="both"/>
              <w:rPr>
                <w:rFonts w:ascii="Arial" w:hAnsi="Arial" w:cs="Arial"/>
                <w:sz w:val="20"/>
                <w:szCs w:val="20"/>
              </w:rPr>
            </w:pPr>
          </w:p>
        </w:tc>
        <w:tc>
          <w:tcPr>
            <w:tcW w:w="1842" w:type="dxa"/>
            <w:tcBorders>
              <w:bottom w:val="single" w:sz="4" w:space="0" w:color="auto"/>
            </w:tcBorders>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The City of Manila is yet to remit to the BIR, GSIS, Pag-IBIG, and PhilHealth the total amount of P472.416 million as of </w:t>
            </w:r>
          </w:p>
          <w:p>
            <w:pPr>
              <w:pStyle w:val="NoSpacing"/>
              <w:contextualSpacing/>
              <w:jc w:val="both"/>
              <w:rPr>
                <w:rFonts w:ascii="Arial" w:hAnsi="Arial" w:cs="Arial"/>
                <w:sz w:val="20"/>
                <w:szCs w:val="20"/>
              </w:rPr>
            </w:pPr>
            <w:r>
              <w:rPr>
                <w:rFonts w:ascii="Arial" w:hAnsi="Arial" w:cs="Arial"/>
                <w:sz w:val="20"/>
                <w:szCs w:val="20"/>
              </w:rPr>
              <w:t>January 31, 2024.</w:t>
            </w:r>
          </w:p>
          <w:p>
            <w:pPr>
              <w:pStyle w:val="NoSpacing"/>
              <w:contextualSpacing/>
              <w:jc w:val="both"/>
              <w:rPr>
                <w:rFonts w:ascii="Arial" w:hAnsi="Arial" w:cs="Arial"/>
                <w:sz w:val="20"/>
                <w:szCs w:val="20"/>
              </w:rPr>
            </w:pPr>
          </w:p>
        </w:tc>
      </w:tr>
      <w:tr>
        <w:trPr>
          <w:trHeight w:val="70"/>
        </w:trPr>
        <w:tc>
          <w:tcPr>
            <w:tcW w:w="1525" w:type="dxa"/>
            <w:tcBorders>
              <w:bottom w:val="single" w:sz="4" w:space="0" w:color="auto"/>
            </w:tcBorders>
          </w:tcPr>
          <w:p>
            <w:pPr>
              <w:pStyle w:val="NoSpacing"/>
              <w:contextualSpacing/>
              <w:jc w:val="center"/>
              <w:rPr>
                <w:rFonts w:ascii="Arial" w:hAnsi="Arial" w:cs="Arial"/>
                <w:sz w:val="20"/>
                <w:szCs w:val="20"/>
              </w:rPr>
            </w:pPr>
            <w:r>
              <w:rPr>
                <w:rFonts w:ascii="Arial" w:hAnsi="Arial" w:cs="Arial"/>
                <w:sz w:val="20"/>
                <w:szCs w:val="20"/>
              </w:rPr>
              <w:t>CY 2021 AAR, Observation No. 1,</w:t>
            </w:r>
          </w:p>
          <w:p>
            <w:pPr>
              <w:pStyle w:val="NoSpacing"/>
              <w:contextualSpacing/>
              <w:jc w:val="center"/>
              <w:rPr>
                <w:rFonts w:ascii="Arial" w:hAnsi="Arial" w:cs="Arial"/>
                <w:sz w:val="20"/>
                <w:szCs w:val="20"/>
              </w:rPr>
            </w:pPr>
            <w:r>
              <w:rPr>
                <w:rFonts w:ascii="Arial" w:hAnsi="Arial" w:cs="Arial"/>
                <w:sz w:val="20"/>
                <w:szCs w:val="20"/>
              </w:rPr>
              <w:t>Page 74</w:t>
            </w:r>
          </w:p>
        </w:tc>
        <w:tc>
          <w:tcPr>
            <w:tcW w:w="2525" w:type="dxa"/>
            <w:tcBorders>
              <w:bottom w:val="single" w:sz="4" w:space="0" w:color="auto"/>
            </w:tcBorders>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Accounting errors overstated the Cash-in-Bank (</w:t>
            </w:r>
            <w:proofErr w:type="spellStart"/>
            <w:r>
              <w:rPr>
                <w:rFonts w:ascii="Arial" w:hAnsi="Arial" w:cs="Arial"/>
                <w:bCs/>
                <w:iCs/>
                <w:sz w:val="20"/>
                <w:szCs w:val="20"/>
              </w:rPr>
              <w:t>CiB</w:t>
            </w:r>
            <w:proofErr w:type="spellEnd"/>
            <w:r>
              <w:rPr>
                <w:rFonts w:ascii="Arial" w:hAnsi="Arial" w:cs="Arial"/>
                <w:bCs/>
                <w:iCs/>
                <w:sz w:val="20"/>
                <w:szCs w:val="20"/>
              </w:rPr>
              <w:t xml:space="preserve">) accounts by </w:t>
            </w:r>
            <w:r>
              <w:rPr>
                <w:rFonts w:ascii="Arial" w:hAnsi="Arial" w:cs="Arial"/>
                <w:bCs/>
                <w:iCs/>
                <w:sz w:val="20"/>
                <w:szCs w:val="20"/>
              </w:rPr>
              <w:br/>
              <w:t xml:space="preserve">P51.371 million mainly because of the: (a) absence of an effective reconciliation of the records of the Office of the City Accountant (OCAT) and City Treasurer’s Office (CTO); </w:t>
            </w: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 xml:space="preserve">(b) inability of the accounting application to capture the standard transaction descriptions and references and produce the </w:t>
            </w:r>
            <w:r>
              <w:rPr>
                <w:rFonts w:ascii="Arial" w:hAnsi="Arial" w:cs="Arial"/>
                <w:bCs/>
                <w:iCs/>
                <w:sz w:val="20"/>
                <w:szCs w:val="20"/>
              </w:rPr>
              <w:lastRenderedPageBreak/>
              <w:t xml:space="preserve">prescribed primary and subsidiary records that provide the audit trails; and </w:t>
            </w: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 xml:space="preserve">(c) breakdowns in the bank reconciliation. Thus, overstated the carrying amounts of the </w:t>
            </w:r>
            <w:proofErr w:type="spellStart"/>
            <w:r>
              <w:rPr>
                <w:rFonts w:ascii="Arial" w:hAnsi="Arial" w:cs="Arial"/>
                <w:bCs/>
                <w:iCs/>
                <w:sz w:val="20"/>
                <w:szCs w:val="20"/>
              </w:rPr>
              <w:t>CiB</w:t>
            </w:r>
            <w:proofErr w:type="spellEnd"/>
            <w:r>
              <w:rPr>
                <w:rFonts w:ascii="Arial" w:hAnsi="Arial" w:cs="Arial"/>
                <w:bCs/>
                <w:iCs/>
                <w:sz w:val="20"/>
                <w:szCs w:val="20"/>
              </w:rPr>
              <w:t xml:space="preserve"> accounts by a net amount of P51.371 million.</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We reiterated our recommendation that Management:</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0"/>
                <w:numId w:val="2"/>
              </w:numPr>
              <w:overflowPunct w:val="0"/>
              <w:autoSpaceDE w:val="0"/>
              <w:autoSpaceDN w:val="0"/>
              <w:adjustRightInd w:val="0"/>
              <w:ind w:left="609" w:hanging="271"/>
              <w:jc w:val="both"/>
              <w:rPr>
                <w:rFonts w:ascii="Arial" w:hAnsi="Arial" w:cs="Arial"/>
                <w:bCs/>
                <w:iCs/>
                <w:sz w:val="20"/>
                <w:szCs w:val="20"/>
              </w:rPr>
            </w:pPr>
            <w:r>
              <w:rPr>
                <w:rFonts w:ascii="Arial" w:hAnsi="Arial" w:cs="Arial"/>
                <w:bCs/>
                <w:iCs/>
                <w:sz w:val="20"/>
                <w:szCs w:val="20"/>
              </w:rPr>
              <w:t xml:space="preserve">Direct the OCAT to correct the accounting errors which resulted in overstatement of the carrying amounts of the </w:t>
            </w:r>
            <w:proofErr w:type="spellStart"/>
            <w:r>
              <w:rPr>
                <w:rFonts w:ascii="Arial" w:hAnsi="Arial" w:cs="Arial"/>
                <w:bCs/>
                <w:iCs/>
                <w:sz w:val="20"/>
                <w:szCs w:val="20"/>
              </w:rPr>
              <w:t>CiB</w:t>
            </w:r>
            <w:proofErr w:type="spellEnd"/>
            <w:r>
              <w:rPr>
                <w:rFonts w:ascii="Arial" w:hAnsi="Arial" w:cs="Arial"/>
                <w:bCs/>
                <w:iCs/>
                <w:sz w:val="20"/>
                <w:szCs w:val="20"/>
              </w:rPr>
              <w:t xml:space="preserve"> accounts by a net amount of P51.371 million; and</w:t>
            </w:r>
          </w:p>
          <w:p>
            <w:pPr>
              <w:pStyle w:val="ListParagraph"/>
              <w:widowControl w:val="0"/>
              <w:overflowPunct w:val="0"/>
              <w:autoSpaceDE w:val="0"/>
              <w:autoSpaceDN w:val="0"/>
              <w:adjustRightInd w:val="0"/>
              <w:ind w:left="609"/>
              <w:jc w:val="both"/>
              <w:rPr>
                <w:rFonts w:ascii="Arial" w:hAnsi="Arial" w:cs="Arial"/>
                <w:bCs/>
                <w:iCs/>
                <w:sz w:val="20"/>
                <w:szCs w:val="20"/>
              </w:rPr>
            </w:pPr>
          </w:p>
          <w:p>
            <w:pPr>
              <w:pStyle w:val="ListParagraph"/>
              <w:widowControl w:val="0"/>
              <w:numPr>
                <w:ilvl w:val="0"/>
                <w:numId w:val="2"/>
              </w:numPr>
              <w:overflowPunct w:val="0"/>
              <w:autoSpaceDE w:val="0"/>
              <w:autoSpaceDN w:val="0"/>
              <w:adjustRightInd w:val="0"/>
              <w:ind w:left="609" w:hanging="271"/>
              <w:jc w:val="both"/>
              <w:rPr>
                <w:rFonts w:ascii="Arial" w:hAnsi="Arial" w:cs="Arial"/>
                <w:bCs/>
                <w:iCs/>
                <w:sz w:val="20"/>
                <w:szCs w:val="20"/>
              </w:rPr>
            </w:pPr>
            <w:r>
              <w:rPr>
                <w:rFonts w:ascii="Arial" w:hAnsi="Arial" w:cs="Arial"/>
                <w:bCs/>
                <w:iCs/>
                <w:sz w:val="20"/>
                <w:szCs w:val="20"/>
              </w:rPr>
              <w:t xml:space="preserve">Direct the OCAT and CTO to reconcile fully their </w:t>
            </w:r>
            <w:proofErr w:type="spellStart"/>
            <w:r>
              <w:rPr>
                <w:rFonts w:ascii="Arial" w:hAnsi="Arial" w:cs="Arial"/>
                <w:bCs/>
                <w:iCs/>
                <w:sz w:val="20"/>
                <w:szCs w:val="20"/>
              </w:rPr>
              <w:t>CiB</w:t>
            </w:r>
            <w:proofErr w:type="spellEnd"/>
            <w:r>
              <w:rPr>
                <w:rFonts w:ascii="Arial" w:hAnsi="Arial" w:cs="Arial"/>
                <w:bCs/>
                <w:iCs/>
                <w:sz w:val="20"/>
                <w:szCs w:val="20"/>
              </w:rPr>
              <w:t xml:space="preserve"> records with those of the depository banks.</w:t>
            </w:r>
          </w:p>
          <w:p>
            <w:pPr>
              <w:pStyle w:val="ListParagraph"/>
              <w:widowControl w:val="0"/>
              <w:overflowPunct w:val="0"/>
              <w:autoSpaceDE w:val="0"/>
              <w:autoSpaceDN w:val="0"/>
              <w:adjustRightInd w:val="0"/>
              <w:ind w:left="609"/>
              <w:jc w:val="both"/>
              <w:rPr>
                <w:rFonts w:ascii="Arial" w:hAnsi="Arial" w:cs="Arial"/>
                <w:bCs/>
                <w:iCs/>
                <w:sz w:val="20"/>
                <w:szCs w:val="20"/>
              </w:rPr>
            </w:pPr>
          </w:p>
        </w:tc>
        <w:tc>
          <w:tcPr>
            <w:tcW w:w="1899" w:type="dxa"/>
            <w:tcBorders>
              <w:bottom w:val="single" w:sz="4" w:space="0" w:color="auto"/>
            </w:tcBorders>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tc>
        <w:tc>
          <w:tcPr>
            <w:tcW w:w="2000" w:type="dxa"/>
            <w:tcBorders>
              <w:bottom w:val="single" w:sz="4" w:space="0" w:color="auto"/>
            </w:tcBorders>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OCAT made adjusting entries to correct the misstatements.</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As of                   December 31, 2023, the CTO had adjusted its cashbooks for 9 bank accounts to reflect the reconciliation of records with OCAT per JEVs mentioned above.</w:t>
            </w:r>
          </w:p>
          <w:p>
            <w:pPr>
              <w:pStyle w:val="NoSpacing"/>
              <w:contextualSpacing/>
              <w:jc w:val="both"/>
              <w:rPr>
                <w:rFonts w:ascii="Arial" w:hAnsi="Arial" w:cs="Arial"/>
                <w:sz w:val="20"/>
                <w:szCs w:val="20"/>
              </w:rPr>
            </w:pPr>
          </w:p>
        </w:tc>
        <w:tc>
          <w:tcPr>
            <w:tcW w:w="1842" w:type="dxa"/>
            <w:tcBorders>
              <w:bottom w:val="single" w:sz="4" w:space="0" w:color="auto"/>
            </w:tcBorders>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2021 AAR, Observation No. 2,</w:t>
            </w:r>
          </w:p>
          <w:p>
            <w:pPr>
              <w:pStyle w:val="NoSpacing"/>
              <w:contextualSpacing/>
              <w:jc w:val="center"/>
              <w:rPr>
                <w:rFonts w:ascii="Arial" w:hAnsi="Arial" w:cs="Arial"/>
                <w:sz w:val="20"/>
                <w:szCs w:val="20"/>
              </w:rPr>
            </w:pPr>
            <w:r>
              <w:rPr>
                <w:rFonts w:ascii="Arial" w:hAnsi="Arial" w:cs="Arial"/>
                <w:sz w:val="20"/>
                <w:szCs w:val="20"/>
              </w:rPr>
              <w:t>Page 79</w:t>
            </w:r>
          </w:p>
        </w:tc>
        <w:tc>
          <w:tcPr>
            <w:tcW w:w="2525" w:type="dxa"/>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 xml:space="preserve">The City had not settled cash advances totaling </w:t>
            </w:r>
            <w:r>
              <w:rPr>
                <w:rFonts w:ascii="Arial" w:hAnsi="Arial" w:cs="Arial"/>
                <w:bCs/>
                <w:iCs/>
                <w:sz w:val="20"/>
                <w:szCs w:val="20"/>
              </w:rPr>
              <w:br/>
              <w:t xml:space="preserve">P182.725 million contrary to Section 89 of Presidential Decree No. 1445 and COA Circular No. 97-002 dated </w:t>
            </w:r>
            <w:r>
              <w:rPr>
                <w:rFonts w:ascii="Arial" w:hAnsi="Arial" w:cs="Arial"/>
                <w:bCs/>
                <w:iCs/>
                <w:sz w:val="20"/>
                <w:szCs w:val="20"/>
              </w:rPr>
              <w:br/>
              <w:t>February 10, 1997, and bear on the fair presentation of the affected accounts in the Financial Statements (FS).</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 xml:space="preserve">We recommended </w:t>
            </w:r>
            <w:r>
              <w:rPr>
                <w:rFonts w:ascii="Arial" w:hAnsi="Arial" w:cs="Arial"/>
                <w:bCs/>
                <w:iCs/>
                <w:sz w:val="20"/>
                <w:szCs w:val="20"/>
              </w:rPr>
              <w:lastRenderedPageBreak/>
              <w:t>that Management:</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0"/>
                <w:numId w:val="3"/>
              </w:numPr>
              <w:overflowPunct w:val="0"/>
              <w:autoSpaceDE w:val="0"/>
              <w:autoSpaceDN w:val="0"/>
              <w:adjustRightInd w:val="0"/>
              <w:ind w:left="609" w:hanging="271"/>
              <w:jc w:val="both"/>
              <w:rPr>
                <w:rFonts w:ascii="Arial" w:hAnsi="Arial" w:cs="Arial"/>
                <w:bCs/>
                <w:iCs/>
                <w:sz w:val="20"/>
                <w:szCs w:val="20"/>
              </w:rPr>
            </w:pPr>
            <w:bookmarkStart w:id="3" w:name="_Hlk133313727"/>
            <w:r>
              <w:rPr>
                <w:rFonts w:ascii="Arial" w:hAnsi="Arial" w:cs="Arial"/>
                <w:bCs/>
                <w:iCs/>
                <w:sz w:val="20"/>
                <w:szCs w:val="20"/>
              </w:rPr>
              <w:t>Enforce the liquidation of the cash advances and, henceforth, enforce strictly the liquidation of cash advances within the prescribed period; and</w:t>
            </w:r>
            <w:bookmarkEnd w:id="3"/>
          </w:p>
          <w:p>
            <w:pPr>
              <w:pStyle w:val="ListParagraph"/>
              <w:widowControl w:val="0"/>
              <w:overflowPunct w:val="0"/>
              <w:autoSpaceDE w:val="0"/>
              <w:autoSpaceDN w:val="0"/>
              <w:adjustRightInd w:val="0"/>
              <w:ind w:left="609"/>
              <w:jc w:val="both"/>
              <w:rPr>
                <w:rFonts w:ascii="Arial" w:hAnsi="Arial" w:cs="Arial"/>
                <w:bCs/>
                <w:iCs/>
                <w:sz w:val="20"/>
                <w:szCs w:val="20"/>
              </w:rPr>
            </w:pPr>
          </w:p>
          <w:p>
            <w:pPr>
              <w:pStyle w:val="ListParagraph"/>
              <w:widowControl w:val="0"/>
              <w:numPr>
                <w:ilvl w:val="0"/>
                <w:numId w:val="3"/>
              </w:numPr>
              <w:overflowPunct w:val="0"/>
              <w:autoSpaceDE w:val="0"/>
              <w:autoSpaceDN w:val="0"/>
              <w:adjustRightInd w:val="0"/>
              <w:ind w:left="609" w:hanging="271"/>
              <w:jc w:val="both"/>
              <w:rPr>
                <w:rFonts w:ascii="Arial" w:hAnsi="Arial" w:cs="Arial"/>
                <w:bCs/>
                <w:iCs/>
                <w:sz w:val="20"/>
                <w:szCs w:val="20"/>
              </w:rPr>
            </w:pPr>
            <w:r>
              <w:rPr>
                <w:rFonts w:ascii="Arial" w:hAnsi="Arial" w:cs="Arial"/>
                <w:bCs/>
                <w:iCs/>
                <w:sz w:val="20"/>
                <w:szCs w:val="20"/>
              </w:rPr>
              <w:t>Record in the book of accounts the liquidations of cash advances amounting P641,630.33 and, prospectively, promptly record the liquidations of cash advances in order to reflect them in the books of accounts in the proper period.</w:t>
            </w:r>
          </w:p>
          <w:p>
            <w:pPr>
              <w:pStyle w:val="ListParagraph"/>
              <w:widowControl w:val="0"/>
              <w:overflowPunct w:val="0"/>
              <w:autoSpaceDE w:val="0"/>
              <w:autoSpaceDN w:val="0"/>
              <w:adjustRightInd w:val="0"/>
              <w:ind w:left="338"/>
              <w:jc w:val="both"/>
              <w:rPr>
                <w:rFonts w:ascii="Arial" w:hAnsi="Arial" w:cs="Arial"/>
                <w:bCs/>
                <w:iCs/>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spacing w:after="0" w:line="240" w:lineRule="auto"/>
              <w:contextualSpacing/>
              <w:jc w:val="center"/>
              <w:rPr>
                <w:rFonts w:ascii="Arial" w:hAnsi="Arial" w:cs="Arial"/>
                <w:sz w:val="20"/>
                <w:szCs w:val="20"/>
                <w:lang w:val="en-US"/>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Liquidation of the outstanding cash advances in the books as of December 31, 2023 were already recorded.</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Same as above</w:t>
            </w:r>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2021 AAR, Observation No. 3,</w:t>
            </w:r>
          </w:p>
          <w:p>
            <w:pPr>
              <w:pStyle w:val="NoSpacing"/>
              <w:contextualSpacing/>
              <w:jc w:val="center"/>
              <w:rPr>
                <w:rFonts w:ascii="Arial" w:hAnsi="Arial" w:cs="Arial"/>
                <w:sz w:val="20"/>
                <w:szCs w:val="20"/>
              </w:rPr>
            </w:pPr>
            <w:r>
              <w:rPr>
                <w:rFonts w:ascii="Arial" w:hAnsi="Arial" w:cs="Arial"/>
                <w:sz w:val="20"/>
                <w:szCs w:val="20"/>
              </w:rPr>
              <w:t>Page 80</w:t>
            </w:r>
          </w:p>
        </w:tc>
        <w:tc>
          <w:tcPr>
            <w:tcW w:w="2525" w:type="dxa"/>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Payables amounting to P21.888 million were not supported with the required documents proving their validity, thus, casting doubt on the fairness of the presentation of the payable accounts in the City’s FS.</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In order to present fairly the Accounts Payable account in the FS, we recommended that Management direct the OCAT, in coordination with the City General Services Office, to specify in the schedule of payables the correct addresses of all the concerned creditors.</w:t>
            </w:r>
          </w:p>
          <w:p>
            <w:pPr>
              <w:pStyle w:val="ListParagraph"/>
              <w:widowControl w:val="0"/>
              <w:overflowPunct w:val="0"/>
              <w:autoSpaceDE w:val="0"/>
              <w:autoSpaceDN w:val="0"/>
              <w:adjustRightInd w:val="0"/>
              <w:ind w:left="338"/>
              <w:jc w:val="both"/>
              <w:rPr>
                <w:rFonts w:ascii="Arial" w:hAnsi="Arial" w:cs="Arial"/>
                <w:bCs/>
                <w:iCs/>
                <w:sz w:val="20"/>
                <w:szCs w:val="20"/>
              </w:rPr>
            </w:pPr>
          </w:p>
        </w:tc>
        <w:tc>
          <w:tcPr>
            <w:tcW w:w="1899" w:type="dxa"/>
          </w:tcPr>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Implemented</w:t>
            </w: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Documents pertaining to these payables were already submitted to COA as evidenced by paid vouchers.</w:t>
            </w:r>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lastRenderedPageBreak/>
              <w:t>CY 2021 AAR, Observation No. 4,</w:t>
            </w:r>
          </w:p>
          <w:p>
            <w:pPr>
              <w:pStyle w:val="NoSpacing"/>
              <w:contextualSpacing/>
              <w:jc w:val="center"/>
              <w:rPr>
                <w:rFonts w:ascii="Arial" w:hAnsi="Arial" w:cs="Arial"/>
                <w:sz w:val="20"/>
                <w:szCs w:val="20"/>
              </w:rPr>
            </w:pPr>
            <w:r>
              <w:rPr>
                <w:rFonts w:ascii="Arial" w:hAnsi="Arial" w:cs="Arial"/>
                <w:sz w:val="20"/>
                <w:szCs w:val="20"/>
              </w:rPr>
              <w:t>Page 83</w:t>
            </w:r>
          </w:p>
        </w:tc>
        <w:tc>
          <w:tcPr>
            <w:tcW w:w="2525" w:type="dxa"/>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 xml:space="preserve">Seven hundred twenty-three (723) cases of double payment of emergency subsidy/financial assistance (FA) to beneficiaries in COVID-19 lockdown translated to a total payment of </w:t>
            </w:r>
            <w:r>
              <w:rPr>
                <w:rFonts w:ascii="Arial" w:hAnsi="Arial" w:cs="Arial"/>
                <w:bCs/>
                <w:iCs/>
                <w:sz w:val="20"/>
                <w:szCs w:val="20"/>
              </w:rPr>
              <w:br/>
              <w:t>P8.424 million in excess of the amounts legally authorized.</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We recommended that Management:</w:t>
            </w:r>
          </w:p>
          <w:p>
            <w:pPr>
              <w:pStyle w:val="ListParagraph"/>
              <w:widowControl w:val="0"/>
              <w:overflowPunct w:val="0"/>
              <w:autoSpaceDE w:val="0"/>
              <w:autoSpaceDN w:val="0"/>
              <w:adjustRightInd w:val="0"/>
              <w:ind w:left="609"/>
              <w:jc w:val="both"/>
              <w:rPr>
                <w:rFonts w:ascii="Arial" w:hAnsi="Arial" w:cs="Arial"/>
                <w:bCs/>
                <w:iCs/>
                <w:sz w:val="20"/>
                <w:szCs w:val="20"/>
              </w:rPr>
            </w:pPr>
          </w:p>
          <w:p>
            <w:pPr>
              <w:pStyle w:val="ListParagraph"/>
              <w:widowControl w:val="0"/>
              <w:numPr>
                <w:ilvl w:val="0"/>
                <w:numId w:val="6"/>
              </w:numPr>
              <w:overflowPunct w:val="0"/>
              <w:autoSpaceDE w:val="0"/>
              <w:autoSpaceDN w:val="0"/>
              <w:adjustRightInd w:val="0"/>
              <w:ind w:left="609" w:hanging="271"/>
              <w:jc w:val="both"/>
              <w:rPr>
                <w:rFonts w:ascii="Arial" w:hAnsi="Arial" w:cs="Arial"/>
                <w:bCs/>
                <w:iCs/>
                <w:sz w:val="20"/>
                <w:szCs w:val="20"/>
              </w:rPr>
            </w:pPr>
            <w:r>
              <w:rPr>
                <w:rFonts w:ascii="Arial" w:hAnsi="Arial" w:cs="Arial"/>
                <w:bCs/>
                <w:iCs/>
                <w:sz w:val="20"/>
                <w:szCs w:val="20"/>
              </w:rPr>
              <w:t>Establish the accountability for and recover the excess payment of emergency subsidy and FA; and</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0"/>
                <w:numId w:val="6"/>
              </w:numPr>
              <w:overflowPunct w:val="0"/>
              <w:autoSpaceDE w:val="0"/>
              <w:autoSpaceDN w:val="0"/>
              <w:adjustRightInd w:val="0"/>
              <w:ind w:left="609" w:hanging="271"/>
              <w:jc w:val="both"/>
              <w:rPr>
                <w:rFonts w:ascii="Arial" w:hAnsi="Arial" w:cs="Arial"/>
                <w:bCs/>
                <w:iCs/>
                <w:sz w:val="20"/>
                <w:szCs w:val="20"/>
              </w:rPr>
            </w:pPr>
            <w:r>
              <w:rPr>
                <w:rFonts w:ascii="Arial" w:hAnsi="Arial" w:cs="Arial"/>
                <w:bCs/>
                <w:iCs/>
                <w:sz w:val="20"/>
                <w:szCs w:val="20"/>
              </w:rPr>
              <w:t>In coordination with the DSWD, supply the missing beneficiary information necessary in the full validation of the payments of the subject emergency subsidy/FA.</w:t>
            </w:r>
          </w:p>
          <w:p>
            <w:pPr>
              <w:pStyle w:val="ListParagraph"/>
              <w:widowControl w:val="0"/>
              <w:overflowPunct w:val="0"/>
              <w:autoSpaceDE w:val="0"/>
              <w:autoSpaceDN w:val="0"/>
              <w:adjustRightInd w:val="0"/>
              <w:ind w:left="338"/>
              <w:jc w:val="both"/>
              <w:rPr>
                <w:rFonts w:ascii="Arial" w:hAnsi="Arial" w:cs="Arial"/>
                <w:bCs/>
                <w:iCs/>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Unimplemented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Unimplemented</w:t>
            </w: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Management have sent by registered mails (with registry receipts) to 308 Social Amelioration Program (SAP) beneficiaries.</w:t>
            </w:r>
          </w:p>
        </w:tc>
        <w:tc>
          <w:tcPr>
            <w:tcW w:w="1842"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Of the 723 cases of double-payment totaling P8.424 million, only P24,000.00 was refunded to the City as </w:t>
            </w:r>
            <w:proofErr w:type="gramStart"/>
            <w:r>
              <w:rPr>
                <w:rFonts w:ascii="Arial" w:hAnsi="Arial" w:cs="Arial"/>
                <w:sz w:val="20"/>
                <w:szCs w:val="20"/>
              </w:rPr>
              <w:t>of  June</w:t>
            </w:r>
            <w:proofErr w:type="gramEnd"/>
            <w:r>
              <w:rPr>
                <w:rFonts w:ascii="Arial" w:hAnsi="Arial" w:cs="Arial"/>
                <w:sz w:val="20"/>
                <w:szCs w:val="20"/>
              </w:rPr>
              <w:t xml:space="preserve"> 17, 2022.</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Information regarding the contact number, civil status and amount of cash assistance received were not provided to the CAO.</w:t>
            </w:r>
          </w:p>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2020 AAR, Observation No. 1,</w:t>
            </w:r>
          </w:p>
          <w:p>
            <w:pPr>
              <w:pStyle w:val="NoSpacing"/>
              <w:contextualSpacing/>
              <w:jc w:val="center"/>
              <w:rPr>
                <w:rFonts w:ascii="Arial" w:hAnsi="Arial" w:cs="Arial"/>
                <w:sz w:val="20"/>
                <w:szCs w:val="20"/>
              </w:rPr>
            </w:pPr>
            <w:r>
              <w:rPr>
                <w:rFonts w:ascii="Arial" w:hAnsi="Arial" w:cs="Arial"/>
                <w:sz w:val="20"/>
                <w:szCs w:val="20"/>
              </w:rPr>
              <w:t>Page 69</w:t>
            </w:r>
          </w:p>
          <w:p>
            <w:pPr>
              <w:pStyle w:val="NoSpacing"/>
              <w:contextualSpacing/>
              <w:jc w:val="center"/>
              <w:rPr>
                <w:rFonts w:ascii="Arial" w:hAnsi="Arial" w:cs="Arial"/>
                <w:sz w:val="20"/>
                <w:szCs w:val="20"/>
              </w:rPr>
            </w:pPr>
          </w:p>
        </w:tc>
        <w:tc>
          <w:tcPr>
            <w:tcW w:w="2525" w:type="dxa"/>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 xml:space="preserve">Accounting errors in recording </w:t>
            </w:r>
            <w:proofErr w:type="spellStart"/>
            <w:r>
              <w:rPr>
                <w:rFonts w:ascii="Arial" w:hAnsi="Arial" w:cs="Arial"/>
                <w:bCs/>
                <w:iCs/>
                <w:sz w:val="20"/>
                <w:szCs w:val="20"/>
              </w:rPr>
              <w:t>CiB</w:t>
            </w:r>
            <w:proofErr w:type="spellEnd"/>
            <w:r>
              <w:rPr>
                <w:rFonts w:ascii="Arial" w:hAnsi="Arial" w:cs="Arial"/>
                <w:bCs/>
                <w:iCs/>
                <w:sz w:val="20"/>
                <w:szCs w:val="20"/>
              </w:rPr>
              <w:t xml:space="preserve"> transactions amounting to </w:t>
            </w:r>
            <w:r>
              <w:rPr>
                <w:rFonts w:ascii="Arial" w:hAnsi="Arial" w:cs="Arial"/>
                <w:bCs/>
                <w:iCs/>
                <w:sz w:val="20"/>
                <w:szCs w:val="20"/>
              </w:rPr>
              <w:br/>
              <w:t xml:space="preserve">P66.815 million resulted in the misstatement of affected </w:t>
            </w:r>
            <w:proofErr w:type="spellStart"/>
            <w:r>
              <w:rPr>
                <w:rFonts w:ascii="Arial" w:hAnsi="Arial" w:cs="Arial"/>
                <w:bCs/>
                <w:iCs/>
                <w:sz w:val="20"/>
                <w:szCs w:val="20"/>
              </w:rPr>
              <w:t>CiB</w:t>
            </w:r>
            <w:proofErr w:type="spellEnd"/>
            <w:r>
              <w:rPr>
                <w:rFonts w:ascii="Arial" w:hAnsi="Arial" w:cs="Arial"/>
                <w:bCs/>
                <w:iCs/>
                <w:sz w:val="20"/>
                <w:szCs w:val="20"/>
              </w:rPr>
              <w:t xml:space="preserve"> accounts and weighed on the fair presentation of these accounts in the City’s FS.</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We recommended that Management:</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0"/>
                <w:numId w:val="18"/>
              </w:numPr>
              <w:overflowPunct w:val="0"/>
              <w:autoSpaceDE w:val="0"/>
              <w:autoSpaceDN w:val="0"/>
              <w:adjustRightInd w:val="0"/>
              <w:ind w:left="609" w:hanging="271"/>
              <w:jc w:val="both"/>
              <w:rPr>
                <w:rFonts w:ascii="Arial" w:hAnsi="Arial" w:cs="Arial"/>
                <w:bCs/>
                <w:iCs/>
                <w:sz w:val="20"/>
                <w:szCs w:val="20"/>
              </w:rPr>
            </w:pPr>
            <w:r>
              <w:rPr>
                <w:rFonts w:ascii="Arial" w:hAnsi="Arial" w:cs="Arial"/>
                <w:bCs/>
                <w:iCs/>
                <w:sz w:val="20"/>
                <w:szCs w:val="20"/>
              </w:rPr>
              <w:t xml:space="preserve">Prepare the adjusting entry to </w:t>
            </w:r>
            <w:r>
              <w:rPr>
                <w:rFonts w:ascii="Arial" w:hAnsi="Arial" w:cs="Arial"/>
                <w:bCs/>
                <w:iCs/>
                <w:sz w:val="20"/>
                <w:szCs w:val="20"/>
              </w:rPr>
              <w:lastRenderedPageBreak/>
              <w:t xml:space="preserve">record the </w:t>
            </w:r>
            <w:r>
              <w:rPr>
                <w:rFonts w:ascii="Arial" w:hAnsi="Arial" w:cs="Arial"/>
                <w:bCs/>
                <w:iCs/>
                <w:sz w:val="20"/>
                <w:szCs w:val="20"/>
              </w:rPr>
              <w:br/>
              <w:t xml:space="preserve">6,169 checks with a total amount of </w:t>
            </w:r>
            <w:r>
              <w:rPr>
                <w:rFonts w:ascii="Arial" w:hAnsi="Arial" w:cs="Arial"/>
                <w:bCs/>
                <w:iCs/>
                <w:sz w:val="20"/>
                <w:szCs w:val="20"/>
              </w:rPr>
              <w:br/>
              <w:t xml:space="preserve">P5.913 million in the </w:t>
            </w:r>
            <w:proofErr w:type="spellStart"/>
            <w:r>
              <w:rPr>
                <w:rFonts w:ascii="Arial" w:hAnsi="Arial" w:cs="Arial"/>
                <w:bCs/>
                <w:iCs/>
                <w:sz w:val="20"/>
                <w:szCs w:val="20"/>
              </w:rPr>
              <w:t>CkDJ</w:t>
            </w:r>
            <w:proofErr w:type="spellEnd"/>
            <w:r>
              <w:rPr>
                <w:rFonts w:ascii="Arial" w:hAnsi="Arial" w:cs="Arial"/>
                <w:bCs/>
                <w:iCs/>
                <w:sz w:val="20"/>
                <w:szCs w:val="20"/>
              </w:rPr>
              <w:t>; and</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0"/>
                <w:numId w:val="18"/>
              </w:numPr>
              <w:overflowPunct w:val="0"/>
              <w:autoSpaceDE w:val="0"/>
              <w:autoSpaceDN w:val="0"/>
              <w:adjustRightInd w:val="0"/>
              <w:ind w:left="609" w:hanging="271"/>
              <w:jc w:val="both"/>
              <w:rPr>
                <w:rFonts w:ascii="Arial" w:hAnsi="Arial" w:cs="Arial"/>
                <w:bCs/>
                <w:iCs/>
                <w:sz w:val="20"/>
                <w:szCs w:val="20"/>
              </w:rPr>
            </w:pPr>
            <w:r>
              <w:rPr>
                <w:rFonts w:ascii="Arial" w:hAnsi="Arial" w:cs="Arial"/>
                <w:bCs/>
                <w:iCs/>
                <w:sz w:val="20"/>
                <w:szCs w:val="20"/>
              </w:rPr>
              <w:t>Submit supporting documents as basis for recording of the reconciling items from          CYs 2014 to 2020 in the amount of P60.902 million.</w:t>
            </w:r>
          </w:p>
          <w:p>
            <w:pPr>
              <w:pStyle w:val="ListParagraph"/>
              <w:widowControl w:val="0"/>
              <w:overflowPunct w:val="0"/>
              <w:autoSpaceDE w:val="0"/>
              <w:autoSpaceDN w:val="0"/>
              <w:adjustRightInd w:val="0"/>
              <w:ind w:left="609"/>
              <w:jc w:val="both"/>
              <w:rPr>
                <w:rFonts w:ascii="Arial" w:hAnsi="Arial" w:cs="Arial"/>
                <w:bCs/>
                <w:iCs/>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The OCAT made adjusting entries to </w:t>
            </w:r>
            <w:r>
              <w:rPr>
                <w:rFonts w:ascii="Arial" w:hAnsi="Arial" w:cs="Arial"/>
                <w:sz w:val="20"/>
                <w:szCs w:val="20"/>
              </w:rPr>
              <w:lastRenderedPageBreak/>
              <w:t>correct the misstatements.</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Same as above</w:t>
            </w:r>
          </w:p>
          <w:p>
            <w:pPr>
              <w:pStyle w:val="NoSpacing"/>
              <w:contextualSpacing/>
              <w:jc w:val="both"/>
              <w:rPr>
                <w:rFonts w:ascii="Arial" w:hAnsi="Arial" w:cs="Arial"/>
                <w:sz w:val="20"/>
                <w:szCs w:val="20"/>
              </w:rPr>
            </w:pPr>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2020 AAR, Observation No. 3,</w:t>
            </w:r>
          </w:p>
          <w:p>
            <w:pPr>
              <w:pStyle w:val="NoSpacing"/>
              <w:contextualSpacing/>
              <w:jc w:val="center"/>
              <w:rPr>
                <w:rFonts w:ascii="Arial" w:hAnsi="Arial" w:cs="Arial"/>
                <w:sz w:val="20"/>
                <w:szCs w:val="20"/>
              </w:rPr>
            </w:pPr>
            <w:r>
              <w:rPr>
                <w:rFonts w:ascii="Arial" w:hAnsi="Arial" w:cs="Arial"/>
                <w:sz w:val="20"/>
                <w:szCs w:val="20"/>
              </w:rPr>
              <w:t>Page 74</w:t>
            </w:r>
          </w:p>
          <w:p>
            <w:pPr>
              <w:pStyle w:val="NoSpacing"/>
              <w:contextualSpacing/>
              <w:rPr>
                <w:rFonts w:ascii="Arial" w:hAnsi="Arial" w:cs="Arial"/>
                <w:sz w:val="20"/>
                <w:szCs w:val="20"/>
              </w:rPr>
            </w:pPr>
          </w:p>
        </w:tc>
        <w:tc>
          <w:tcPr>
            <w:tcW w:w="2525" w:type="dxa"/>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 xml:space="preserve">The Joint Venture Agreement (JVA) entered into by the City of Manila with     B. Braun </w:t>
            </w:r>
            <w:proofErr w:type="spellStart"/>
            <w:r>
              <w:rPr>
                <w:rFonts w:ascii="Arial" w:hAnsi="Arial" w:cs="Arial"/>
                <w:bCs/>
                <w:iCs/>
                <w:sz w:val="20"/>
                <w:szCs w:val="20"/>
              </w:rPr>
              <w:t>Avitum</w:t>
            </w:r>
            <w:proofErr w:type="spellEnd"/>
            <w:r>
              <w:rPr>
                <w:rFonts w:ascii="Arial" w:hAnsi="Arial" w:cs="Arial"/>
                <w:bCs/>
                <w:iCs/>
                <w:sz w:val="20"/>
                <w:szCs w:val="20"/>
              </w:rPr>
              <w:t xml:space="preserve"> Philippines, Inc. (BBAPI) does not have certain provisions prescribed in City Ordinance    No. 8346 and has unclear and inadequate stipulations which are disadvantageous to the interest of the City.</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Pursuant to Paragraph 10 of the JVA, we recommended that Management come up with JVA addendum/ amendments or similar binding document to correct the provisions and deficiencies therein that work against the interest of the City (Paragraphs 3.3, 3.10 and 3.11) with the end view of, among others:</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0"/>
                <w:numId w:val="9"/>
              </w:numPr>
              <w:overflowPunct w:val="0"/>
              <w:autoSpaceDE w:val="0"/>
              <w:autoSpaceDN w:val="0"/>
              <w:adjustRightInd w:val="0"/>
              <w:ind w:left="609" w:hanging="271"/>
              <w:jc w:val="both"/>
              <w:rPr>
                <w:rFonts w:ascii="Arial" w:hAnsi="Arial" w:cs="Arial"/>
                <w:bCs/>
                <w:iCs/>
                <w:sz w:val="20"/>
                <w:szCs w:val="20"/>
              </w:rPr>
            </w:pPr>
            <w:r>
              <w:rPr>
                <w:rFonts w:ascii="Arial" w:hAnsi="Arial" w:cs="Arial"/>
                <w:bCs/>
                <w:iCs/>
                <w:sz w:val="20"/>
                <w:szCs w:val="20"/>
              </w:rPr>
              <w:t xml:space="preserve">Increasing the City share in the revenue of the JV commensurate to the City’s contribution/ investment therein; </w:t>
            </w:r>
            <w:r>
              <w:rPr>
                <w:rFonts w:ascii="Arial" w:hAnsi="Arial" w:cs="Arial"/>
                <w:bCs/>
                <w:iCs/>
                <w:sz w:val="20"/>
                <w:szCs w:val="20"/>
              </w:rPr>
              <w:lastRenderedPageBreak/>
              <w:t>and</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0"/>
                <w:numId w:val="9"/>
              </w:numPr>
              <w:overflowPunct w:val="0"/>
              <w:autoSpaceDE w:val="0"/>
              <w:autoSpaceDN w:val="0"/>
              <w:adjustRightInd w:val="0"/>
              <w:ind w:left="609" w:hanging="271"/>
              <w:jc w:val="both"/>
              <w:rPr>
                <w:rFonts w:ascii="Arial" w:hAnsi="Arial" w:cs="Arial"/>
                <w:bCs/>
                <w:iCs/>
                <w:sz w:val="20"/>
                <w:szCs w:val="20"/>
              </w:rPr>
            </w:pPr>
            <w:r>
              <w:rPr>
                <w:rFonts w:ascii="Arial" w:hAnsi="Arial" w:cs="Arial"/>
                <w:bCs/>
                <w:iCs/>
                <w:sz w:val="20"/>
                <w:szCs w:val="20"/>
              </w:rPr>
              <w:t>If BBAPI refuses the correction of the foregoing provisions and deficiencies therein that work against the interest of the City, terminate the JVA but ensuring in the process the uninterrupted dialysis treatment services by the City.</w:t>
            </w:r>
          </w:p>
          <w:p>
            <w:pPr>
              <w:pStyle w:val="ListParagraph"/>
              <w:widowControl w:val="0"/>
              <w:overflowPunct w:val="0"/>
              <w:autoSpaceDE w:val="0"/>
              <w:autoSpaceDN w:val="0"/>
              <w:adjustRightInd w:val="0"/>
              <w:ind w:left="338"/>
              <w:jc w:val="both"/>
              <w:rPr>
                <w:rFonts w:ascii="Arial" w:hAnsi="Arial" w:cs="Arial"/>
                <w:bCs/>
                <w:iCs/>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 xml:space="preserve">Implemented </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Share of the City has been increased from 25 percent to 35 percent</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Same as above</w:t>
            </w:r>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2020 AAR, Observation No. 4,</w:t>
            </w:r>
          </w:p>
          <w:p>
            <w:pPr>
              <w:pStyle w:val="NoSpacing"/>
              <w:contextualSpacing/>
              <w:jc w:val="center"/>
              <w:rPr>
                <w:rFonts w:ascii="Arial" w:hAnsi="Arial" w:cs="Arial"/>
                <w:sz w:val="20"/>
                <w:szCs w:val="20"/>
              </w:rPr>
            </w:pPr>
            <w:r>
              <w:rPr>
                <w:rFonts w:ascii="Arial" w:hAnsi="Arial" w:cs="Arial"/>
                <w:sz w:val="20"/>
                <w:szCs w:val="20"/>
              </w:rPr>
              <w:t>Page 79</w:t>
            </w:r>
          </w:p>
          <w:p>
            <w:pPr>
              <w:pStyle w:val="NoSpacing"/>
              <w:contextualSpacing/>
              <w:jc w:val="center"/>
              <w:rPr>
                <w:rFonts w:ascii="Arial" w:hAnsi="Arial" w:cs="Arial"/>
                <w:sz w:val="20"/>
                <w:szCs w:val="20"/>
              </w:rPr>
            </w:pPr>
          </w:p>
        </w:tc>
        <w:tc>
          <w:tcPr>
            <w:tcW w:w="2525" w:type="dxa"/>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 xml:space="preserve">Unsubmitted documents supporting the JVA with JBROS Construction Corporation for the </w:t>
            </w:r>
            <w:proofErr w:type="spellStart"/>
            <w:r>
              <w:rPr>
                <w:rFonts w:ascii="Arial" w:hAnsi="Arial" w:cs="Arial"/>
                <w:bCs/>
                <w:iCs/>
                <w:sz w:val="20"/>
                <w:szCs w:val="20"/>
              </w:rPr>
              <w:t>Arroceros</w:t>
            </w:r>
            <w:proofErr w:type="spellEnd"/>
            <w:r>
              <w:rPr>
                <w:rFonts w:ascii="Arial" w:hAnsi="Arial" w:cs="Arial"/>
                <w:bCs/>
                <w:iCs/>
                <w:sz w:val="20"/>
                <w:szCs w:val="20"/>
              </w:rPr>
              <w:t xml:space="preserve"> Compound Mixed-Use Development prevented the full evaluation of and casts doubt on the validity of the Swiss Challenge to which such joint venture project was subjected. Further, the continuing failure of the JBROS to perform its obligations under the JVA deprives the CGM beneficial use of the </w:t>
            </w:r>
            <w:proofErr w:type="spellStart"/>
            <w:r>
              <w:rPr>
                <w:rFonts w:ascii="Arial" w:hAnsi="Arial" w:cs="Arial"/>
                <w:bCs/>
                <w:iCs/>
                <w:sz w:val="20"/>
                <w:szCs w:val="20"/>
              </w:rPr>
              <w:t>Arroceros</w:t>
            </w:r>
            <w:proofErr w:type="spellEnd"/>
            <w:r>
              <w:rPr>
                <w:rFonts w:ascii="Arial" w:hAnsi="Arial" w:cs="Arial"/>
                <w:bCs/>
                <w:iCs/>
                <w:sz w:val="20"/>
                <w:szCs w:val="20"/>
              </w:rPr>
              <w:t xml:space="preserve"> Compound; and the CGM has not fully protected its interest by its failure to require JBROS to post performance bond covering the period within which the latter is obligated to complete the joint venture project.</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bCs/>
                <w:iCs/>
                <w:sz w:val="20"/>
                <w:szCs w:val="20"/>
              </w:rPr>
            </w:pPr>
            <w:r>
              <w:rPr>
                <w:rFonts w:ascii="Arial" w:hAnsi="Arial" w:cs="Arial"/>
                <w:bCs/>
                <w:iCs/>
                <w:sz w:val="20"/>
                <w:szCs w:val="20"/>
              </w:rPr>
              <w:t>We recommended that the CGM:</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numPr>
                <w:ilvl w:val="0"/>
                <w:numId w:val="10"/>
              </w:numPr>
              <w:overflowPunct w:val="0"/>
              <w:autoSpaceDE w:val="0"/>
              <w:autoSpaceDN w:val="0"/>
              <w:adjustRightInd w:val="0"/>
              <w:ind w:left="609" w:hanging="271"/>
              <w:jc w:val="both"/>
              <w:rPr>
                <w:rFonts w:ascii="Arial" w:hAnsi="Arial" w:cs="Arial"/>
                <w:bCs/>
                <w:iCs/>
                <w:sz w:val="20"/>
                <w:szCs w:val="20"/>
              </w:rPr>
            </w:pPr>
            <w:r>
              <w:rPr>
                <w:rFonts w:ascii="Arial" w:hAnsi="Arial" w:cs="Arial"/>
                <w:bCs/>
                <w:iCs/>
                <w:sz w:val="20"/>
                <w:szCs w:val="20"/>
              </w:rPr>
              <w:t xml:space="preserve">Rescind the JVA in view of the </w:t>
            </w:r>
            <w:r>
              <w:rPr>
                <w:rFonts w:ascii="Arial" w:hAnsi="Arial" w:cs="Arial"/>
                <w:bCs/>
                <w:iCs/>
                <w:sz w:val="20"/>
                <w:szCs w:val="20"/>
              </w:rPr>
              <w:lastRenderedPageBreak/>
              <w:t xml:space="preserve">continuing failure of the JBROS to perform its obligations under this JVA and in order to realize beneficial gain from the herein </w:t>
            </w:r>
            <w:proofErr w:type="spellStart"/>
            <w:r>
              <w:rPr>
                <w:rFonts w:ascii="Arial" w:hAnsi="Arial" w:cs="Arial"/>
                <w:bCs/>
                <w:iCs/>
                <w:sz w:val="20"/>
                <w:szCs w:val="20"/>
              </w:rPr>
              <w:t>Arroceros</w:t>
            </w:r>
            <w:proofErr w:type="spellEnd"/>
            <w:r>
              <w:rPr>
                <w:rFonts w:ascii="Arial" w:hAnsi="Arial" w:cs="Arial"/>
                <w:bCs/>
                <w:iCs/>
                <w:sz w:val="20"/>
                <w:szCs w:val="20"/>
              </w:rPr>
              <w:t xml:space="preserve"> Compound; and</w:t>
            </w:r>
          </w:p>
          <w:p>
            <w:pPr>
              <w:pStyle w:val="ListParagraph"/>
              <w:widowControl w:val="0"/>
              <w:overflowPunct w:val="0"/>
              <w:autoSpaceDE w:val="0"/>
              <w:autoSpaceDN w:val="0"/>
              <w:adjustRightInd w:val="0"/>
              <w:ind w:left="609"/>
              <w:jc w:val="both"/>
              <w:rPr>
                <w:rFonts w:ascii="Arial" w:hAnsi="Arial" w:cs="Arial"/>
                <w:bCs/>
                <w:iCs/>
                <w:sz w:val="20"/>
                <w:szCs w:val="20"/>
              </w:rPr>
            </w:pPr>
          </w:p>
          <w:p>
            <w:pPr>
              <w:pStyle w:val="ListParagraph"/>
              <w:widowControl w:val="0"/>
              <w:numPr>
                <w:ilvl w:val="0"/>
                <w:numId w:val="10"/>
              </w:numPr>
              <w:overflowPunct w:val="0"/>
              <w:autoSpaceDE w:val="0"/>
              <w:autoSpaceDN w:val="0"/>
              <w:adjustRightInd w:val="0"/>
              <w:ind w:left="609" w:hanging="271"/>
              <w:jc w:val="both"/>
              <w:rPr>
                <w:rFonts w:ascii="Arial" w:hAnsi="Arial" w:cs="Arial"/>
                <w:bCs/>
                <w:iCs/>
                <w:sz w:val="20"/>
                <w:szCs w:val="20"/>
              </w:rPr>
            </w:pPr>
            <w:r>
              <w:rPr>
                <w:rFonts w:ascii="Arial" w:hAnsi="Arial" w:cs="Arial"/>
                <w:bCs/>
                <w:iCs/>
                <w:sz w:val="20"/>
                <w:szCs w:val="20"/>
              </w:rPr>
              <w:t>Prospectively, protect reasonably the interest of the CGM by ensuring that JVAs are adequately bonded.</w:t>
            </w:r>
          </w:p>
          <w:p>
            <w:pPr>
              <w:pStyle w:val="ListParagraph"/>
              <w:widowControl w:val="0"/>
              <w:overflowPunct w:val="0"/>
              <w:autoSpaceDE w:val="0"/>
              <w:autoSpaceDN w:val="0"/>
              <w:adjustRightInd w:val="0"/>
              <w:ind w:left="338"/>
              <w:jc w:val="both"/>
              <w:rPr>
                <w:rFonts w:ascii="Arial" w:hAnsi="Arial" w:cs="Arial"/>
                <w:bCs/>
                <w:iCs/>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Management submitted the </w:t>
            </w:r>
            <w:r>
              <w:rPr>
                <w:rFonts w:ascii="Arial" w:hAnsi="Arial" w:cs="Arial"/>
                <w:sz w:val="20"/>
                <w:szCs w:val="20"/>
              </w:rPr>
              <w:lastRenderedPageBreak/>
              <w:t>amended JVA dated May 23, 2023.</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Same as above</w:t>
            </w:r>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2019 AAR, Observation No. 1,</w:t>
            </w:r>
          </w:p>
          <w:p>
            <w:pPr>
              <w:pStyle w:val="NoSpacing"/>
              <w:contextualSpacing/>
              <w:jc w:val="center"/>
              <w:rPr>
                <w:rFonts w:ascii="Arial" w:hAnsi="Arial" w:cs="Arial"/>
                <w:sz w:val="20"/>
                <w:szCs w:val="20"/>
              </w:rPr>
            </w:pPr>
            <w:r>
              <w:rPr>
                <w:rFonts w:ascii="Arial" w:hAnsi="Arial" w:cs="Arial"/>
                <w:sz w:val="20"/>
                <w:szCs w:val="20"/>
              </w:rPr>
              <w:t>Page 63</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tc>
        <w:tc>
          <w:tcPr>
            <w:tcW w:w="2525" w:type="dxa"/>
          </w:tcPr>
          <w:p>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Pr>
                <w:rFonts w:ascii="Arial" w:hAnsi="Arial" w:cs="Arial"/>
                <w:bCs/>
                <w:iCs/>
                <w:sz w:val="20"/>
                <w:szCs w:val="20"/>
              </w:rPr>
              <w:t xml:space="preserve">The City has not submitted 1,684 disbursement vouchers (DVs) and their supporting documents involving P2.275 billion, thereby limiting the extent of audit, preventing us to establish fully the validity of the underlying transactions, and forfeiting the benefit of, among others, timely detecting errors and deficiencies; identifying areas for improvement; and having input to assessments of accountability and decisions that need to be made. One thousand four hundred thirty-five (1,435) of these unsubmitted DVs in the amount of </w:t>
            </w:r>
            <w:r>
              <w:rPr>
                <w:rFonts w:ascii="Arial" w:hAnsi="Arial" w:cs="Arial"/>
                <w:bCs/>
                <w:iCs/>
                <w:sz w:val="20"/>
                <w:szCs w:val="20"/>
              </w:rPr>
              <w:br/>
              <w:t xml:space="preserve">P2.142 billion pertain to the disbursements from CY 2015 to </w:t>
            </w:r>
            <w:r>
              <w:rPr>
                <w:rFonts w:ascii="Arial" w:hAnsi="Arial" w:cs="Arial"/>
                <w:bCs/>
                <w:iCs/>
                <w:sz w:val="20"/>
                <w:szCs w:val="20"/>
              </w:rPr>
              <w:br/>
              <w:t>June 30, 2019 and are the accountabilities of the previous City Administrations.</w:t>
            </w:r>
          </w:p>
          <w:p>
            <w:pPr>
              <w:pStyle w:val="ListParagraph"/>
              <w:widowControl w:val="0"/>
              <w:overflowPunct w:val="0"/>
              <w:autoSpaceDE w:val="0"/>
              <w:autoSpaceDN w:val="0"/>
              <w:adjustRightInd w:val="0"/>
              <w:ind w:left="338"/>
              <w:jc w:val="both"/>
              <w:rPr>
                <w:rFonts w:ascii="Arial" w:hAnsi="Arial" w:cs="Arial"/>
                <w:bCs/>
                <w:iCs/>
                <w:sz w:val="20"/>
                <w:szCs w:val="20"/>
              </w:rPr>
            </w:pPr>
          </w:p>
          <w:p>
            <w:pPr>
              <w:pStyle w:val="ListParagraph"/>
              <w:widowControl w:val="0"/>
              <w:overflowPunct w:val="0"/>
              <w:autoSpaceDE w:val="0"/>
              <w:autoSpaceDN w:val="0"/>
              <w:adjustRightInd w:val="0"/>
              <w:ind w:left="338"/>
              <w:jc w:val="both"/>
              <w:rPr>
                <w:rFonts w:ascii="Arial" w:hAnsi="Arial" w:cs="Arial"/>
                <w:sz w:val="20"/>
                <w:szCs w:val="20"/>
              </w:rPr>
            </w:pPr>
            <w:r>
              <w:rPr>
                <w:rFonts w:ascii="Arial" w:hAnsi="Arial" w:cs="Arial"/>
                <w:sz w:val="20"/>
                <w:szCs w:val="20"/>
              </w:rPr>
              <w:lastRenderedPageBreak/>
              <w:t>We recommended that Management:</w:t>
            </w:r>
          </w:p>
          <w:p>
            <w:pPr>
              <w:pStyle w:val="ListParagraph"/>
              <w:widowControl w:val="0"/>
              <w:overflowPunct w:val="0"/>
              <w:autoSpaceDE w:val="0"/>
              <w:autoSpaceDN w:val="0"/>
              <w:adjustRightInd w:val="0"/>
              <w:ind w:left="426"/>
              <w:jc w:val="both"/>
              <w:rPr>
                <w:rFonts w:ascii="Arial" w:hAnsi="Arial" w:cs="Arial"/>
                <w:sz w:val="20"/>
                <w:szCs w:val="20"/>
              </w:rPr>
            </w:pPr>
          </w:p>
          <w:p>
            <w:pPr>
              <w:pStyle w:val="ListParagraph"/>
              <w:widowControl w:val="0"/>
              <w:numPr>
                <w:ilvl w:val="0"/>
                <w:numId w:val="11"/>
              </w:numPr>
              <w:overflowPunct w:val="0"/>
              <w:autoSpaceDE w:val="0"/>
              <w:autoSpaceDN w:val="0"/>
              <w:adjustRightInd w:val="0"/>
              <w:ind w:left="609" w:hanging="271"/>
              <w:jc w:val="both"/>
              <w:rPr>
                <w:rFonts w:ascii="Arial" w:hAnsi="Arial" w:cs="Arial"/>
                <w:sz w:val="20"/>
                <w:szCs w:val="20"/>
              </w:rPr>
            </w:pPr>
            <w:r>
              <w:rPr>
                <w:rFonts w:ascii="Arial" w:hAnsi="Arial" w:cs="Arial"/>
                <w:sz w:val="20"/>
                <w:szCs w:val="20"/>
              </w:rPr>
              <w:t xml:space="preserve">Direct the CTO to: </w:t>
            </w:r>
          </w:p>
          <w:p>
            <w:pPr>
              <w:pStyle w:val="ListParagraph"/>
              <w:widowControl w:val="0"/>
              <w:overflowPunct w:val="0"/>
              <w:autoSpaceDE w:val="0"/>
              <w:autoSpaceDN w:val="0"/>
              <w:adjustRightInd w:val="0"/>
              <w:ind w:left="426"/>
              <w:jc w:val="both"/>
              <w:rPr>
                <w:rFonts w:ascii="Arial" w:hAnsi="Arial" w:cs="Arial"/>
                <w:sz w:val="20"/>
                <w:szCs w:val="20"/>
              </w:rPr>
            </w:pPr>
          </w:p>
          <w:p>
            <w:pPr>
              <w:pStyle w:val="ListParagraph"/>
              <w:widowControl w:val="0"/>
              <w:numPr>
                <w:ilvl w:val="0"/>
                <w:numId w:val="12"/>
              </w:numPr>
              <w:overflowPunct w:val="0"/>
              <w:autoSpaceDE w:val="0"/>
              <w:autoSpaceDN w:val="0"/>
              <w:adjustRightInd w:val="0"/>
              <w:ind w:left="879" w:hanging="270"/>
              <w:jc w:val="both"/>
              <w:rPr>
                <w:rFonts w:ascii="Arial" w:hAnsi="Arial" w:cs="Arial"/>
                <w:sz w:val="20"/>
                <w:szCs w:val="20"/>
              </w:rPr>
            </w:pPr>
            <w:r>
              <w:rPr>
                <w:rFonts w:ascii="Arial" w:hAnsi="Arial" w:cs="Arial"/>
                <w:sz w:val="20"/>
                <w:szCs w:val="20"/>
              </w:rPr>
              <w:t xml:space="preserve">Produce and submit to the OCAT without further delay all the 288 DVs in Paragraph 1.7 of Observation </w:t>
            </w:r>
          </w:p>
          <w:p>
            <w:pPr>
              <w:pStyle w:val="ListParagraph"/>
              <w:widowControl w:val="0"/>
              <w:overflowPunct w:val="0"/>
              <w:autoSpaceDE w:val="0"/>
              <w:autoSpaceDN w:val="0"/>
              <w:adjustRightInd w:val="0"/>
              <w:ind w:left="879"/>
              <w:jc w:val="both"/>
              <w:rPr>
                <w:rFonts w:ascii="Arial" w:hAnsi="Arial" w:cs="Arial"/>
                <w:sz w:val="20"/>
                <w:szCs w:val="20"/>
              </w:rPr>
            </w:pPr>
            <w:r>
              <w:rPr>
                <w:rFonts w:ascii="Arial" w:hAnsi="Arial" w:cs="Arial"/>
                <w:sz w:val="20"/>
                <w:szCs w:val="20"/>
              </w:rPr>
              <w:t xml:space="preserve">No. 1; </w:t>
            </w: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numPr>
                <w:ilvl w:val="0"/>
                <w:numId w:val="12"/>
              </w:numPr>
              <w:overflowPunct w:val="0"/>
              <w:autoSpaceDE w:val="0"/>
              <w:autoSpaceDN w:val="0"/>
              <w:adjustRightInd w:val="0"/>
              <w:ind w:left="879" w:hanging="270"/>
              <w:jc w:val="both"/>
              <w:rPr>
                <w:rFonts w:ascii="Arial" w:hAnsi="Arial" w:cs="Arial"/>
                <w:sz w:val="20"/>
                <w:szCs w:val="20"/>
              </w:rPr>
            </w:pPr>
            <w:r>
              <w:rPr>
                <w:rFonts w:ascii="Arial" w:hAnsi="Arial" w:cs="Arial"/>
                <w:sz w:val="20"/>
                <w:szCs w:val="20"/>
              </w:rPr>
              <w:t>Submit to the OCAT within the prescribed period all the DVs supporting the RCI; and</w:t>
            </w:r>
          </w:p>
          <w:p>
            <w:pPr>
              <w:pStyle w:val="ListParagraph"/>
              <w:widowControl w:val="0"/>
              <w:overflowPunct w:val="0"/>
              <w:autoSpaceDE w:val="0"/>
              <w:autoSpaceDN w:val="0"/>
              <w:adjustRightInd w:val="0"/>
              <w:ind w:left="609"/>
              <w:jc w:val="both"/>
              <w:rPr>
                <w:rFonts w:ascii="Arial" w:hAnsi="Arial" w:cs="Arial"/>
                <w:sz w:val="20"/>
                <w:szCs w:val="20"/>
              </w:rPr>
            </w:pPr>
          </w:p>
          <w:p>
            <w:pPr>
              <w:pStyle w:val="ListParagraph"/>
              <w:widowControl w:val="0"/>
              <w:overflowPunct w:val="0"/>
              <w:autoSpaceDE w:val="0"/>
              <w:autoSpaceDN w:val="0"/>
              <w:adjustRightInd w:val="0"/>
              <w:ind w:left="609"/>
              <w:jc w:val="both"/>
              <w:rPr>
                <w:rFonts w:ascii="Arial" w:hAnsi="Arial" w:cs="Arial"/>
                <w:sz w:val="20"/>
                <w:szCs w:val="20"/>
              </w:rPr>
            </w:pPr>
          </w:p>
          <w:p>
            <w:pPr>
              <w:pStyle w:val="ListParagraph"/>
              <w:widowControl w:val="0"/>
              <w:overflowPunct w:val="0"/>
              <w:autoSpaceDE w:val="0"/>
              <w:autoSpaceDN w:val="0"/>
              <w:adjustRightInd w:val="0"/>
              <w:ind w:left="609"/>
              <w:jc w:val="both"/>
              <w:rPr>
                <w:rFonts w:ascii="Arial" w:hAnsi="Arial" w:cs="Arial"/>
                <w:sz w:val="20"/>
                <w:szCs w:val="20"/>
              </w:rPr>
            </w:pPr>
          </w:p>
          <w:p>
            <w:pPr>
              <w:pStyle w:val="ListParagraph"/>
              <w:widowControl w:val="0"/>
              <w:numPr>
                <w:ilvl w:val="0"/>
                <w:numId w:val="11"/>
              </w:numPr>
              <w:overflowPunct w:val="0"/>
              <w:autoSpaceDE w:val="0"/>
              <w:autoSpaceDN w:val="0"/>
              <w:adjustRightInd w:val="0"/>
              <w:ind w:left="609" w:hanging="271"/>
              <w:jc w:val="both"/>
              <w:rPr>
                <w:rFonts w:ascii="Arial" w:hAnsi="Arial" w:cs="Arial"/>
                <w:sz w:val="20"/>
                <w:szCs w:val="20"/>
              </w:rPr>
            </w:pPr>
            <w:r>
              <w:rPr>
                <w:rFonts w:ascii="Arial" w:hAnsi="Arial" w:cs="Arial"/>
                <w:sz w:val="20"/>
                <w:szCs w:val="20"/>
              </w:rPr>
              <w:t xml:space="preserve">Require the OCAT to: </w:t>
            </w:r>
          </w:p>
          <w:p>
            <w:pPr>
              <w:spacing w:after="0" w:line="240" w:lineRule="auto"/>
              <w:ind w:left="1146"/>
              <w:contextualSpacing/>
              <w:jc w:val="both"/>
              <w:rPr>
                <w:rFonts w:ascii="Arial" w:hAnsi="Arial" w:cs="Arial"/>
                <w:sz w:val="20"/>
                <w:szCs w:val="20"/>
              </w:rPr>
            </w:pPr>
          </w:p>
          <w:p>
            <w:pPr>
              <w:pStyle w:val="ListParagraph"/>
              <w:widowControl w:val="0"/>
              <w:numPr>
                <w:ilvl w:val="0"/>
                <w:numId w:val="12"/>
              </w:numPr>
              <w:overflowPunct w:val="0"/>
              <w:autoSpaceDE w:val="0"/>
              <w:autoSpaceDN w:val="0"/>
              <w:adjustRightInd w:val="0"/>
              <w:ind w:left="879" w:hanging="270"/>
              <w:jc w:val="both"/>
              <w:rPr>
                <w:rFonts w:ascii="Arial" w:hAnsi="Arial" w:cs="Arial"/>
                <w:sz w:val="20"/>
                <w:szCs w:val="20"/>
              </w:rPr>
            </w:pPr>
            <w:r>
              <w:rPr>
                <w:rFonts w:ascii="Arial" w:hAnsi="Arial" w:cs="Arial"/>
                <w:sz w:val="20"/>
                <w:szCs w:val="20"/>
              </w:rPr>
              <w:t>Submit to the CAO without further delay all the 1,684 DVs specified in Paragraph 1.5 of Observation No. 1; and</w:t>
            </w: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overflowPunct w:val="0"/>
              <w:autoSpaceDE w:val="0"/>
              <w:autoSpaceDN w:val="0"/>
              <w:adjustRightInd w:val="0"/>
              <w:ind w:left="879"/>
              <w:jc w:val="both"/>
              <w:rPr>
                <w:rFonts w:ascii="Arial" w:hAnsi="Arial" w:cs="Arial"/>
                <w:sz w:val="20"/>
                <w:szCs w:val="20"/>
              </w:rPr>
            </w:pPr>
          </w:p>
          <w:p>
            <w:pPr>
              <w:pStyle w:val="ListParagraph"/>
              <w:widowControl w:val="0"/>
              <w:numPr>
                <w:ilvl w:val="0"/>
                <w:numId w:val="12"/>
              </w:numPr>
              <w:overflowPunct w:val="0"/>
              <w:autoSpaceDE w:val="0"/>
              <w:autoSpaceDN w:val="0"/>
              <w:adjustRightInd w:val="0"/>
              <w:ind w:left="879" w:hanging="270"/>
              <w:jc w:val="both"/>
              <w:rPr>
                <w:rFonts w:ascii="Arial" w:hAnsi="Arial" w:cs="Arial"/>
                <w:sz w:val="20"/>
                <w:szCs w:val="20"/>
              </w:rPr>
            </w:pPr>
            <w:r>
              <w:rPr>
                <w:rFonts w:ascii="Arial" w:hAnsi="Arial" w:cs="Arial"/>
                <w:sz w:val="20"/>
                <w:szCs w:val="20"/>
              </w:rPr>
              <w:t xml:space="preserve">Henceforth, submit to the </w:t>
            </w:r>
            <w:r>
              <w:rPr>
                <w:rFonts w:ascii="Arial" w:hAnsi="Arial" w:cs="Arial"/>
                <w:sz w:val="20"/>
                <w:szCs w:val="20"/>
              </w:rPr>
              <w:lastRenderedPageBreak/>
              <w:t>CAO within the prescribed period all the DVs supporting the checks issued in the RCI with the list of original DVs still with the CTO, in the proper case, and stop the preparation of a separate schedule of DVs.</w:t>
            </w:r>
          </w:p>
          <w:p>
            <w:pPr>
              <w:pStyle w:val="ListParagraph"/>
              <w:widowControl w:val="0"/>
              <w:overflowPunct w:val="0"/>
              <w:autoSpaceDE w:val="0"/>
              <w:autoSpaceDN w:val="0"/>
              <w:adjustRightInd w:val="0"/>
              <w:ind w:left="879"/>
              <w:jc w:val="both"/>
              <w:rPr>
                <w:rFonts w:ascii="Arial" w:hAnsi="Arial" w:cs="Arial"/>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 xml:space="preserve">Unimplemented </w:t>
            </w: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Unimplemented</w:t>
            </w: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 xml:space="preserve">Unimplemented </w:t>
            </w: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Unimplemented</w:t>
            </w: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pStyle w:val="NoSpacing"/>
              <w:contextualSpacing/>
              <w:jc w:val="center"/>
              <w:rPr>
                <w:rFonts w:ascii="Arial" w:hAnsi="Arial" w:cs="Arial"/>
                <w:sz w:val="20"/>
                <w:szCs w:val="20"/>
              </w:rPr>
            </w:pP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CTO informed that, based on its records, it has already forwarded 2,032 original copy of CYs 2015-2022 DVs to the OCAT.</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Same as above</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OCAT claimed that as of           March 14, 2023, the unsubmitted vouchers amounts to P2.184 billion.</w:t>
            </w: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rPr>
            </w:pPr>
            <w:r>
              <w:rPr>
                <w:rFonts w:ascii="Arial" w:hAnsi="Arial" w:cs="Arial"/>
                <w:sz w:val="20"/>
                <w:szCs w:val="20"/>
              </w:rPr>
              <w:t xml:space="preserve">The OCAT and CTO, put in place a </w:t>
            </w:r>
            <w:r>
              <w:rPr>
                <w:rFonts w:ascii="Arial" w:hAnsi="Arial" w:cs="Arial"/>
                <w:sz w:val="20"/>
                <w:szCs w:val="20"/>
              </w:rPr>
              <w:lastRenderedPageBreak/>
              <w:t>system that will hasten DV submission to CAO.</w:t>
            </w: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lang w:val="en-US"/>
              </w:rPr>
            </w:pPr>
          </w:p>
          <w:p>
            <w:pPr>
              <w:pStyle w:val="NoSpacing"/>
              <w:contextualSpacing/>
              <w:jc w:val="both"/>
              <w:rPr>
                <w:rFonts w:ascii="Arial" w:hAnsi="Arial" w:cs="Arial"/>
                <w:sz w:val="20"/>
                <w:szCs w:val="20"/>
              </w:rPr>
            </w:pPr>
          </w:p>
        </w:tc>
        <w:tc>
          <w:tcPr>
            <w:tcW w:w="1842"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Of the unsubmitted DVs, 259 in the amount of P152.187 million are in the custody of the CTO as of </w:t>
            </w:r>
            <w:r>
              <w:rPr>
                <w:rFonts w:ascii="Arial" w:hAnsi="Arial" w:cs="Arial"/>
                <w:sz w:val="20"/>
                <w:szCs w:val="20"/>
              </w:rPr>
              <w:br/>
              <w:t>April 14, 2023.</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Most of the DVs supporting the RCI are not yet submitted within the prescribed period.</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jc w:val="both"/>
              <w:rPr>
                <w:rFonts w:ascii="Arial" w:hAnsi="Arial" w:cs="Arial"/>
                <w:sz w:val="20"/>
                <w:szCs w:val="20"/>
              </w:rPr>
            </w:pPr>
            <w:r>
              <w:rPr>
                <w:rFonts w:ascii="Arial" w:hAnsi="Arial" w:cs="Arial"/>
                <w:sz w:val="20"/>
                <w:szCs w:val="20"/>
              </w:rPr>
              <w:t>A total of 2,767 DVs amounting to P2.204 billion remained unsubmitted to CAO as of         May 22, 2023, to wit:</w:t>
            </w:r>
          </w:p>
          <w:p>
            <w:pPr>
              <w:pStyle w:val="NoSpacing"/>
              <w:jc w:val="both"/>
              <w:rPr>
                <w:rFonts w:ascii="Arial" w:hAnsi="Arial" w:cs="Arial"/>
                <w:sz w:val="20"/>
                <w:szCs w:val="20"/>
              </w:rPr>
            </w:pPr>
          </w:p>
          <w:p>
            <w:pPr>
              <w:pStyle w:val="NoSpacing"/>
              <w:numPr>
                <w:ilvl w:val="0"/>
                <w:numId w:val="4"/>
              </w:numPr>
              <w:ind w:left="134" w:hanging="134"/>
              <w:jc w:val="both"/>
              <w:rPr>
                <w:rFonts w:ascii="Arial" w:hAnsi="Arial" w:cs="Arial"/>
                <w:sz w:val="20"/>
                <w:szCs w:val="20"/>
              </w:rPr>
            </w:pPr>
            <w:r>
              <w:rPr>
                <w:rFonts w:ascii="Arial" w:hAnsi="Arial" w:cs="Arial"/>
                <w:sz w:val="20"/>
                <w:szCs w:val="20"/>
              </w:rPr>
              <w:t>Present administration:</w:t>
            </w:r>
          </w:p>
          <w:p>
            <w:pPr>
              <w:pStyle w:val="NoSpacing"/>
              <w:ind w:left="134"/>
              <w:jc w:val="both"/>
              <w:rPr>
                <w:rFonts w:ascii="Arial" w:hAnsi="Arial" w:cs="Arial"/>
                <w:sz w:val="20"/>
                <w:szCs w:val="20"/>
              </w:rPr>
            </w:pPr>
            <w:r>
              <w:rPr>
                <w:rFonts w:ascii="Arial" w:hAnsi="Arial" w:cs="Arial"/>
                <w:sz w:val="20"/>
                <w:szCs w:val="20"/>
              </w:rPr>
              <w:t>312 DVs totaling P20.979 million</w:t>
            </w:r>
          </w:p>
          <w:p>
            <w:pPr>
              <w:pStyle w:val="NoSpacing"/>
              <w:jc w:val="both"/>
              <w:rPr>
                <w:rFonts w:ascii="Arial" w:hAnsi="Arial" w:cs="Arial"/>
                <w:sz w:val="20"/>
                <w:szCs w:val="20"/>
              </w:rPr>
            </w:pPr>
          </w:p>
          <w:p>
            <w:pPr>
              <w:pStyle w:val="NoSpacing"/>
              <w:numPr>
                <w:ilvl w:val="0"/>
                <w:numId w:val="4"/>
              </w:numPr>
              <w:ind w:left="134" w:hanging="134"/>
              <w:jc w:val="both"/>
              <w:rPr>
                <w:rFonts w:ascii="Arial" w:hAnsi="Arial" w:cs="Arial"/>
                <w:sz w:val="20"/>
                <w:szCs w:val="20"/>
              </w:rPr>
            </w:pPr>
            <w:r>
              <w:rPr>
                <w:rFonts w:ascii="Arial" w:hAnsi="Arial" w:cs="Arial"/>
                <w:sz w:val="20"/>
                <w:szCs w:val="20"/>
              </w:rPr>
              <w:t>Immediately preceding administration:</w:t>
            </w:r>
          </w:p>
          <w:p>
            <w:pPr>
              <w:pStyle w:val="NoSpacing"/>
              <w:ind w:left="134"/>
              <w:jc w:val="both"/>
              <w:rPr>
                <w:rFonts w:ascii="Arial" w:hAnsi="Arial" w:cs="Arial"/>
                <w:sz w:val="20"/>
                <w:szCs w:val="20"/>
              </w:rPr>
            </w:pPr>
            <w:r>
              <w:rPr>
                <w:rFonts w:ascii="Arial" w:hAnsi="Arial" w:cs="Arial"/>
                <w:sz w:val="20"/>
                <w:szCs w:val="20"/>
              </w:rPr>
              <w:t>1,069 DVs totaling P196.457 million</w:t>
            </w:r>
          </w:p>
          <w:p>
            <w:pPr>
              <w:pStyle w:val="NoSpacing"/>
              <w:ind w:left="134"/>
              <w:jc w:val="both"/>
              <w:rPr>
                <w:rFonts w:ascii="Arial" w:hAnsi="Arial" w:cs="Arial"/>
                <w:sz w:val="20"/>
                <w:szCs w:val="20"/>
              </w:rPr>
            </w:pPr>
            <w:r>
              <w:rPr>
                <w:rFonts w:ascii="Arial" w:hAnsi="Arial" w:cs="Arial"/>
                <w:sz w:val="20"/>
                <w:szCs w:val="20"/>
              </w:rPr>
              <w:t xml:space="preserve"> </w:t>
            </w:r>
          </w:p>
          <w:p>
            <w:pPr>
              <w:pStyle w:val="NoSpacing"/>
              <w:numPr>
                <w:ilvl w:val="0"/>
                <w:numId w:val="4"/>
              </w:numPr>
              <w:ind w:left="134" w:hanging="134"/>
              <w:jc w:val="both"/>
              <w:rPr>
                <w:rFonts w:ascii="Arial" w:hAnsi="Arial" w:cs="Arial"/>
                <w:sz w:val="20"/>
                <w:szCs w:val="20"/>
              </w:rPr>
            </w:pPr>
            <w:r>
              <w:rPr>
                <w:rFonts w:ascii="Arial" w:hAnsi="Arial" w:cs="Arial"/>
                <w:sz w:val="20"/>
                <w:szCs w:val="20"/>
              </w:rPr>
              <w:t>Other past administrations:</w:t>
            </w:r>
          </w:p>
          <w:p>
            <w:pPr>
              <w:pStyle w:val="NoSpacing"/>
              <w:ind w:left="134"/>
              <w:jc w:val="both"/>
              <w:rPr>
                <w:rFonts w:ascii="Arial" w:hAnsi="Arial" w:cs="Arial"/>
                <w:sz w:val="20"/>
                <w:szCs w:val="20"/>
              </w:rPr>
            </w:pPr>
            <w:r>
              <w:rPr>
                <w:rFonts w:ascii="Arial" w:hAnsi="Arial" w:cs="Arial"/>
                <w:sz w:val="20"/>
                <w:szCs w:val="20"/>
              </w:rPr>
              <w:t xml:space="preserve">1,386 DVs totaling </w:t>
            </w:r>
            <w:r>
              <w:rPr>
                <w:rFonts w:ascii="Arial" w:hAnsi="Arial" w:cs="Arial"/>
                <w:sz w:val="20"/>
                <w:szCs w:val="20"/>
              </w:rPr>
              <w:br/>
              <w:t>P1.987 billion</w:t>
            </w:r>
          </w:p>
          <w:p>
            <w:pPr>
              <w:pStyle w:val="NoSpacing"/>
              <w:jc w:val="both"/>
              <w:rPr>
                <w:rFonts w:ascii="Arial" w:hAnsi="Arial" w:cs="Arial"/>
                <w:sz w:val="20"/>
                <w:szCs w:val="20"/>
              </w:rPr>
            </w:pPr>
          </w:p>
          <w:p>
            <w:pPr>
              <w:pStyle w:val="NoSpacing"/>
              <w:jc w:val="both"/>
              <w:rPr>
                <w:rFonts w:ascii="Arial" w:hAnsi="Arial" w:cs="Arial"/>
                <w:sz w:val="20"/>
                <w:szCs w:val="20"/>
              </w:rPr>
            </w:pPr>
            <w:r>
              <w:rPr>
                <w:rFonts w:ascii="Arial" w:hAnsi="Arial" w:cs="Arial"/>
                <w:sz w:val="20"/>
                <w:szCs w:val="20"/>
              </w:rPr>
              <w:t xml:space="preserve">Not all DVs specified in the </w:t>
            </w:r>
            <w:r>
              <w:rPr>
                <w:rFonts w:ascii="Arial" w:hAnsi="Arial" w:cs="Arial"/>
                <w:sz w:val="20"/>
                <w:szCs w:val="20"/>
              </w:rPr>
              <w:lastRenderedPageBreak/>
              <w:t>RCI are submitted to the CAO.</w:t>
            </w:r>
          </w:p>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lastRenderedPageBreak/>
              <w:t>CY 2019 AAR, Observation No. 3, Page 71</w:t>
            </w:r>
          </w:p>
        </w:tc>
        <w:tc>
          <w:tcPr>
            <w:tcW w:w="2525" w:type="dxa"/>
          </w:tcPr>
          <w:p>
            <w:pPr>
              <w:numPr>
                <w:ilvl w:val="0"/>
                <w:numId w:val="1"/>
              </w:numPr>
              <w:spacing w:after="0" w:line="240" w:lineRule="auto"/>
              <w:ind w:left="338"/>
              <w:contextualSpacing/>
              <w:jc w:val="both"/>
              <w:rPr>
                <w:rFonts w:ascii="Arial" w:hAnsi="Arial" w:cs="Arial"/>
                <w:sz w:val="20"/>
                <w:szCs w:val="20"/>
              </w:rPr>
            </w:pPr>
            <w:r>
              <w:rPr>
                <w:rFonts w:ascii="Arial" w:hAnsi="Arial" w:cs="Arial"/>
                <w:sz w:val="20"/>
                <w:szCs w:val="20"/>
              </w:rPr>
              <w:t>The City had not disclosed in the Notes to FS the required information relevant to the understanding of the accounts presented in its FS that will enable users of these FS to evaluate the significance of the assets, liabilities and equity to the City’s financial position and performance and the nature and extent of risks arising from them.</w:t>
            </w:r>
          </w:p>
          <w:p>
            <w:pPr>
              <w:spacing w:after="0" w:line="240" w:lineRule="auto"/>
              <w:contextualSpacing/>
              <w:jc w:val="both"/>
              <w:rPr>
                <w:rFonts w:ascii="Arial" w:hAnsi="Arial" w:cs="Arial"/>
                <w:sz w:val="20"/>
                <w:szCs w:val="20"/>
              </w:rPr>
            </w:pPr>
          </w:p>
          <w:p>
            <w:pPr>
              <w:spacing w:after="0" w:line="240" w:lineRule="auto"/>
              <w:ind w:left="338"/>
              <w:contextualSpacing/>
              <w:jc w:val="both"/>
              <w:rPr>
                <w:rFonts w:ascii="Arial" w:hAnsi="Arial" w:cs="Arial"/>
                <w:sz w:val="20"/>
                <w:szCs w:val="20"/>
              </w:rPr>
            </w:pPr>
            <w:r>
              <w:rPr>
                <w:rFonts w:ascii="Arial" w:hAnsi="Arial" w:cs="Arial"/>
                <w:sz w:val="20"/>
                <w:szCs w:val="20"/>
              </w:rPr>
              <w:t>We recommended that Management direct the OCAT to disclose in the Notes to FS the foregoing information.</w:t>
            </w:r>
          </w:p>
          <w:p>
            <w:pPr>
              <w:spacing w:after="0" w:line="240" w:lineRule="auto"/>
              <w:ind w:left="338"/>
              <w:contextualSpacing/>
              <w:jc w:val="both"/>
              <w:rPr>
                <w:rFonts w:ascii="Arial" w:hAnsi="Arial" w:cs="Arial"/>
                <w:sz w:val="20"/>
                <w:szCs w:val="20"/>
              </w:rPr>
            </w:pPr>
          </w:p>
        </w:tc>
        <w:tc>
          <w:tcPr>
            <w:tcW w:w="1899" w:type="dxa"/>
          </w:tcPr>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Implemented</w:t>
            </w: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OCAT made proper disclosure in the Notes to FS.</w:t>
            </w:r>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2019 AAR, Observation No. 6,</w:t>
            </w:r>
          </w:p>
          <w:p>
            <w:pPr>
              <w:pStyle w:val="NoSpacing"/>
              <w:contextualSpacing/>
              <w:jc w:val="center"/>
              <w:rPr>
                <w:rFonts w:ascii="Arial" w:hAnsi="Arial" w:cs="Arial"/>
                <w:sz w:val="20"/>
                <w:szCs w:val="20"/>
              </w:rPr>
            </w:pPr>
            <w:r>
              <w:rPr>
                <w:rFonts w:ascii="Arial" w:hAnsi="Arial" w:cs="Arial"/>
                <w:sz w:val="20"/>
                <w:szCs w:val="20"/>
              </w:rPr>
              <w:t>Page 78</w:t>
            </w:r>
          </w:p>
          <w:p>
            <w:pPr>
              <w:pStyle w:val="NoSpacing"/>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tc>
        <w:tc>
          <w:tcPr>
            <w:tcW w:w="2525" w:type="dxa"/>
          </w:tcPr>
          <w:p>
            <w:pPr>
              <w:numPr>
                <w:ilvl w:val="0"/>
                <w:numId w:val="1"/>
              </w:numPr>
              <w:spacing w:after="0" w:line="240" w:lineRule="auto"/>
              <w:ind w:left="338"/>
              <w:contextualSpacing/>
              <w:jc w:val="both"/>
              <w:rPr>
                <w:rFonts w:ascii="Arial" w:hAnsi="Arial" w:cs="Arial"/>
                <w:sz w:val="20"/>
                <w:szCs w:val="20"/>
                <w:lang w:val="en-US"/>
              </w:rPr>
            </w:pPr>
            <w:r>
              <w:rPr>
                <w:rFonts w:ascii="Arial" w:hAnsi="Arial" w:cs="Arial"/>
                <w:sz w:val="20"/>
                <w:szCs w:val="20"/>
              </w:rPr>
              <w:t xml:space="preserve">The City had not settled cash advances (CAs) totaling P203.440 million, P198.791 million or 97.70 percent of which were drawn by and are the accountabilities of the past City Administrations. These advances were intended to defray the </w:t>
            </w:r>
            <w:r>
              <w:rPr>
                <w:rFonts w:ascii="Arial" w:hAnsi="Arial" w:cs="Arial"/>
                <w:sz w:val="20"/>
                <w:szCs w:val="20"/>
              </w:rPr>
              <w:lastRenderedPageBreak/>
              <w:t xml:space="preserve">expenses for the year in which they were granted, thus, the expenses paid out of them had not been recognized in the year incurred, thereby affecting the fair presentation in the financial statements of the cash advance, expense and equity accounts.  </w:t>
            </w:r>
          </w:p>
          <w:p>
            <w:pPr>
              <w:spacing w:after="0" w:line="240" w:lineRule="auto"/>
              <w:ind w:left="338"/>
              <w:contextualSpacing/>
              <w:jc w:val="both"/>
              <w:rPr>
                <w:rFonts w:ascii="Arial" w:hAnsi="Arial" w:cs="Arial"/>
                <w:sz w:val="20"/>
                <w:szCs w:val="20"/>
              </w:rPr>
            </w:pPr>
          </w:p>
          <w:p>
            <w:pPr>
              <w:spacing w:after="0" w:line="240" w:lineRule="auto"/>
              <w:ind w:left="338"/>
              <w:contextualSpacing/>
              <w:jc w:val="both"/>
              <w:rPr>
                <w:rFonts w:ascii="Arial" w:hAnsi="Arial" w:cs="Arial"/>
                <w:sz w:val="20"/>
                <w:szCs w:val="20"/>
                <w:lang w:val="en-US"/>
              </w:rPr>
            </w:pPr>
            <w:r>
              <w:rPr>
                <w:rFonts w:ascii="Arial" w:hAnsi="Arial" w:cs="Arial"/>
                <w:sz w:val="20"/>
                <w:szCs w:val="20"/>
              </w:rPr>
              <w:t>We recommended that Management, in the case of the officers and employees drawing cash advances, require them to authorize the City to deduct such CAs from their pay upon their failure to liquidate such advances within the prescribed period.</w:t>
            </w:r>
          </w:p>
          <w:p>
            <w:pPr>
              <w:spacing w:after="0" w:line="240" w:lineRule="auto"/>
              <w:ind w:left="338"/>
              <w:contextualSpacing/>
              <w:jc w:val="both"/>
              <w:rPr>
                <w:rFonts w:ascii="Arial" w:hAnsi="Arial" w:cs="Arial"/>
                <w:sz w:val="20"/>
                <w:szCs w:val="20"/>
                <w:lang w:val="en-US"/>
              </w:rPr>
            </w:pPr>
          </w:p>
          <w:p>
            <w:pPr>
              <w:pStyle w:val="ListParagraph"/>
              <w:widowControl w:val="0"/>
              <w:overflowPunct w:val="0"/>
              <w:autoSpaceDE w:val="0"/>
              <w:autoSpaceDN w:val="0"/>
              <w:adjustRightInd w:val="0"/>
              <w:ind w:left="436"/>
              <w:jc w:val="both"/>
              <w:rPr>
                <w:rFonts w:ascii="Arial" w:hAnsi="Arial" w:cs="Arial"/>
                <w:bCs/>
                <w:iCs/>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bookmarkStart w:id="4" w:name="OLE_LINK3"/>
            <w:r>
              <w:rPr>
                <w:rFonts w:ascii="Arial" w:hAnsi="Arial" w:cs="Arial"/>
                <w:sz w:val="20"/>
                <w:szCs w:val="20"/>
                <w:lang w:val="en-US"/>
              </w:rPr>
              <w:t>Liquidation of the outstanding cash advances in the books as of December 31, 2023 were already recorded</w:t>
            </w:r>
            <w:bookmarkEnd w:id="4"/>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2019 AAR, Observation No. 8,</w:t>
            </w:r>
          </w:p>
          <w:p>
            <w:pPr>
              <w:pStyle w:val="NoSpacing"/>
              <w:contextualSpacing/>
              <w:jc w:val="center"/>
              <w:rPr>
                <w:rFonts w:ascii="Arial" w:hAnsi="Arial" w:cs="Arial"/>
                <w:sz w:val="20"/>
                <w:szCs w:val="20"/>
              </w:rPr>
            </w:pPr>
            <w:r>
              <w:rPr>
                <w:rFonts w:ascii="Arial" w:hAnsi="Arial" w:cs="Arial"/>
                <w:sz w:val="20"/>
                <w:szCs w:val="20"/>
              </w:rPr>
              <w:t>Page 83</w:t>
            </w:r>
          </w:p>
          <w:p>
            <w:pPr>
              <w:spacing w:after="0" w:line="240" w:lineRule="auto"/>
              <w:contextualSpacing/>
              <w:jc w:val="center"/>
              <w:rPr>
                <w:rFonts w:ascii="Arial" w:hAnsi="Arial" w:cs="Arial"/>
                <w:sz w:val="20"/>
                <w:szCs w:val="20"/>
              </w:rPr>
            </w:pPr>
          </w:p>
        </w:tc>
        <w:tc>
          <w:tcPr>
            <w:tcW w:w="2525" w:type="dxa"/>
          </w:tcPr>
          <w:p>
            <w:pPr>
              <w:numPr>
                <w:ilvl w:val="0"/>
                <w:numId w:val="1"/>
              </w:numPr>
              <w:spacing w:after="0" w:line="240" w:lineRule="auto"/>
              <w:ind w:left="338" w:hanging="338"/>
              <w:contextualSpacing/>
              <w:jc w:val="both"/>
              <w:rPr>
                <w:rFonts w:ascii="Arial" w:hAnsi="Arial" w:cs="Arial"/>
                <w:sz w:val="20"/>
                <w:szCs w:val="20"/>
                <w:lang w:val="en-US"/>
              </w:rPr>
            </w:pPr>
            <w:r>
              <w:rPr>
                <w:rFonts w:ascii="Arial" w:hAnsi="Arial" w:cs="Arial"/>
                <w:sz w:val="20"/>
                <w:szCs w:val="20"/>
              </w:rPr>
              <w:t xml:space="preserve">Lease contracts poorly managed by the past City administrations resulted in inadequately protected interest of the City on leases, deficient and unreliable lease data, uncollected rent and faulty accounting of lease assets and income. This is not in keeping with sound contract management controls and the accounting standards.  </w:t>
            </w:r>
          </w:p>
          <w:p>
            <w:pPr>
              <w:pStyle w:val="ListParagraph"/>
              <w:widowControl w:val="0"/>
              <w:overflowPunct w:val="0"/>
              <w:autoSpaceDE w:val="0"/>
              <w:autoSpaceDN w:val="0"/>
              <w:adjustRightInd w:val="0"/>
              <w:ind w:left="360"/>
              <w:jc w:val="both"/>
              <w:rPr>
                <w:rFonts w:ascii="Arial" w:hAnsi="Arial" w:cs="Arial"/>
                <w:bCs/>
                <w:iCs/>
                <w:sz w:val="20"/>
                <w:szCs w:val="20"/>
              </w:rPr>
            </w:pPr>
          </w:p>
          <w:p>
            <w:pPr>
              <w:spacing w:after="0" w:line="240" w:lineRule="auto"/>
              <w:ind w:left="338"/>
              <w:contextualSpacing/>
              <w:jc w:val="both"/>
              <w:rPr>
                <w:rFonts w:ascii="Arial" w:hAnsi="Arial" w:cs="Arial"/>
                <w:sz w:val="20"/>
                <w:szCs w:val="20"/>
              </w:rPr>
            </w:pPr>
            <w:r>
              <w:rPr>
                <w:rFonts w:ascii="Arial" w:hAnsi="Arial" w:cs="Arial"/>
                <w:sz w:val="20"/>
                <w:szCs w:val="20"/>
              </w:rPr>
              <w:t>We recommended that Management improve the City’s lease management by:</w:t>
            </w:r>
          </w:p>
          <w:p>
            <w:pPr>
              <w:spacing w:after="0" w:line="240" w:lineRule="auto"/>
              <w:ind w:left="338"/>
              <w:contextualSpacing/>
              <w:jc w:val="both"/>
              <w:rPr>
                <w:rFonts w:ascii="Arial" w:hAnsi="Arial" w:cs="Arial"/>
                <w:sz w:val="20"/>
                <w:szCs w:val="20"/>
                <w:lang w:val="en-US"/>
              </w:rPr>
            </w:pPr>
          </w:p>
          <w:p>
            <w:pPr>
              <w:numPr>
                <w:ilvl w:val="0"/>
                <w:numId w:val="20"/>
              </w:numPr>
              <w:spacing w:after="0" w:line="240" w:lineRule="auto"/>
              <w:ind w:left="609" w:hanging="249"/>
              <w:contextualSpacing/>
              <w:jc w:val="both"/>
              <w:rPr>
                <w:rFonts w:ascii="Arial" w:hAnsi="Arial" w:cs="Arial"/>
                <w:sz w:val="20"/>
                <w:szCs w:val="20"/>
                <w:lang w:val="en-US"/>
              </w:rPr>
            </w:pPr>
            <w:r>
              <w:rPr>
                <w:rFonts w:ascii="Arial" w:hAnsi="Arial" w:cs="Arial"/>
                <w:sz w:val="20"/>
                <w:szCs w:val="20"/>
              </w:rPr>
              <w:t xml:space="preserve">Pending the passing of the </w:t>
            </w:r>
            <w:r>
              <w:rPr>
                <w:rFonts w:ascii="Arial" w:hAnsi="Arial" w:cs="Arial"/>
                <w:sz w:val="20"/>
                <w:szCs w:val="20"/>
              </w:rPr>
              <w:lastRenderedPageBreak/>
              <w:t>foregoing ordinance, issuing guidelines on lease administration factoring in those elements in para. 8.5 of Observation No. 8; and</w:t>
            </w:r>
          </w:p>
          <w:p>
            <w:pPr>
              <w:pStyle w:val="ListParagraph"/>
              <w:widowControl w:val="0"/>
              <w:overflowPunct w:val="0"/>
              <w:autoSpaceDE w:val="0"/>
              <w:autoSpaceDN w:val="0"/>
              <w:adjustRightInd w:val="0"/>
              <w:ind w:left="360"/>
              <w:jc w:val="both"/>
              <w:rPr>
                <w:rFonts w:ascii="Arial" w:hAnsi="Arial" w:cs="Arial"/>
                <w:bCs/>
                <w:iCs/>
                <w:sz w:val="20"/>
                <w:szCs w:val="20"/>
              </w:rPr>
            </w:pPr>
          </w:p>
          <w:p>
            <w:pPr>
              <w:numPr>
                <w:ilvl w:val="0"/>
                <w:numId w:val="20"/>
              </w:numPr>
              <w:spacing w:after="0" w:line="240" w:lineRule="auto"/>
              <w:ind w:left="609" w:hanging="249"/>
              <w:contextualSpacing/>
              <w:jc w:val="both"/>
              <w:rPr>
                <w:rFonts w:ascii="Arial" w:hAnsi="Arial" w:cs="Arial"/>
                <w:sz w:val="20"/>
                <w:szCs w:val="20"/>
                <w:lang w:val="en-US"/>
              </w:rPr>
            </w:pPr>
            <w:r>
              <w:rPr>
                <w:rFonts w:ascii="Arial" w:hAnsi="Arial" w:cs="Arial"/>
                <w:sz w:val="20"/>
                <w:szCs w:val="20"/>
              </w:rPr>
              <w:t xml:space="preserve">Directing the </w:t>
            </w:r>
            <w:r>
              <w:rPr>
                <w:rFonts w:ascii="Arial" w:hAnsi="Arial" w:cs="Arial"/>
                <w:sz w:val="20"/>
                <w:szCs w:val="20"/>
                <w:lang w:val="en-US"/>
              </w:rPr>
              <w:t>OCAT</w:t>
            </w:r>
            <w:r>
              <w:rPr>
                <w:rFonts w:ascii="Arial" w:hAnsi="Arial" w:cs="Arial"/>
                <w:sz w:val="20"/>
                <w:szCs w:val="20"/>
              </w:rPr>
              <w:t xml:space="preserve"> to maintain SLs for each of the lessees indicating therein all the vital information that will enable efficient and effective lease tracking and accounting.</w:t>
            </w:r>
          </w:p>
          <w:p>
            <w:pPr>
              <w:pStyle w:val="ListParagraph"/>
              <w:widowControl w:val="0"/>
              <w:overflowPunct w:val="0"/>
              <w:autoSpaceDE w:val="0"/>
              <w:autoSpaceDN w:val="0"/>
              <w:adjustRightInd w:val="0"/>
              <w:ind w:left="360"/>
              <w:jc w:val="both"/>
              <w:rPr>
                <w:rFonts w:ascii="Arial" w:hAnsi="Arial" w:cs="Arial"/>
                <w:bCs/>
                <w:iCs/>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The CGSO already submitted the </w:t>
            </w:r>
            <w:r>
              <w:rPr>
                <w:rFonts w:ascii="Arial" w:hAnsi="Arial" w:cs="Arial"/>
                <w:sz w:val="20"/>
                <w:szCs w:val="20"/>
              </w:rPr>
              <w:lastRenderedPageBreak/>
              <w:t>interim guidelines in the administration of the patrimonial properties of the City, including the lease thereof.</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SL accounts per lessees are already available in </w:t>
            </w:r>
            <w:proofErr w:type="spellStart"/>
            <w:r>
              <w:rPr>
                <w:rFonts w:ascii="Arial" w:hAnsi="Arial" w:cs="Arial"/>
                <w:sz w:val="20"/>
                <w:szCs w:val="20"/>
              </w:rPr>
              <w:t>iSmart</w:t>
            </w:r>
            <w:proofErr w:type="spellEnd"/>
            <w:r>
              <w:rPr>
                <w:rFonts w:ascii="Arial" w:hAnsi="Arial" w:cs="Arial"/>
                <w:sz w:val="20"/>
                <w:szCs w:val="20"/>
              </w:rPr>
              <w:t xml:space="preserve"> under revenue accounts.</w:t>
            </w:r>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2019 AAR, Observation No. 10,</w:t>
            </w:r>
          </w:p>
          <w:p>
            <w:pPr>
              <w:pStyle w:val="NoSpacing"/>
              <w:contextualSpacing/>
              <w:jc w:val="center"/>
              <w:rPr>
                <w:rFonts w:ascii="Arial" w:hAnsi="Arial" w:cs="Arial"/>
                <w:sz w:val="20"/>
                <w:szCs w:val="20"/>
              </w:rPr>
            </w:pPr>
            <w:r>
              <w:rPr>
                <w:rFonts w:ascii="Arial" w:hAnsi="Arial" w:cs="Arial"/>
                <w:sz w:val="20"/>
                <w:szCs w:val="20"/>
              </w:rPr>
              <w:t>Page 97</w:t>
            </w:r>
          </w:p>
          <w:p>
            <w:pPr>
              <w:pStyle w:val="NoSpacing"/>
              <w:contextualSpacing/>
              <w:jc w:val="center"/>
              <w:rPr>
                <w:rFonts w:ascii="Arial" w:hAnsi="Arial" w:cs="Arial"/>
                <w:sz w:val="20"/>
                <w:szCs w:val="20"/>
              </w:rPr>
            </w:pPr>
          </w:p>
        </w:tc>
        <w:tc>
          <w:tcPr>
            <w:tcW w:w="2525" w:type="dxa"/>
          </w:tcPr>
          <w:p>
            <w:pPr>
              <w:numPr>
                <w:ilvl w:val="0"/>
                <w:numId w:val="1"/>
              </w:numPr>
              <w:spacing w:after="0" w:line="240" w:lineRule="auto"/>
              <w:ind w:left="338"/>
              <w:contextualSpacing/>
              <w:jc w:val="both"/>
              <w:rPr>
                <w:rFonts w:ascii="Arial" w:hAnsi="Arial" w:cs="Arial"/>
                <w:sz w:val="20"/>
                <w:szCs w:val="20"/>
                <w:lang w:val="en-US"/>
              </w:rPr>
            </w:pPr>
            <w:r>
              <w:rPr>
                <w:rFonts w:ascii="Arial" w:hAnsi="Arial" w:cs="Arial"/>
                <w:sz w:val="20"/>
                <w:szCs w:val="20"/>
              </w:rPr>
              <w:t xml:space="preserve">The Joint Venture Agreements (JVAs) do not have certain provisions prescribed in the City’s Joint Venture Ordinance (JVO) which are vital to enforcing joint venture obligations and accountability. Moreover, the City failed to collect its income share from the concerned Joint Ventures (JV) amounting to </w:t>
            </w:r>
            <w:r>
              <w:rPr>
                <w:rFonts w:ascii="Arial" w:hAnsi="Arial" w:cs="Arial"/>
                <w:sz w:val="20"/>
                <w:szCs w:val="20"/>
              </w:rPr>
              <w:br/>
              <w:t>P14.314 million.</w:t>
            </w:r>
          </w:p>
          <w:p>
            <w:pPr>
              <w:spacing w:after="0" w:line="240" w:lineRule="auto"/>
              <w:ind w:left="338"/>
              <w:contextualSpacing/>
              <w:jc w:val="both"/>
              <w:rPr>
                <w:rFonts w:ascii="Arial" w:hAnsi="Arial" w:cs="Arial"/>
                <w:bCs/>
                <w:iCs/>
                <w:sz w:val="20"/>
                <w:szCs w:val="20"/>
              </w:rPr>
            </w:pPr>
          </w:p>
          <w:p>
            <w:pPr>
              <w:spacing w:after="0" w:line="240" w:lineRule="auto"/>
              <w:ind w:left="338"/>
              <w:contextualSpacing/>
              <w:jc w:val="both"/>
              <w:rPr>
                <w:rFonts w:ascii="Arial" w:hAnsi="Arial" w:cs="Arial"/>
                <w:sz w:val="20"/>
                <w:szCs w:val="20"/>
              </w:rPr>
            </w:pPr>
            <w:r>
              <w:rPr>
                <w:rFonts w:ascii="Arial" w:hAnsi="Arial" w:cs="Arial"/>
                <w:sz w:val="20"/>
                <w:szCs w:val="20"/>
              </w:rPr>
              <w:t xml:space="preserve">We recommended that Management work with the JV partners in coming up with a JVA addendum or similar binding document that will address the deficiencies in the JVAs and, prospectively, ensure that any JVA complies fully with </w:t>
            </w:r>
            <w:proofErr w:type="spellStart"/>
            <w:r>
              <w:rPr>
                <w:rFonts w:ascii="Arial" w:hAnsi="Arial" w:cs="Arial"/>
                <w:sz w:val="20"/>
                <w:szCs w:val="20"/>
              </w:rPr>
              <w:t>th</w:t>
            </w:r>
            <w:proofErr w:type="spellEnd"/>
            <w:r>
              <w:rPr>
                <w:rFonts w:ascii="Arial" w:hAnsi="Arial" w:cs="Arial"/>
                <w:sz w:val="20"/>
                <w:szCs w:val="20"/>
                <w:lang w:val="en-US"/>
              </w:rPr>
              <w:t>is</w:t>
            </w:r>
            <w:r>
              <w:rPr>
                <w:rFonts w:ascii="Arial" w:hAnsi="Arial" w:cs="Arial"/>
                <w:sz w:val="20"/>
                <w:szCs w:val="20"/>
              </w:rPr>
              <w:t xml:space="preserve"> JVO.</w:t>
            </w:r>
          </w:p>
          <w:p>
            <w:pPr>
              <w:spacing w:after="0" w:line="240" w:lineRule="auto"/>
              <w:ind w:left="338"/>
              <w:contextualSpacing/>
              <w:jc w:val="both"/>
              <w:rPr>
                <w:rFonts w:ascii="Arial" w:hAnsi="Arial" w:cs="Arial"/>
                <w:bCs/>
                <w:iCs/>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As to the JVA with BBAPI, the share of the City has been increased from 25 percent to 35 percent.</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As to the JVA with </w:t>
            </w:r>
            <w:proofErr w:type="spellStart"/>
            <w:proofErr w:type="gramStart"/>
            <w:r>
              <w:rPr>
                <w:rFonts w:ascii="Arial" w:hAnsi="Arial" w:cs="Arial"/>
                <w:sz w:val="20"/>
                <w:szCs w:val="20"/>
              </w:rPr>
              <w:t>JBros</w:t>
            </w:r>
            <w:proofErr w:type="spellEnd"/>
            <w:r>
              <w:rPr>
                <w:rFonts w:ascii="Arial" w:hAnsi="Arial" w:cs="Arial"/>
                <w:sz w:val="20"/>
                <w:szCs w:val="20"/>
              </w:rPr>
              <w:t>,  Management</w:t>
            </w:r>
            <w:proofErr w:type="gramEnd"/>
            <w:r>
              <w:rPr>
                <w:rFonts w:ascii="Arial" w:hAnsi="Arial" w:cs="Arial"/>
                <w:sz w:val="20"/>
                <w:szCs w:val="20"/>
              </w:rPr>
              <w:t xml:space="preserve"> submitted the amended JVA dated 23 May 2023.</w:t>
            </w:r>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2018 AAR, Observation No. 8,</w:t>
            </w:r>
          </w:p>
          <w:p>
            <w:pPr>
              <w:pStyle w:val="NoSpacing"/>
              <w:contextualSpacing/>
              <w:jc w:val="center"/>
              <w:rPr>
                <w:rFonts w:ascii="Arial" w:hAnsi="Arial" w:cs="Arial"/>
                <w:sz w:val="20"/>
                <w:szCs w:val="20"/>
              </w:rPr>
            </w:pPr>
            <w:r>
              <w:rPr>
                <w:rFonts w:ascii="Arial" w:hAnsi="Arial" w:cs="Arial"/>
                <w:sz w:val="20"/>
                <w:szCs w:val="20"/>
              </w:rPr>
              <w:t>Page 77</w:t>
            </w:r>
          </w:p>
          <w:p>
            <w:pPr>
              <w:pStyle w:val="NoSpacing"/>
              <w:contextualSpacing/>
              <w:jc w:val="center"/>
              <w:rPr>
                <w:rFonts w:ascii="Arial" w:hAnsi="Arial" w:cs="Arial"/>
                <w:sz w:val="20"/>
                <w:szCs w:val="20"/>
              </w:rPr>
            </w:pPr>
          </w:p>
        </w:tc>
        <w:tc>
          <w:tcPr>
            <w:tcW w:w="2525" w:type="dxa"/>
          </w:tcPr>
          <w:p>
            <w:pPr>
              <w:numPr>
                <w:ilvl w:val="0"/>
                <w:numId w:val="1"/>
              </w:numPr>
              <w:spacing w:after="0" w:line="240" w:lineRule="auto"/>
              <w:ind w:left="338"/>
              <w:contextualSpacing/>
              <w:jc w:val="both"/>
              <w:rPr>
                <w:rFonts w:ascii="Arial" w:hAnsi="Arial" w:cs="Arial"/>
                <w:bCs/>
                <w:iCs/>
                <w:sz w:val="20"/>
                <w:szCs w:val="20"/>
              </w:rPr>
            </w:pPr>
            <w:bookmarkStart w:id="5" w:name="_Hlk10112950"/>
            <w:r>
              <w:rPr>
                <w:rFonts w:ascii="Arial" w:hAnsi="Arial" w:cs="Arial"/>
                <w:sz w:val="20"/>
                <w:szCs w:val="20"/>
              </w:rPr>
              <w:lastRenderedPageBreak/>
              <w:t xml:space="preserve">The accuracy of the balance of Due to NGAs account of P154.682 million at </w:t>
            </w:r>
            <w:r>
              <w:rPr>
                <w:rFonts w:ascii="Arial" w:hAnsi="Arial" w:cs="Arial"/>
                <w:sz w:val="20"/>
                <w:szCs w:val="20"/>
              </w:rPr>
              <w:lastRenderedPageBreak/>
              <w:t xml:space="preserve">year-end was doubtful due to </w:t>
            </w:r>
            <w:r>
              <w:rPr>
                <w:rFonts w:ascii="Arial" w:hAnsi="Arial" w:cs="Arial"/>
                <w:sz w:val="20"/>
                <w:szCs w:val="20"/>
              </w:rPr>
              <w:br/>
              <w:t xml:space="preserve">(a) existence of negative balance of P3.353 million in the GF and disparity between the GL and SLs for TF by P68,172.09 and </w:t>
            </w:r>
            <w:r>
              <w:rPr>
                <w:rFonts w:ascii="Arial" w:hAnsi="Arial" w:cs="Arial"/>
                <w:sz w:val="20"/>
                <w:szCs w:val="20"/>
              </w:rPr>
              <w:br/>
              <w:t xml:space="preserve">(b) improper maintenance of SLs and existence of dormant accounts amounting to </w:t>
            </w:r>
            <w:r>
              <w:rPr>
                <w:rFonts w:ascii="Arial" w:hAnsi="Arial" w:cs="Arial"/>
                <w:sz w:val="20"/>
                <w:szCs w:val="20"/>
              </w:rPr>
              <w:br/>
              <w:t>P33.302 million, aged eight to 11 years, thus, the account was not fairly presented in the FS.</w:t>
            </w:r>
            <w:bookmarkEnd w:id="5"/>
          </w:p>
          <w:p>
            <w:pPr>
              <w:spacing w:after="0" w:line="240" w:lineRule="auto"/>
              <w:ind w:left="338"/>
              <w:contextualSpacing/>
              <w:jc w:val="both"/>
              <w:rPr>
                <w:rFonts w:ascii="Arial" w:hAnsi="Arial" w:cs="Arial"/>
                <w:sz w:val="20"/>
                <w:szCs w:val="20"/>
              </w:rPr>
            </w:pPr>
          </w:p>
          <w:p>
            <w:pPr>
              <w:spacing w:after="0" w:line="240" w:lineRule="auto"/>
              <w:ind w:left="346"/>
              <w:contextualSpacing/>
              <w:jc w:val="both"/>
              <w:rPr>
                <w:rFonts w:ascii="Arial" w:hAnsi="Arial" w:cs="Arial"/>
                <w:sz w:val="20"/>
                <w:szCs w:val="20"/>
                <w:lang w:val="en-US"/>
              </w:rPr>
            </w:pPr>
            <w:r>
              <w:rPr>
                <w:rFonts w:ascii="Arial" w:hAnsi="Arial" w:cs="Arial"/>
                <w:sz w:val="20"/>
                <w:szCs w:val="20"/>
              </w:rPr>
              <w:t xml:space="preserve">We recommended that the OCAT facilitate the return of the excess/unutilized funds to the source agency, when identified, or remit to the </w:t>
            </w:r>
            <w:proofErr w:type="spellStart"/>
            <w:r>
              <w:rPr>
                <w:rFonts w:ascii="Arial" w:hAnsi="Arial" w:cs="Arial"/>
                <w:sz w:val="20"/>
                <w:szCs w:val="20"/>
              </w:rPr>
              <w:t>BTr</w:t>
            </w:r>
            <w:proofErr w:type="spellEnd"/>
            <w:r>
              <w:rPr>
                <w:rFonts w:ascii="Arial" w:hAnsi="Arial" w:cs="Arial"/>
                <w:sz w:val="20"/>
                <w:szCs w:val="20"/>
              </w:rPr>
              <w:t>.</w:t>
            </w: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tc>
        <w:tc>
          <w:tcPr>
            <w:tcW w:w="2000" w:type="dxa"/>
          </w:tcPr>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pPr>
            <w:r>
              <w:rPr>
                <w:rFonts w:ascii="Arial" w:eastAsia="SimSun" w:hAnsi="Arial" w:cs="Arial"/>
                <w:sz w:val="20"/>
                <w:szCs w:val="20"/>
              </w:rPr>
              <w:t xml:space="preserve">These accounts are adjusted accordingly. </w:t>
            </w:r>
            <w:r>
              <w:rPr>
                <w:rFonts w:ascii="Arial" w:hAnsi="Arial" w:cs="Arial"/>
                <w:sz w:val="20"/>
                <w:szCs w:val="20"/>
              </w:rPr>
              <w:t xml:space="preserve"> </w:t>
            </w:r>
            <w:r>
              <w:rPr>
                <w:rFonts w:ascii="Arial" w:eastAsia="SimSun" w:hAnsi="Arial" w:cs="Arial"/>
                <w:sz w:val="20"/>
                <w:szCs w:val="20"/>
              </w:rPr>
              <w:t xml:space="preserve">Details of transactions are readily available in </w:t>
            </w:r>
            <w:proofErr w:type="spellStart"/>
            <w:r>
              <w:rPr>
                <w:rFonts w:ascii="Arial" w:eastAsia="SimSun" w:hAnsi="Arial" w:cs="Arial"/>
                <w:sz w:val="20"/>
                <w:szCs w:val="20"/>
              </w:rPr>
              <w:t>iSmart</w:t>
            </w:r>
            <w:proofErr w:type="spellEnd"/>
          </w:p>
          <w:p>
            <w:pPr>
              <w:rPr>
                <w:rFonts w:ascii="Arial" w:hAnsi="Arial" w:cs="Arial"/>
                <w:sz w:val="20"/>
                <w:szCs w:val="20"/>
              </w:rPr>
            </w:pPr>
          </w:p>
        </w:tc>
        <w:tc>
          <w:tcPr>
            <w:tcW w:w="1842" w:type="dxa"/>
          </w:tcPr>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eastAsia="SimSun" w:hAnsi="Arial" w:cs="Arial"/>
                <w:sz w:val="20"/>
                <w:szCs w:val="20"/>
              </w:rPr>
            </w:pPr>
          </w:p>
          <w:p>
            <w:pPr>
              <w:pStyle w:val="NoSpacing"/>
              <w:jc w:val="both"/>
              <w:rPr>
                <w:rFonts w:ascii="Arial" w:hAnsi="Arial" w:cs="Arial"/>
                <w:sz w:val="20"/>
                <w:szCs w:val="20"/>
              </w:rPr>
            </w:pPr>
            <w:r>
              <w:rPr>
                <w:rFonts w:ascii="Arial" w:eastAsia="SimSun" w:hAnsi="Arial" w:cs="Arial"/>
                <w:sz w:val="20"/>
                <w:szCs w:val="20"/>
              </w:rPr>
              <w:t>As of</w:t>
            </w:r>
            <w:r>
              <w:rPr>
                <w:rFonts w:ascii="Arial" w:hAnsi="Arial" w:cs="Arial"/>
                <w:sz w:val="20"/>
                <w:szCs w:val="20"/>
              </w:rPr>
              <w:t xml:space="preserve">  </w:t>
            </w:r>
            <w:r>
              <w:rPr>
                <w:rFonts w:ascii="Arial" w:hAnsi="Arial" w:cs="Arial"/>
                <w:sz w:val="20"/>
                <w:szCs w:val="20"/>
              </w:rPr>
              <w:br/>
              <w:t xml:space="preserve">December 31, 2023, the determination of the excess/ unutilized funds is still on-going. </w:t>
            </w:r>
          </w:p>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lastRenderedPageBreak/>
              <w:t>CY 2018 AAR, Observation No. 12,</w:t>
            </w:r>
          </w:p>
          <w:p>
            <w:pPr>
              <w:pStyle w:val="NoSpacing"/>
              <w:contextualSpacing/>
              <w:jc w:val="center"/>
              <w:rPr>
                <w:rFonts w:ascii="Arial" w:hAnsi="Arial" w:cs="Arial"/>
                <w:sz w:val="20"/>
                <w:szCs w:val="20"/>
              </w:rPr>
            </w:pPr>
            <w:r>
              <w:rPr>
                <w:rFonts w:ascii="Arial" w:hAnsi="Arial" w:cs="Arial"/>
                <w:sz w:val="20"/>
                <w:szCs w:val="20"/>
              </w:rPr>
              <w:t>Page 85</w:t>
            </w:r>
          </w:p>
          <w:p>
            <w:pPr>
              <w:pStyle w:val="NoSpacing"/>
              <w:contextualSpacing/>
              <w:jc w:val="center"/>
              <w:rPr>
                <w:rFonts w:ascii="Arial" w:hAnsi="Arial" w:cs="Arial"/>
                <w:sz w:val="20"/>
                <w:szCs w:val="20"/>
              </w:rPr>
            </w:pPr>
          </w:p>
        </w:tc>
        <w:tc>
          <w:tcPr>
            <w:tcW w:w="2525" w:type="dxa"/>
          </w:tcPr>
          <w:p>
            <w:pPr>
              <w:numPr>
                <w:ilvl w:val="0"/>
                <w:numId w:val="1"/>
              </w:numPr>
              <w:spacing w:after="0" w:line="240" w:lineRule="auto"/>
              <w:ind w:left="338"/>
              <w:contextualSpacing/>
              <w:jc w:val="both"/>
              <w:rPr>
                <w:rFonts w:ascii="Arial" w:hAnsi="Arial" w:cs="Arial"/>
                <w:sz w:val="20"/>
                <w:szCs w:val="20"/>
              </w:rPr>
            </w:pPr>
            <w:r>
              <w:rPr>
                <w:rFonts w:ascii="Arial" w:hAnsi="Arial" w:cs="Arial"/>
                <w:sz w:val="20"/>
                <w:szCs w:val="20"/>
              </w:rPr>
              <w:t xml:space="preserve">The OCAT’s inability to monitor and require the AOs to immediately settle their CAs once the purposes for which these were granted have been served, resulted to the non-liquidation of the outstanding balance of P249.941 million at year end, contrary to the relevant provisions </w:t>
            </w:r>
            <w:r>
              <w:rPr>
                <w:rFonts w:ascii="Arial" w:hAnsi="Arial" w:cs="Arial"/>
                <w:sz w:val="20"/>
                <w:szCs w:val="20"/>
              </w:rPr>
              <w:br/>
              <w:t xml:space="preserve">of COA Circular </w:t>
            </w:r>
            <w:r>
              <w:rPr>
                <w:rFonts w:ascii="Arial" w:hAnsi="Arial" w:cs="Arial"/>
                <w:sz w:val="20"/>
                <w:szCs w:val="20"/>
              </w:rPr>
              <w:br/>
              <w:t>No. 97-002 dated February 10, 1997.</w:t>
            </w:r>
          </w:p>
          <w:p>
            <w:pPr>
              <w:spacing w:after="0" w:line="240" w:lineRule="auto"/>
              <w:ind w:left="338"/>
              <w:contextualSpacing/>
              <w:jc w:val="both"/>
              <w:rPr>
                <w:rFonts w:ascii="Arial" w:hAnsi="Arial" w:cs="Arial"/>
                <w:sz w:val="20"/>
                <w:szCs w:val="20"/>
              </w:rPr>
            </w:pPr>
          </w:p>
          <w:p>
            <w:pPr>
              <w:spacing w:after="0" w:line="240" w:lineRule="auto"/>
              <w:ind w:left="346"/>
              <w:contextualSpacing/>
              <w:jc w:val="both"/>
              <w:rPr>
                <w:rFonts w:ascii="Arial" w:hAnsi="Arial" w:cs="Arial"/>
                <w:sz w:val="20"/>
                <w:szCs w:val="20"/>
                <w:shd w:val="clear" w:color="auto" w:fill="FFFFFF"/>
              </w:rPr>
            </w:pPr>
            <w:r>
              <w:rPr>
                <w:rFonts w:ascii="Arial" w:hAnsi="Arial" w:cs="Arial"/>
                <w:sz w:val="20"/>
                <w:szCs w:val="20"/>
              </w:rPr>
              <w:t xml:space="preserve">We recommended that Management require the City Accountant to whenever applicable condition exists, request for write-off of dormant unliquidated CAs which remained </w:t>
            </w:r>
            <w:r>
              <w:rPr>
                <w:rFonts w:ascii="Arial" w:hAnsi="Arial" w:cs="Arial"/>
                <w:sz w:val="20"/>
                <w:szCs w:val="20"/>
              </w:rPr>
              <w:lastRenderedPageBreak/>
              <w:t xml:space="preserve">non-moving for 10 years or more and where settlement/ collectability could no longer be ascertained in accordance with the guidelines and procedures provided under COA Circular </w:t>
            </w:r>
            <w:r>
              <w:rPr>
                <w:rFonts w:ascii="Arial" w:hAnsi="Arial" w:cs="Arial"/>
                <w:sz w:val="20"/>
                <w:szCs w:val="20"/>
              </w:rPr>
              <w:br/>
              <w:t>No. 2016-005.</w:t>
            </w:r>
          </w:p>
          <w:p>
            <w:pPr>
              <w:pStyle w:val="ListParagraph"/>
              <w:tabs>
                <w:tab w:val="left" w:pos="342"/>
              </w:tabs>
              <w:ind w:left="0"/>
              <w:jc w:val="both"/>
              <w:rPr>
                <w:rFonts w:ascii="Arial" w:hAnsi="Arial" w:cs="Arial"/>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 xml:space="preserve">Implemented </w:t>
            </w:r>
          </w:p>
          <w:p>
            <w:pPr>
              <w:pStyle w:val="NoSpacing"/>
              <w:contextualSpacing/>
              <w:jc w:val="center"/>
              <w:rPr>
                <w:rFonts w:ascii="Arial" w:hAnsi="Arial" w:cs="Arial"/>
                <w:sz w:val="20"/>
                <w:szCs w:val="20"/>
              </w:rPr>
            </w:pP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eastAsia="SimSun" w:hAnsi="Arial" w:cs="Arial"/>
                <w:sz w:val="20"/>
                <w:szCs w:val="20"/>
              </w:rPr>
              <w:t>Liquidation of the outstanding cash advances in the books as of December 31, 2023 were already recorded.</w:t>
            </w:r>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2018 AAR, Observation No. 15,</w:t>
            </w:r>
          </w:p>
          <w:p>
            <w:pPr>
              <w:pStyle w:val="NoSpacing"/>
              <w:contextualSpacing/>
              <w:jc w:val="center"/>
              <w:rPr>
                <w:rFonts w:ascii="Arial" w:hAnsi="Arial" w:cs="Arial"/>
                <w:sz w:val="20"/>
                <w:szCs w:val="20"/>
              </w:rPr>
            </w:pPr>
            <w:r>
              <w:rPr>
                <w:rFonts w:ascii="Arial" w:hAnsi="Arial" w:cs="Arial"/>
                <w:sz w:val="20"/>
                <w:szCs w:val="20"/>
              </w:rPr>
              <w:t>Page 91</w:t>
            </w:r>
          </w:p>
          <w:p>
            <w:pPr>
              <w:pStyle w:val="NoSpacing"/>
              <w:contextualSpacing/>
              <w:jc w:val="center"/>
              <w:rPr>
                <w:rFonts w:ascii="Arial" w:hAnsi="Arial" w:cs="Arial"/>
                <w:sz w:val="20"/>
                <w:szCs w:val="20"/>
              </w:rPr>
            </w:pPr>
          </w:p>
        </w:tc>
        <w:tc>
          <w:tcPr>
            <w:tcW w:w="2525" w:type="dxa"/>
          </w:tcPr>
          <w:p>
            <w:pPr>
              <w:numPr>
                <w:ilvl w:val="0"/>
                <w:numId w:val="1"/>
              </w:numPr>
              <w:spacing w:after="0" w:line="240" w:lineRule="auto"/>
              <w:ind w:left="338"/>
              <w:contextualSpacing/>
              <w:jc w:val="both"/>
              <w:rPr>
                <w:rFonts w:ascii="Arial" w:hAnsi="Arial" w:cs="Arial"/>
                <w:bCs/>
                <w:iCs/>
                <w:sz w:val="20"/>
                <w:szCs w:val="20"/>
              </w:rPr>
            </w:pPr>
            <w:r>
              <w:rPr>
                <w:rFonts w:ascii="Arial" w:hAnsi="Arial" w:cs="Arial"/>
                <w:sz w:val="20"/>
                <w:szCs w:val="20"/>
              </w:rPr>
              <w:t xml:space="preserve">The creation, organization and operation of an Internal Audit Service (IAS) mandated under Section 2 of RA </w:t>
            </w:r>
            <w:r>
              <w:rPr>
                <w:rFonts w:ascii="Arial" w:hAnsi="Arial" w:cs="Arial"/>
                <w:sz w:val="20"/>
                <w:szCs w:val="20"/>
              </w:rPr>
              <w:br/>
              <w:t>No. 3456 as amended by RA No. 4177 was not undertaken by the City, thus, Management was not accorded with the assistance in the achievement of an efficient and effective fiscal administration and performance of agency affairs and functions.</w:t>
            </w:r>
          </w:p>
          <w:p>
            <w:pPr>
              <w:spacing w:after="0" w:line="240" w:lineRule="auto"/>
              <w:ind w:left="338"/>
              <w:contextualSpacing/>
              <w:jc w:val="both"/>
              <w:rPr>
                <w:rFonts w:ascii="Arial" w:hAnsi="Arial" w:cs="Arial"/>
                <w:sz w:val="20"/>
                <w:szCs w:val="20"/>
              </w:rPr>
            </w:pPr>
          </w:p>
          <w:p>
            <w:pPr>
              <w:spacing w:after="0" w:line="240" w:lineRule="auto"/>
              <w:ind w:left="346"/>
              <w:contextualSpacing/>
              <w:jc w:val="both"/>
              <w:rPr>
                <w:rFonts w:ascii="Arial" w:hAnsi="Arial" w:cs="Arial"/>
                <w:sz w:val="20"/>
                <w:szCs w:val="20"/>
              </w:rPr>
            </w:pPr>
            <w:r>
              <w:rPr>
                <w:rFonts w:ascii="Arial" w:hAnsi="Arial" w:cs="Arial"/>
                <w:sz w:val="20"/>
                <w:szCs w:val="20"/>
              </w:rPr>
              <w:t xml:space="preserve">We recommended that the LCE facilitate the creation, organization and operation of the City’s IAS as required under RA No. 3456 as amended by RA </w:t>
            </w:r>
            <w:r>
              <w:rPr>
                <w:rFonts w:ascii="Arial" w:hAnsi="Arial" w:cs="Arial"/>
                <w:sz w:val="20"/>
                <w:szCs w:val="20"/>
              </w:rPr>
              <w:br/>
              <w:t>No. 4177, to assist in the achievement of an efficient and effective fiscal administration and performance of City’s affairs and functions.</w:t>
            </w:r>
          </w:p>
          <w:p>
            <w:pPr>
              <w:spacing w:after="0" w:line="240" w:lineRule="auto"/>
              <w:ind w:left="346"/>
              <w:contextualSpacing/>
              <w:jc w:val="both"/>
              <w:rPr>
                <w:rFonts w:ascii="Arial" w:hAnsi="Arial" w:cs="Arial"/>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spacing w:after="0" w:line="240" w:lineRule="auto"/>
              <w:contextualSpacing/>
              <w:jc w:val="center"/>
              <w:rPr>
                <w:rFonts w:ascii="Arial" w:hAnsi="Arial" w:cs="Arial"/>
                <w:sz w:val="20"/>
                <w:szCs w:val="20"/>
                <w:lang w:val="en-US"/>
              </w:rPr>
            </w:pPr>
            <w:r>
              <w:rPr>
                <w:rFonts w:ascii="Arial" w:hAnsi="Arial" w:cs="Arial"/>
                <w:sz w:val="20"/>
                <w:szCs w:val="20"/>
              </w:rPr>
              <w:t>Unimplemented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Lack of effective action by the concerned officials.</w:t>
            </w:r>
          </w:p>
        </w:tc>
        <w:tc>
          <w:tcPr>
            <w:tcW w:w="1842"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City's Internal Audit merely pre-audits the financial transaction</w:t>
            </w:r>
            <w:r>
              <w:rPr>
                <w:rFonts w:ascii="Arial" w:hAnsi="Arial" w:cs="Arial"/>
                <w:sz w:val="20"/>
                <w:szCs w:val="20"/>
                <w:lang w:val="en-US"/>
              </w:rPr>
              <w:t>s and</w:t>
            </w:r>
            <w:r>
              <w:rPr>
                <w:rFonts w:ascii="Arial" w:hAnsi="Arial" w:cs="Arial"/>
                <w:sz w:val="20"/>
                <w:szCs w:val="20"/>
              </w:rPr>
              <w:t xml:space="preserve"> is under the OCAT.  </w:t>
            </w:r>
          </w:p>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2018 AAR, Observation No. 16,</w:t>
            </w:r>
          </w:p>
          <w:p>
            <w:pPr>
              <w:pStyle w:val="NoSpacing"/>
              <w:contextualSpacing/>
              <w:jc w:val="center"/>
              <w:rPr>
                <w:rFonts w:ascii="Arial" w:hAnsi="Arial" w:cs="Arial"/>
                <w:sz w:val="20"/>
                <w:szCs w:val="20"/>
              </w:rPr>
            </w:pPr>
            <w:r>
              <w:rPr>
                <w:rFonts w:ascii="Arial" w:hAnsi="Arial" w:cs="Arial"/>
                <w:sz w:val="20"/>
                <w:szCs w:val="20"/>
              </w:rPr>
              <w:t>Page 92</w:t>
            </w:r>
          </w:p>
          <w:p>
            <w:pPr>
              <w:pStyle w:val="NoSpacing"/>
              <w:contextualSpacing/>
              <w:jc w:val="center"/>
              <w:rPr>
                <w:rFonts w:ascii="Arial" w:hAnsi="Arial" w:cs="Arial"/>
                <w:sz w:val="20"/>
                <w:szCs w:val="20"/>
              </w:rPr>
            </w:pPr>
          </w:p>
        </w:tc>
        <w:tc>
          <w:tcPr>
            <w:tcW w:w="2525" w:type="dxa"/>
          </w:tcPr>
          <w:p>
            <w:pPr>
              <w:numPr>
                <w:ilvl w:val="0"/>
                <w:numId w:val="1"/>
              </w:numPr>
              <w:spacing w:after="0" w:line="240" w:lineRule="auto"/>
              <w:ind w:left="338"/>
              <w:contextualSpacing/>
              <w:jc w:val="both"/>
              <w:rPr>
                <w:rFonts w:ascii="Arial" w:hAnsi="Arial" w:cs="Arial"/>
                <w:bCs/>
                <w:iCs/>
                <w:sz w:val="20"/>
                <w:szCs w:val="20"/>
              </w:rPr>
            </w:pPr>
            <w:r>
              <w:rPr>
                <w:rFonts w:ascii="Arial" w:hAnsi="Arial" w:cs="Arial"/>
                <w:sz w:val="20"/>
                <w:szCs w:val="20"/>
              </w:rPr>
              <w:t xml:space="preserve">The excess amount of collections/proceeds from sale of bid documents and other related fees amounting to P13.958 million as of December 31, 2018 was still being </w:t>
            </w:r>
            <w:r>
              <w:rPr>
                <w:rFonts w:ascii="Arial" w:hAnsi="Arial" w:cs="Arial"/>
                <w:sz w:val="20"/>
                <w:szCs w:val="20"/>
              </w:rPr>
              <w:lastRenderedPageBreak/>
              <w:t>maintained under the TF instead of transferring the same to the GF pursuant to Item 6.2 of DBM Circular No. 2004-5A.</w:t>
            </w:r>
          </w:p>
          <w:p>
            <w:pPr>
              <w:spacing w:after="0" w:line="240" w:lineRule="auto"/>
              <w:ind w:left="338"/>
              <w:contextualSpacing/>
              <w:jc w:val="both"/>
              <w:rPr>
                <w:rFonts w:ascii="Arial" w:hAnsi="Arial" w:cs="Arial"/>
                <w:bCs/>
                <w:iCs/>
                <w:sz w:val="20"/>
                <w:szCs w:val="20"/>
              </w:rPr>
            </w:pPr>
          </w:p>
          <w:p>
            <w:pPr>
              <w:spacing w:after="0" w:line="240" w:lineRule="auto"/>
              <w:ind w:left="346"/>
              <w:contextualSpacing/>
              <w:jc w:val="both"/>
              <w:rPr>
                <w:rFonts w:ascii="Arial" w:hAnsi="Arial" w:cs="Arial"/>
                <w:sz w:val="20"/>
                <w:szCs w:val="20"/>
              </w:rPr>
            </w:pPr>
            <w:r>
              <w:rPr>
                <w:rFonts w:ascii="Arial" w:hAnsi="Arial" w:cs="Arial"/>
                <w:sz w:val="20"/>
                <w:szCs w:val="20"/>
              </w:rPr>
              <w:t>We recommended that Management direct the City Treasurer to cause the immediate transfer of the unutilized amount of the proceeds from the collection of bid documents and related fees from the TF to the GF.</w:t>
            </w:r>
          </w:p>
          <w:p>
            <w:pPr>
              <w:spacing w:after="0" w:line="240" w:lineRule="auto"/>
              <w:ind w:left="338"/>
              <w:contextualSpacing/>
              <w:jc w:val="both"/>
              <w:rPr>
                <w:rFonts w:ascii="Arial" w:hAnsi="Arial" w:cs="Arial"/>
                <w:bCs/>
                <w:iCs/>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Unimplemented</w:t>
            </w:r>
          </w:p>
        </w:tc>
        <w:tc>
          <w:tcPr>
            <w:tcW w:w="2000" w:type="dxa"/>
          </w:tcPr>
          <w:p>
            <w:pPr>
              <w:pStyle w:val="NoSpacing"/>
              <w:contextualSpacing/>
              <w:jc w:val="both"/>
              <w:rPr>
                <w:rFonts w:ascii="Arial" w:hAnsi="Arial" w:cs="Arial"/>
                <w:sz w:val="20"/>
                <w:szCs w:val="20"/>
              </w:rPr>
            </w:pPr>
          </w:p>
        </w:tc>
        <w:tc>
          <w:tcPr>
            <w:tcW w:w="1842"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OCAT is still in the process of determining the excess collections/ proceeds. Once completed, a DV will be prepared for the fund transfer to the GF.</w:t>
            </w:r>
          </w:p>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lastRenderedPageBreak/>
              <w:t>CY 2018 AAR, Observation No. 17,</w:t>
            </w:r>
          </w:p>
          <w:p>
            <w:pPr>
              <w:pStyle w:val="NoSpacing"/>
              <w:contextualSpacing/>
              <w:jc w:val="center"/>
              <w:rPr>
                <w:rFonts w:ascii="Arial" w:hAnsi="Arial" w:cs="Arial"/>
                <w:sz w:val="20"/>
                <w:szCs w:val="20"/>
              </w:rPr>
            </w:pPr>
            <w:r>
              <w:rPr>
                <w:rFonts w:ascii="Arial" w:hAnsi="Arial" w:cs="Arial"/>
                <w:sz w:val="20"/>
                <w:szCs w:val="20"/>
              </w:rPr>
              <w:t>Page 93</w:t>
            </w:r>
          </w:p>
          <w:p>
            <w:pPr>
              <w:pStyle w:val="NoSpacing"/>
              <w:contextualSpacing/>
              <w:jc w:val="center"/>
              <w:rPr>
                <w:rFonts w:ascii="Arial" w:hAnsi="Arial" w:cs="Arial"/>
                <w:sz w:val="20"/>
                <w:szCs w:val="20"/>
              </w:rPr>
            </w:pPr>
          </w:p>
        </w:tc>
        <w:tc>
          <w:tcPr>
            <w:tcW w:w="2525" w:type="dxa"/>
          </w:tcPr>
          <w:p>
            <w:pPr>
              <w:numPr>
                <w:ilvl w:val="0"/>
                <w:numId w:val="1"/>
              </w:numPr>
              <w:spacing w:after="0" w:line="240" w:lineRule="auto"/>
              <w:ind w:left="338"/>
              <w:contextualSpacing/>
              <w:jc w:val="both"/>
              <w:rPr>
                <w:rFonts w:ascii="Arial" w:hAnsi="Arial" w:cs="Arial"/>
                <w:sz w:val="20"/>
                <w:szCs w:val="20"/>
              </w:rPr>
            </w:pPr>
            <w:r>
              <w:rPr>
                <w:rFonts w:ascii="Arial" w:hAnsi="Arial" w:cs="Arial"/>
                <w:sz w:val="20"/>
                <w:szCs w:val="20"/>
              </w:rPr>
              <w:t xml:space="preserve">The inability of the OCAT to submit to CAO the monthly pre-closing trial balances (TBs) within the prescribed period is contrary to Section 70 of the Manual, </w:t>
            </w:r>
            <w:r>
              <w:rPr>
                <w:rFonts w:ascii="Arial" w:hAnsi="Arial" w:cs="Arial"/>
                <w:sz w:val="20"/>
                <w:szCs w:val="20"/>
              </w:rPr>
              <w:br/>
              <w:t>Volume I, thus, prevented the immediate review and analysis on the fairness of presentation of the accounts in the FSs.</w:t>
            </w:r>
          </w:p>
          <w:p>
            <w:pPr>
              <w:spacing w:after="0" w:line="240" w:lineRule="auto"/>
              <w:ind w:left="338"/>
              <w:contextualSpacing/>
              <w:jc w:val="both"/>
              <w:rPr>
                <w:rFonts w:ascii="Arial" w:hAnsi="Arial" w:cs="Arial"/>
                <w:sz w:val="20"/>
                <w:szCs w:val="20"/>
              </w:rPr>
            </w:pPr>
          </w:p>
          <w:p>
            <w:pPr>
              <w:spacing w:after="0" w:line="240" w:lineRule="auto"/>
              <w:ind w:left="346"/>
              <w:contextualSpacing/>
              <w:jc w:val="both"/>
              <w:rPr>
                <w:rFonts w:ascii="Arial" w:hAnsi="Arial" w:cs="Arial"/>
                <w:sz w:val="20"/>
                <w:szCs w:val="20"/>
                <w:lang w:val="en-US"/>
              </w:rPr>
            </w:pPr>
            <w:r>
              <w:rPr>
                <w:rFonts w:ascii="Arial" w:hAnsi="Arial" w:cs="Arial"/>
                <w:sz w:val="20"/>
                <w:szCs w:val="20"/>
              </w:rPr>
              <w:t>We recommended that Management direct the OCAT to expedite the preparation of the monthly pre-closing, as well as the year end TBs and the FSs to facilitate the submission of the same to the CAO within the prescribed period in compliance with Section 70 of the Manual, Volume I.</w:t>
            </w:r>
          </w:p>
          <w:p>
            <w:pPr>
              <w:pStyle w:val="ListParagraph"/>
              <w:ind w:left="0"/>
              <w:jc w:val="both"/>
              <w:rPr>
                <w:rFonts w:ascii="Arial" w:hAnsi="Arial" w:cs="Arial"/>
                <w:color w:val="FF0000"/>
                <w:sz w:val="20"/>
                <w:szCs w:val="20"/>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The OCAT had submitted the TB together with supporting schedules for GF, SEF and TF.</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All monthly TBs for CY 2023 were already submitted and is accessible through I-Smart.</w:t>
            </w:r>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t>CY 2018 AAR, Observation No. 19,</w:t>
            </w:r>
          </w:p>
          <w:p>
            <w:pPr>
              <w:pStyle w:val="NoSpacing"/>
              <w:contextualSpacing/>
              <w:jc w:val="center"/>
              <w:rPr>
                <w:rFonts w:ascii="Arial" w:hAnsi="Arial" w:cs="Arial"/>
                <w:sz w:val="20"/>
                <w:szCs w:val="20"/>
              </w:rPr>
            </w:pPr>
            <w:r>
              <w:rPr>
                <w:rFonts w:ascii="Arial" w:hAnsi="Arial" w:cs="Arial"/>
                <w:sz w:val="20"/>
                <w:szCs w:val="20"/>
              </w:rPr>
              <w:t>Page 96</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tc>
        <w:tc>
          <w:tcPr>
            <w:tcW w:w="2525" w:type="dxa"/>
          </w:tcPr>
          <w:p>
            <w:pPr>
              <w:numPr>
                <w:ilvl w:val="0"/>
                <w:numId w:val="1"/>
              </w:numPr>
              <w:spacing w:after="0" w:line="240" w:lineRule="auto"/>
              <w:ind w:left="338"/>
              <w:contextualSpacing/>
              <w:jc w:val="both"/>
              <w:rPr>
                <w:rFonts w:ascii="Arial" w:hAnsi="Arial" w:cs="Arial"/>
                <w:sz w:val="20"/>
                <w:szCs w:val="20"/>
              </w:rPr>
            </w:pPr>
            <w:r>
              <w:rPr>
                <w:rFonts w:ascii="Arial" w:hAnsi="Arial" w:cs="Arial"/>
                <w:sz w:val="20"/>
                <w:szCs w:val="20"/>
              </w:rPr>
              <w:lastRenderedPageBreak/>
              <w:t xml:space="preserve">A total of 1,489 business establishments in </w:t>
            </w:r>
            <w:r>
              <w:rPr>
                <w:rFonts w:ascii="Arial" w:hAnsi="Arial" w:cs="Arial"/>
                <w:sz w:val="20"/>
                <w:szCs w:val="20"/>
              </w:rPr>
              <w:br/>
              <w:t xml:space="preserve">92 barangays were </w:t>
            </w:r>
            <w:r>
              <w:rPr>
                <w:rFonts w:ascii="Arial" w:hAnsi="Arial" w:cs="Arial"/>
                <w:sz w:val="20"/>
                <w:szCs w:val="20"/>
              </w:rPr>
              <w:lastRenderedPageBreak/>
              <w:t xml:space="preserve">not found in the city database, thus, operating without the required city permits contrary to </w:t>
            </w:r>
            <w:r>
              <w:rPr>
                <w:rFonts w:ascii="Arial" w:hAnsi="Arial" w:cs="Arial"/>
                <w:sz w:val="20"/>
                <w:szCs w:val="20"/>
              </w:rPr>
              <w:br/>
              <w:t xml:space="preserve">Section 143(h) of the LGC. </w:t>
            </w:r>
            <w:r>
              <w:rPr>
                <w:rFonts w:ascii="Arial" w:hAnsi="Arial" w:cs="Arial"/>
                <w:sz w:val="20"/>
                <w:szCs w:val="20"/>
                <w:lang w:val="en-US"/>
              </w:rPr>
              <w:t>T</w:t>
            </w:r>
            <w:r>
              <w:rPr>
                <w:rFonts w:ascii="Arial" w:hAnsi="Arial" w:cs="Arial"/>
                <w:sz w:val="20"/>
                <w:szCs w:val="20"/>
              </w:rPr>
              <w:t>here are 5,432 businesses</w:t>
            </w:r>
            <w:r>
              <w:rPr>
                <w:rFonts w:ascii="Arial" w:hAnsi="Arial" w:cs="Arial"/>
                <w:sz w:val="20"/>
                <w:szCs w:val="20"/>
                <w:lang w:val="en-US"/>
              </w:rPr>
              <w:t xml:space="preserve"> that are</w:t>
            </w:r>
            <w:r>
              <w:rPr>
                <w:rFonts w:ascii="Arial" w:hAnsi="Arial" w:cs="Arial"/>
                <w:sz w:val="20"/>
                <w:szCs w:val="20"/>
              </w:rPr>
              <w:t xml:space="preserve"> not in the barangays’ list but were granted business permits without the issuance/</w:t>
            </w:r>
            <w:r>
              <w:rPr>
                <w:rFonts w:ascii="Arial" w:hAnsi="Arial" w:cs="Arial"/>
                <w:sz w:val="20"/>
                <w:szCs w:val="20"/>
                <w:lang w:val="en-US"/>
              </w:rPr>
              <w:t xml:space="preserve"> </w:t>
            </w:r>
            <w:r>
              <w:rPr>
                <w:rFonts w:ascii="Arial" w:hAnsi="Arial" w:cs="Arial"/>
                <w:sz w:val="20"/>
                <w:szCs w:val="20"/>
              </w:rPr>
              <w:t xml:space="preserve">submission of barangay clearance as required </w:t>
            </w:r>
            <w:r>
              <w:rPr>
                <w:rFonts w:ascii="Arial" w:hAnsi="Arial" w:cs="Arial"/>
                <w:sz w:val="20"/>
                <w:szCs w:val="20"/>
                <w:lang w:val="en-US"/>
              </w:rPr>
              <w:t>in</w:t>
            </w:r>
            <w:r>
              <w:rPr>
                <w:rFonts w:ascii="Arial" w:hAnsi="Arial" w:cs="Arial"/>
                <w:sz w:val="20"/>
                <w:szCs w:val="20"/>
              </w:rPr>
              <w:t xml:space="preserve"> </w:t>
            </w:r>
            <w:r>
              <w:rPr>
                <w:rFonts w:ascii="Arial" w:hAnsi="Arial" w:cs="Arial"/>
                <w:sz w:val="20"/>
                <w:szCs w:val="20"/>
              </w:rPr>
              <w:br/>
              <w:t>Section 152(c) of the LGC.</w:t>
            </w:r>
          </w:p>
          <w:p>
            <w:pPr>
              <w:spacing w:after="0" w:line="240" w:lineRule="auto"/>
              <w:ind w:left="338"/>
              <w:contextualSpacing/>
              <w:jc w:val="both"/>
              <w:rPr>
                <w:rFonts w:ascii="Arial" w:hAnsi="Arial" w:cs="Arial"/>
                <w:sz w:val="20"/>
                <w:szCs w:val="20"/>
              </w:rPr>
            </w:pPr>
          </w:p>
          <w:p>
            <w:pPr>
              <w:spacing w:after="0" w:line="240" w:lineRule="auto"/>
              <w:ind w:left="346"/>
              <w:contextualSpacing/>
              <w:jc w:val="both"/>
              <w:rPr>
                <w:rFonts w:ascii="Arial" w:hAnsi="Arial" w:cs="Arial"/>
                <w:sz w:val="20"/>
                <w:szCs w:val="20"/>
              </w:rPr>
            </w:pPr>
            <w:r>
              <w:rPr>
                <w:rFonts w:ascii="Arial" w:hAnsi="Arial" w:cs="Arial"/>
                <w:sz w:val="20"/>
                <w:szCs w:val="20"/>
              </w:rPr>
              <w:t>We recommended that Management direct the officials in charge with assessment and collection of business taxes to intensify further the collection of business taxes and to perform the following courses of actions:</w:t>
            </w:r>
          </w:p>
          <w:p>
            <w:pPr>
              <w:spacing w:after="0" w:line="240" w:lineRule="auto"/>
              <w:ind w:left="346"/>
              <w:contextualSpacing/>
              <w:jc w:val="both"/>
              <w:rPr>
                <w:rFonts w:ascii="Arial" w:hAnsi="Arial" w:cs="Arial"/>
                <w:sz w:val="20"/>
                <w:szCs w:val="20"/>
              </w:rPr>
            </w:pPr>
          </w:p>
          <w:p>
            <w:pPr>
              <w:numPr>
                <w:ilvl w:val="1"/>
                <w:numId w:val="14"/>
              </w:numPr>
              <w:spacing w:after="0" w:line="240" w:lineRule="auto"/>
              <w:ind w:left="609" w:hanging="263"/>
              <w:contextualSpacing/>
              <w:jc w:val="both"/>
              <w:rPr>
                <w:rFonts w:ascii="Arial" w:hAnsi="Arial" w:cs="Arial"/>
                <w:sz w:val="20"/>
                <w:szCs w:val="20"/>
                <w:lang w:val="en-US"/>
              </w:rPr>
            </w:pPr>
            <w:r>
              <w:rPr>
                <w:rFonts w:ascii="Arial" w:hAnsi="Arial" w:cs="Arial"/>
                <w:sz w:val="20"/>
                <w:szCs w:val="20"/>
              </w:rPr>
              <w:t>Identify, capture and update in the database all the establishments conducting business within its territorial jurisdiction to serve as reference for the imposition of business taxes, fees and corresponding charges;</w:t>
            </w:r>
          </w:p>
          <w:p>
            <w:pPr>
              <w:spacing w:after="0" w:line="240" w:lineRule="auto"/>
              <w:ind w:left="338"/>
              <w:contextualSpacing/>
              <w:jc w:val="both"/>
              <w:rPr>
                <w:rFonts w:ascii="Arial" w:hAnsi="Arial" w:cs="Arial"/>
                <w:sz w:val="20"/>
                <w:szCs w:val="20"/>
              </w:rPr>
            </w:pPr>
          </w:p>
          <w:p>
            <w:pPr>
              <w:numPr>
                <w:ilvl w:val="0"/>
                <w:numId w:val="14"/>
              </w:numPr>
              <w:spacing w:after="0" w:line="240" w:lineRule="auto"/>
              <w:ind w:left="609" w:hanging="263"/>
              <w:contextualSpacing/>
              <w:jc w:val="both"/>
              <w:rPr>
                <w:rFonts w:ascii="Arial" w:hAnsi="Arial" w:cs="Arial"/>
                <w:sz w:val="20"/>
                <w:szCs w:val="20"/>
                <w:lang w:val="en-US"/>
              </w:rPr>
            </w:pPr>
            <w:r>
              <w:rPr>
                <w:rFonts w:ascii="Arial" w:hAnsi="Arial" w:cs="Arial"/>
                <w:sz w:val="20"/>
                <w:szCs w:val="20"/>
              </w:rPr>
              <w:t>Compare data of identified existing establishments in the City against the data of the concerned barangays; and</w:t>
            </w:r>
          </w:p>
          <w:p>
            <w:pPr>
              <w:spacing w:after="0" w:line="240" w:lineRule="auto"/>
              <w:ind w:left="609"/>
              <w:contextualSpacing/>
              <w:jc w:val="both"/>
              <w:rPr>
                <w:rFonts w:ascii="Arial" w:hAnsi="Arial" w:cs="Arial"/>
                <w:sz w:val="20"/>
                <w:szCs w:val="20"/>
              </w:rPr>
            </w:pPr>
          </w:p>
          <w:p>
            <w:pPr>
              <w:numPr>
                <w:ilvl w:val="0"/>
                <w:numId w:val="14"/>
              </w:numPr>
              <w:spacing w:after="0" w:line="240" w:lineRule="auto"/>
              <w:ind w:left="609" w:hanging="267"/>
              <w:contextualSpacing/>
              <w:jc w:val="both"/>
              <w:rPr>
                <w:rFonts w:ascii="Arial" w:hAnsi="Arial" w:cs="Arial"/>
                <w:bCs/>
                <w:iCs/>
                <w:sz w:val="20"/>
                <w:szCs w:val="20"/>
              </w:rPr>
            </w:pPr>
            <w:r>
              <w:rPr>
                <w:rFonts w:ascii="Arial" w:hAnsi="Arial" w:cs="Arial"/>
                <w:sz w:val="20"/>
                <w:szCs w:val="20"/>
              </w:rPr>
              <w:t xml:space="preserve">Pursue the checking of the </w:t>
            </w:r>
            <w:r>
              <w:rPr>
                <w:rFonts w:ascii="Arial" w:hAnsi="Arial" w:cs="Arial"/>
                <w:sz w:val="20"/>
                <w:szCs w:val="20"/>
              </w:rPr>
              <w:lastRenderedPageBreak/>
              <w:t>database with the information contained in the schedule attached for establishments listed in the barangays to determine businesses operating in the City without the required permits and conduct inspection of establishments if necessary.</w:t>
            </w: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r>
              <w:rPr>
                <w:rFonts w:ascii="Arial" w:hAnsi="Arial" w:cs="Arial"/>
                <w:sz w:val="20"/>
                <w:szCs w:val="20"/>
              </w:rPr>
              <w:t>Implemented</w:t>
            </w: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eastAsia="SimSun" w:hAnsi="Arial" w:cs="Arial"/>
                <w:sz w:val="20"/>
                <w:szCs w:val="20"/>
                <w:lang w:val="en-US"/>
              </w:rPr>
            </w:pPr>
            <w:r>
              <w:rPr>
                <w:rFonts w:ascii="Arial" w:eastAsia="SimSun" w:hAnsi="Arial" w:cs="Arial"/>
                <w:sz w:val="20"/>
                <w:szCs w:val="20"/>
                <w:lang w:val="en-US"/>
              </w:rPr>
              <w:t>The City has implemented Go Manila Application which captures and maintains database of all establishments conducting business in the city. This Application is currently available as a means to update records and for the payment of taxes and necessary permits for business operation.</w:t>
            </w: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lang w:val="en-US"/>
              </w:rPr>
              <w:t>Same as above</w:t>
            </w:r>
          </w:p>
        </w:tc>
        <w:tc>
          <w:tcPr>
            <w:tcW w:w="1842" w:type="dxa"/>
          </w:tcPr>
          <w:p>
            <w:pPr>
              <w:pStyle w:val="NoSpacing"/>
              <w:contextualSpacing/>
              <w:jc w:val="both"/>
              <w:rPr>
                <w:rFonts w:ascii="Arial" w:hAnsi="Arial" w:cs="Arial"/>
                <w:sz w:val="20"/>
                <w:szCs w:val="20"/>
              </w:rPr>
            </w:pPr>
          </w:p>
        </w:tc>
      </w:tr>
      <w:tr>
        <w:trPr>
          <w:trHeight w:val="70"/>
        </w:trPr>
        <w:tc>
          <w:tcPr>
            <w:tcW w:w="1525" w:type="dxa"/>
          </w:tcPr>
          <w:p>
            <w:pPr>
              <w:pStyle w:val="NoSpacing"/>
              <w:contextualSpacing/>
              <w:jc w:val="center"/>
              <w:rPr>
                <w:rFonts w:ascii="Arial" w:hAnsi="Arial" w:cs="Arial"/>
                <w:sz w:val="20"/>
                <w:szCs w:val="20"/>
              </w:rPr>
            </w:pPr>
            <w:r>
              <w:rPr>
                <w:rFonts w:ascii="Arial" w:hAnsi="Arial" w:cs="Arial"/>
                <w:sz w:val="20"/>
                <w:szCs w:val="20"/>
              </w:rPr>
              <w:lastRenderedPageBreak/>
              <w:t>CY 2018 AAR, Observation No. 24,</w:t>
            </w:r>
          </w:p>
          <w:p>
            <w:pPr>
              <w:pStyle w:val="NoSpacing"/>
              <w:contextualSpacing/>
              <w:jc w:val="center"/>
              <w:rPr>
                <w:rFonts w:ascii="Arial" w:hAnsi="Arial" w:cs="Arial"/>
                <w:sz w:val="20"/>
                <w:szCs w:val="20"/>
              </w:rPr>
            </w:pPr>
            <w:r>
              <w:rPr>
                <w:rFonts w:ascii="Arial" w:hAnsi="Arial" w:cs="Arial"/>
                <w:sz w:val="20"/>
                <w:szCs w:val="20"/>
              </w:rPr>
              <w:t>Page 108</w:t>
            </w:r>
          </w:p>
          <w:p>
            <w:pPr>
              <w:pStyle w:val="NoSpacing"/>
              <w:contextualSpacing/>
              <w:jc w:val="center"/>
              <w:rPr>
                <w:rFonts w:ascii="Arial" w:hAnsi="Arial" w:cs="Arial"/>
                <w:sz w:val="20"/>
                <w:szCs w:val="20"/>
              </w:rPr>
            </w:pPr>
          </w:p>
        </w:tc>
        <w:tc>
          <w:tcPr>
            <w:tcW w:w="2525" w:type="dxa"/>
          </w:tcPr>
          <w:p>
            <w:pPr>
              <w:numPr>
                <w:ilvl w:val="0"/>
                <w:numId w:val="1"/>
              </w:numPr>
              <w:spacing w:after="0" w:line="240" w:lineRule="auto"/>
              <w:ind w:left="338"/>
              <w:contextualSpacing/>
              <w:jc w:val="both"/>
              <w:rPr>
                <w:rFonts w:ascii="Arial" w:hAnsi="Arial" w:cs="Arial"/>
                <w:sz w:val="20"/>
                <w:szCs w:val="20"/>
                <w:shd w:val="clear" w:color="auto" w:fill="FFFFFF"/>
              </w:rPr>
            </w:pPr>
            <w:r>
              <w:rPr>
                <w:rFonts w:ascii="Arial" w:hAnsi="Arial" w:cs="Arial"/>
                <w:sz w:val="20"/>
                <w:szCs w:val="20"/>
              </w:rPr>
              <w:t xml:space="preserve">The maximum utilization of the 20% Development Fund (DF) was not fully attained due to </w:t>
            </w:r>
            <w:r>
              <w:rPr>
                <w:rFonts w:ascii="Arial" w:hAnsi="Arial" w:cs="Arial"/>
                <w:sz w:val="20"/>
                <w:szCs w:val="20"/>
              </w:rPr>
              <w:br/>
              <w:t xml:space="preserve">(a) savings/ unexpended balances amounting to P18.513 million not re-appropriated to eligible development projects; (b) 24 prior years’ development projects worth P95.408 million </w:t>
            </w:r>
            <w:r>
              <w:rPr>
                <w:rFonts w:ascii="Arial" w:hAnsi="Arial" w:cs="Arial"/>
                <w:sz w:val="20"/>
                <w:szCs w:val="20"/>
                <w:lang w:val="en-US"/>
              </w:rPr>
              <w:t xml:space="preserve">that </w:t>
            </w:r>
            <w:r>
              <w:rPr>
                <w:rFonts w:ascii="Arial" w:hAnsi="Arial" w:cs="Arial"/>
                <w:sz w:val="20"/>
                <w:szCs w:val="20"/>
              </w:rPr>
              <w:t>remained unimplemented; and (c) delay in execution of 47 awarded projects and non-procurement ten projects for lack of proper planning.</w:t>
            </w:r>
          </w:p>
          <w:p>
            <w:pPr>
              <w:spacing w:after="0" w:line="240" w:lineRule="auto"/>
              <w:ind w:left="338"/>
              <w:contextualSpacing/>
              <w:jc w:val="both"/>
              <w:rPr>
                <w:rFonts w:ascii="Arial" w:hAnsi="Arial" w:cs="Arial"/>
                <w:sz w:val="20"/>
                <w:szCs w:val="20"/>
              </w:rPr>
            </w:pPr>
          </w:p>
          <w:p>
            <w:pPr>
              <w:spacing w:after="0" w:line="240" w:lineRule="auto"/>
              <w:ind w:left="346"/>
              <w:contextualSpacing/>
              <w:jc w:val="both"/>
              <w:rPr>
                <w:rFonts w:ascii="Arial" w:hAnsi="Arial" w:cs="Arial"/>
                <w:sz w:val="20"/>
                <w:szCs w:val="20"/>
              </w:rPr>
            </w:pPr>
            <w:r>
              <w:rPr>
                <w:rFonts w:ascii="Arial" w:hAnsi="Arial" w:cs="Arial"/>
                <w:sz w:val="20"/>
                <w:szCs w:val="20"/>
              </w:rPr>
              <w:t xml:space="preserve">We reiterated our recommendation that the City Budget Officer and the City Development Council of Manila re-appropriate for eligible development projects the savings/unexpended balance from the implementation of projects under the 20% DF pursuant to Section II. 5 of DILG Memorandum </w:t>
            </w:r>
            <w:r>
              <w:rPr>
                <w:rFonts w:ascii="Arial" w:hAnsi="Arial" w:cs="Arial"/>
                <w:sz w:val="20"/>
                <w:szCs w:val="20"/>
              </w:rPr>
              <w:lastRenderedPageBreak/>
              <w:t xml:space="preserve">Circular No. 99-66 dated </w:t>
            </w:r>
            <w:r>
              <w:rPr>
                <w:rFonts w:ascii="Arial" w:hAnsi="Arial" w:cs="Arial"/>
                <w:sz w:val="20"/>
                <w:szCs w:val="20"/>
              </w:rPr>
              <w:br/>
              <w:t>April 23, 1999, to attain maximum utilization of the fund.</w:t>
            </w:r>
          </w:p>
          <w:p>
            <w:pPr>
              <w:pStyle w:val="ListParagraph"/>
              <w:ind w:left="0"/>
              <w:jc w:val="both"/>
              <w:rPr>
                <w:rFonts w:ascii="Arial" w:hAnsi="Arial" w:cs="Arial"/>
                <w:sz w:val="20"/>
                <w:szCs w:val="20"/>
                <w:shd w:val="clear" w:color="auto" w:fill="FFFFFF"/>
              </w:rPr>
            </w:pPr>
          </w:p>
        </w:tc>
        <w:tc>
          <w:tcPr>
            <w:tcW w:w="1899" w:type="dxa"/>
          </w:tcPr>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p>
            <w:pPr>
              <w:spacing w:after="0" w:line="240" w:lineRule="auto"/>
              <w:contextualSpacing/>
              <w:jc w:val="center"/>
              <w:rPr>
                <w:rFonts w:ascii="Arial" w:hAnsi="Arial" w:cs="Arial"/>
                <w:sz w:val="20"/>
                <w:szCs w:val="20"/>
                <w:lang w:val="en-US"/>
              </w:rPr>
            </w:pPr>
            <w:r>
              <w:rPr>
                <w:rFonts w:ascii="Arial" w:hAnsi="Arial" w:cs="Arial"/>
                <w:sz w:val="20"/>
                <w:szCs w:val="20"/>
              </w:rPr>
              <w:t>Implemented</w:t>
            </w:r>
          </w:p>
          <w:p>
            <w:pPr>
              <w:pStyle w:val="NoSpacing"/>
              <w:contextualSpacing/>
              <w:jc w:val="center"/>
              <w:rPr>
                <w:rFonts w:ascii="Arial" w:hAnsi="Arial" w:cs="Arial"/>
                <w:sz w:val="20"/>
                <w:szCs w:val="20"/>
              </w:rPr>
            </w:pPr>
          </w:p>
        </w:tc>
        <w:tc>
          <w:tcPr>
            <w:tcW w:w="2000" w:type="dxa"/>
          </w:tcPr>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p>
          <w:p>
            <w:pPr>
              <w:pStyle w:val="NoSpacing"/>
              <w:contextualSpacing/>
              <w:jc w:val="both"/>
              <w:rPr>
                <w:rFonts w:ascii="Arial" w:hAnsi="Arial" w:cs="Arial"/>
                <w:sz w:val="20"/>
                <w:szCs w:val="20"/>
              </w:rPr>
            </w:pPr>
            <w:r>
              <w:rPr>
                <w:rFonts w:ascii="Arial" w:hAnsi="Arial" w:cs="Arial"/>
                <w:sz w:val="20"/>
                <w:szCs w:val="20"/>
              </w:rPr>
              <w:t xml:space="preserve">For CY 2023, the utilization for DF amounted to </w:t>
            </w:r>
            <w:r>
              <w:rPr>
                <w:rFonts w:ascii="Arial" w:hAnsi="Arial" w:cs="Arial"/>
                <w:sz w:val="20"/>
                <w:szCs w:val="20"/>
              </w:rPr>
              <w:br/>
              <w:t>94.36 percent of the budgeted amount of P851,642,093.00.</w:t>
            </w:r>
          </w:p>
        </w:tc>
        <w:tc>
          <w:tcPr>
            <w:tcW w:w="1842" w:type="dxa"/>
          </w:tcPr>
          <w:p>
            <w:pPr>
              <w:pStyle w:val="NoSpacing"/>
              <w:contextualSpacing/>
              <w:jc w:val="both"/>
              <w:rPr>
                <w:rFonts w:ascii="Arial" w:hAnsi="Arial" w:cs="Arial"/>
                <w:sz w:val="20"/>
                <w:szCs w:val="20"/>
              </w:rPr>
            </w:pPr>
          </w:p>
        </w:tc>
      </w:tr>
      <w:tr>
        <w:trPr>
          <w:trHeight w:val="70"/>
        </w:trPr>
        <w:tc>
          <w:tcPr>
            <w:tcW w:w="1525" w:type="dxa"/>
            <w:tcBorders>
              <w:top w:val="single" w:sz="4" w:space="0" w:color="auto"/>
              <w:left w:val="single" w:sz="4" w:space="0" w:color="auto"/>
              <w:bottom w:val="single" w:sz="4" w:space="0" w:color="auto"/>
              <w:right w:val="single" w:sz="4" w:space="0" w:color="auto"/>
            </w:tcBorders>
          </w:tcPr>
          <w:p>
            <w:pPr>
              <w:pStyle w:val="NoSpacing"/>
              <w:contextualSpacing/>
              <w:jc w:val="center"/>
              <w:rPr>
                <w:rFonts w:ascii="Arial" w:hAnsi="Arial" w:cs="Arial"/>
                <w:sz w:val="20"/>
                <w:szCs w:val="20"/>
              </w:rPr>
            </w:pPr>
            <w:r>
              <w:rPr>
                <w:rFonts w:ascii="Arial" w:hAnsi="Arial" w:cs="Arial"/>
                <w:sz w:val="20"/>
                <w:szCs w:val="20"/>
              </w:rPr>
              <w:t>CY 2017 AAR, Observation No. 4,</w:t>
            </w:r>
          </w:p>
          <w:p>
            <w:pPr>
              <w:pStyle w:val="NoSpacing"/>
              <w:contextualSpacing/>
              <w:jc w:val="center"/>
              <w:rPr>
                <w:rFonts w:ascii="Arial" w:hAnsi="Arial" w:cs="Arial"/>
                <w:sz w:val="20"/>
                <w:szCs w:val="20"/>
              </w:rPr>
            </w:pPr>
            <w:r>
              <w:rPr>
                <w:rFonts w:ascii="Arial" w:hAnsi="Arial" w:cs="Arial"/>
                <w:sz w:val="20"/>
                <w:szCs w:val="20"/>
              </w:rPr>
              <w:t>Page 66</w:t>
            </w:r>
          </w:p>
          <w:p>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pPr>
              <w:numPr>
                <w:ilvl w:val="0"/>
                <w:numId w:val="1"/>
              </w:numPr>
              <w:spacing w:after="0" w:line="240" w:lineRule="auto"/>
              <w:ind w:left="338"/>
              <w:contextualSpacing/>
              <w:jc w:val="both"/>
              <w:rPr>
                <w:rFonts w:ascii="Arial" w:hAnsi="Arial" w:cs="Arial"/>
                <w:sz w:val="20"/>
                <w:szCs w:val="20"/>
              </w:rPr>
            </w:pPr>
            <w:r>
              <w:rPr>
                <w:rFonts w:ascii="Arial" w:hAnsi="Arial" w:cs="Arial"/>
                <w:sz w:val="20"/>
                <w:szCs w:val="20"/>
              </w:rPr>
              <w:t>Time Deposit (TD) placement for the TF in the amount of P639.134 million is contrary to Section 94, Chapter 5 of the Manual, Volume I.</w:t>
            </w:r>
          </w:p>
          <w:p>
            <w:pPr>
              <w:spacing w:after="0" w:line="240" w:lineRule="auto"/>
              <w:ind w:left="338"/>
              <w:contextualSpacing/>
              <w:jc w:val="both"/>
              <w:rPr>
                <w:rFonts w:ascii="Arial" w:hAnsi="Arial" w:cs="Arial"/>
                <w:sz w:val="20"/>
                <w:szCs w:val="20"/>
              </w:rPr>
            </w:pPr>
          </w:p>
          <w:p>
            <w:pPr>
              <w:spacing w:after="0" w:line="240" w:lineRule="auto"/>
              <w:ind w:left="346"/>
              <w:contextualSpacing/>
              <w:jc w:val="both"/>
              <w:rPr>
                <w:rFonts w:ascii="Arial" w:hAnsi="Arial" w:cs="Arial"/>
                <w:sz w:val="20"/>
                <w:szCs w:val="20"/>
              </w:rPr>
            </w:pPr>
            <w:r>
              <w:rPr>
                <w:rFonts w:ascii="Arial" w:hAnsi="Arial" w:cs="Arial"/>
                <w:sz w:val="20"/>
                <w:szCs w:val="20"/>
              </w:rPr>
              <w:t>We recommended that Management require the City Accountant to:</w:t>
            </w:r>
          </w:p>
          <w:p>
            <w:pPr>
              <w:spacing w:after="0" w:line="240" w:lineRule="auto"/>
              <w:ind w:left="346"/>
              <w:contextualSpacing/>
              <w:jc w:val="both"/>
              <w:rPr>
                <w:rFonts w:ascii="Arial" w:hAnsi="Arial" w:cs="Arial"/>
                <w:sz w:val="20"/>
                <w:szCs w:val="20"/>
              </w:rPr>
            </w:pPr>
          </w:p>
          <w:p>
            <w:pPr>
              <w:numPr>
                <w:ilvl w:val="0"/>
                <w:numId w:val="15"/>
              </w:numPr>
              <w:spacing w:after="0" w:line="240" w:lineRule="auto"/>
              <w:ind w:left="609" w:hanging="249"/>
              <w:contextualSpacing/>
              <w:jc w:val="both"/>
              <w:rPr>
                <w:rFonts w:ascii="Arial" w:hAnsi="Arial" w:cs="Arial"/>
                <w:sz w:val="20"/>
                <w:szCs w:val="20"/>
              </w:rPr>
            </w:pPr>
            <w:r>
              <w:rPr>
                <w:rFonts w:ascii="Arial" w:hAnsi="Arial" w:cs="Arial"/>
                <w:sz w:val="20"/>
                <w:szCs w:val="20"/>
              </w:rPr>
              <w:t>Determine the sources of funds placed in TDs for the TF; and</w:t>
            </w:r>
          </w:p>
          <w:p>
            <w:pPr>
              <w:spacing w:after="0" w:line="240" w:lineRule="auto"/>
              <w:ind w:left="609"/>
              <w:contextualSpacing/>
              <w:jc w:val="both"/>
              <w:rPr>
                <w:rFonts w:ascii="Arial" w:hAnsi="Arial" w:cs="Arial"/>
                <w:sz w:val="20"/>
                <w:szCs w:val="20"/>
              </w:rPr>
            </w:pPr>
          </w:p>
          <w:p>
            <w:pPr>
              <w:spacing w:after="0" w:line="240" w:lineRule="auto"/>
              <w:ind w:left="609"/>
              <w:contextualSpacing/>
              <w:jc w:val="both"/>
              <w:rPr>
                <w:rFonts w:ascii="Arial" w:hAnsi="Arial" w:cs="Arial"/>
                <w:sz w:val="20"/>
                <w:szCs w:val="20"/>
              </w:rPr>
            </w:pPr>
          </w:p>
          <w:p>
            <w:pPr>
              <w:numPr>
                <w:ilvl w:val="0"/>
                <w:numId w:val="15"/>
              </w:numPr>
              <w:spacing w:after="0" w:line="240" w:lineRule="auto"/>
              <w:ind w:left="609" w:hanging="249"/>
              <w:contextualSpacing/>
              <w:jc w:val="both"/>
              <w:rPr>
                <w:rFonts w:ascii="Arial" w:hAnsi="Arial" w:cs="Arial"/>
                <w:sz w:val="20"/>
                <w:szCs w:val="20"/>
                <w:lang w:val="en-US"/>
              </w:rPr>
            </w:pPr>
            <w:r>
              <w:rPr>
                <w:rFonts w:ascii="Arial" w:hAnsi="Arial" w:cs="Arial"/>
                <w:sz w:val="20"/>
                <w:szCs w:val="20"/>
              </w:rPr>
              <w:t>Coordinate with the CTO for the review of agreements and commitments of the City and establish linkages with the concerned agencies to determine if there remain existing liabilities to the national government agencies (NGAs) / other government agencies so that return of excess / unutilized funds may be made as required; otherwise, transfer the remaining balance to the GF after reconciliation or remit to the Bureau of the Treasury (</w:t>
            </w:r>
            <w:proofErr w:type="spellStart"/>
            <w:r>
              <w:rPr>
                <w:rFonts w:ascii="Arial" w:hAnsi="Arial" w:cs="Arial"/>
                <w:sz w:val="20"/>
                <w:szCs w:val="20"/>
              </w:rPr>
              <w:t>BTr</w:t>
            </w:r>
            <w:proofErr w:type="spellEnd"/>
            <w:r>
              <w:rPr>
                <w:rFonts w:ascii="Arial" w:hAnsi="Arial" w:cs="Arial"/>
                <w:sz w:val="20"/>
                <w:szCs w:val="20"/>
              </w:rPr>
              <w:t>).</w:t>
            </w:r>
          </w:p>
          <w:p>
            <w:pPr>
              <w:spacing w:after="0" w:line="240" w:lineRule="auto"/>
              <w:contextualSpacing/>
              <w:jc w:val="both"/>
              <w:rPr>
                <w:rFonts w:ascii="Arial" w:eastAsia="Calibri" w:hAnsi="Arial" w:cs="Arial"/>
                <w:sz w:val="20"/>
                <w:szCs w:val="20"/>
                <w:shd w:val="clear" w:color="auto" w:fill="FFFFFF"/>
              </w:rPr>
            </w:pPr>
          </w:p>
        </w:tc>
        <w:tc>
          <w:tcPr>
            <w:tcW w:w="1899" w:type="dxa"/>
            <w:tcBorders>
              <w:top w:val="single" w:sz="4" w:space="0" w:color="auto"/>
              <w:left w:val="single" w:sz="4" w:space="0" w:color="auto"/>
              <w:bottom w:val="single" w:sz="4" w:space="0" w:color="auto"/>
              <w:right w:val="single" w:sz="4" w:space="0" w:color="auto"/>
            </w:tcBorders>
          </w:tcPr>
          <w:p>
            <w:pPr>
              <w:pStyle w:val="ListParagraph"/>
              <w:jc w:val="center"/>
              <w:rPr>
                <w:rFonts w:ascii="Arial" w:hAnsi="Arial" w:cs="Arial"/>
                <w:sz w:val="20"/>
                <w:szCs w:val="20"/>
              </w:rPr>
            </w:pPr>
          </w:p>
          <w:p>
            <w:pPr>
              <w:pStyle w:val="ListParagraph"/>
              <w:jc w:val="center"/>
              <w:rPr>
                <w:rFonts w:ascii="Arial" w:hAnsi="Arial" w:cs="Arial"/>
                <w:sz w:val="20"/>
                <w:szCs w:val="20"/>
              </w:rPr>
            </w:pPr>
          </w:p>
          <w:p>
            <w:pPr>
              <w:pStyle w:val="ListParagraph"/>
              <w:jc w:val="center"/>
              <w:rPr>
                <w:rFonts w:ascii="Arial" w:hAnsi="Arial" w:cs="Arial"/>
                <w:sz w:val="20"/>
                <w:szCs w:val="20"/>
              </w:rPr>
            </w:pPr>
          </w:p>
          <w:p>
            <w:pPr>
              <w:pStyle w:val="ListParagraph"/>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Implemented</w:t>
            </w: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lang w:val="en-US"/>
              </w:rPr>
            </w:pPr>
            <w:r>
              <w:rPr>
                <w:rFonts w:ascii="Arial" w:hAnsi="Arial" w:cs="Arial"/>
                <w:sz w:val="20"/>
                <w:szCs w:val="20"/>
              </w:rPr>
              <w:t>Implemented</w:t>
            </w:r>
          </w:p>
          <w:p>
            <w:pPr>
              <w:spacing w:after="0" w:line="240" w:lineRule="auto"/>
              <w:contextualSpacing/>
              <w:jc w:val="center"/>
              <w:rPr>
                <w:rFonts w:ascii="Arial" w:hAnsi="Arial" w:cs="Arial"/>
                <w:sz w:val="20"/>
                <w:szCs w:val="20"/>
                <w:lang w:val="en-US"/>
              </w:rPr>
            </w:pPr>
          </w:p>
          <w:p>
            <w:pPr>
              <w:pStyle w:val="ListParagraph"/>
              <w:ind w:left="0"/>
              <w:jc w:val="center"/>
              <w:rPr>
                <w:rFonts w:ascii="Arial" w:hAnsi="Arial" w:cs="Arial"/>
                <w:sz w:val="20"/>
                <w:szCs w:val="20"/>
              </w:rPr>
            </w:pPr>
          </w:p>
          <w:p>
            <w:pPr>
              <w:pStyle w:val="ListParagraph"/>
              <w:jc w:val="center"/>
              <w:rPr>
                <w:rFonts w:ascii="Arial" w:hAnsi="Arial" w:cs="Arial"/>
                <w:sz w:val="20"/>
                <w:szCs w:val="20"/>
              </w:rPr>
            </w:pPr>
          </w:p>
          <w:p>
            <w:pPr>
              <w:pStyle w:val="ListParagraph"/>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lang w:val="en-US"/>
              </w:rPr>
            </w:pPr>
            <w:r>
              <w:rPr>
                <w:rFonts w:ascii="Arial" w:hAnsi="Arial" w:cs="Arial"/>
                <w:sz w:val="20"/>
                <w:szCs w:val="20"/>
                <w:lang w:val="en-US"/>
              </w:rPr>
              <w:t xml:space="preserve">As of </w:t>
            </w:r>
          </w:p>
          <w:p>
            <w:pPr>
              <w:spacing w:after="0" w:line="240" w:lineRule="auto"/>
              <w:contextualSpacing/>
              <w:jc w:val="both"/>
              <w:rPr>
                <w:rFonts w:ascii="Arial" w:hAnsi="Arial" w:cs="Arial"/>
                <w:sz w:val="20"/>
                <w:szCs w:val="20"/>
                <w:lang w:val="en-US"/>
              </w:rPr>
            </w:pPr>
            <w:r>
              <w:rPr>
                <w:rFonts w:ascii="Arial" w:hAnsi="Arial" w:cs="Arial"/>
                <w:sz w:val="20"/>
                <w:szCs w:val="20"/>
                <w:lang w:val="en-US"/>
              </w:rPr>
              <w:t>December 31,</w:t>
            </w:r>
            <w:proofErr w:type="gramStart"/>
            <w:r>
              <w:rPr>
                <w:rFonts w:ascii="Arial" w:hAnsi="Arial" w:cs="Arial"/>
                <w:sz w:val="20"/>
                <w:szCs w:val="20"/>
                <w:lang w:val="en-US"/>
              </w:rPr>
              <w:t>2023,  no</w:t>
            </w:r>
            <w:proofErr w:type="gramEnd"/>
            <w:r>
              <w:rPr>
                <w:rFonts w:ascii="Arial" w:hAnsi="Arial" w:cs="Arial"/>
                <w:sz w:val="20"/>
                <w:szCs w:val="20"/>
                <w:lang w:val="en-US"/>
              </w:rPr>
              <w:t xml:space="preserve"> TD is maintained in the TF books of account of the City.</w:t>
            </w:r>
          </w:p>
          <w:p>
            <w:pPr>
              <w:spacing w:after="0" w:line="240" w:lineRule="auto"/>
              <w:contextualSpacing/>
              <w:jc w:val="both"/>
              <w:rPr>
                <w:rFonts w:ascii="Arial" w:hAnsi="Arial" w:cs="Arial"/>
                <w:sz w:val="20"/>
                <w:szCs w:val="20"/>
                <w:lang w:val="en-US"/>
              </w:rPr>
            </w:pPr>
          </w:p>
          <w:p>
            <w:pPr>
              <w:spacing w:after="0" w:line="240" w:lineRule="auto"/>
              <w:contextualSpacing/>
              <w:jc w:val="both"/>
              <w:rPr>
                <w:rFonts w:ascii="Arial" w:hAnsi="Arial" w:cs="Arial"/>
                <w:sz w:val="20"/>
                <w:szCs w:val="20"/>
                <w:lang w:val="en-US"/>
              </w:rPr>
            </w:pPr>
            <w:r>
              <w:rPr>
                <w:rFonts w:ascii="Arial" w:hAnsi="Arial" w:cs="Arial"/>
                <w:sz w:val="20"/>
                <w:szCs w:val="20"/>
                <w:lang w:val="en-US"/>
              </w:rPr>
              <w:t xml:space="preserve">As of </w:t>
            </w:r>
          </w:p>
          <w:p>
            <w:pPr>
              <w:spacing w:after="0" w:line="240" w:lineRule="auto"/>
              <w:contextualSpacing/>
              <w:jc w:val="both"/>
              <w:rPr>
                <w:rFonts w:ascii="Arial" w:hAnsi="Arial" w:cs="Arial"/>
                <w:sz w:val="20"/>
                <w:szCs w:val="20"/>
              </w:rPr>
            </w:pPr>
            <w:r>
              <w:rPr>
                <w:rFonts w:ascii="Arial" w:hAnsi="Arial" w:cs="Arial"/>
                <w:sz w:val="20"/>
                <w:szCs w:val="20"/>
                <w:lang w:val="en-US"/>
              </w:rPr>
              <w:t xml:space="preserve">December 31, 2023 no TD is maintained in the TF books of account of the City. </w:t>
            </w:r>
          </w:p>
          <w:p>
            <w:pPr>
              <w:spacing w:after="0" w:line="240" w:lineRule="auto"/>
              <w:contextualSpacing/>
              <w:jc w:val="both"/>
              <w:rPr>
                <w:rFonts w:ascii="Arial" w:hAnsi="Arial" w:cs="Arial"/>
                <w:sz w:val="20"/>
                <w:szCs w:val="20"/>
              </w:rPr>
            </w:pPr>
            <w:r>
              <w:rPr>
                <w:rFonts w:ascii="Arial" w:hAnsi="Arial" w:cs="Arial"/>
                <w:sz w:val="20"/>
                <w:szCs w:val="20"/>
                <w:lang w:val="en-US"/>
              </w:rPr>
              <w:t xml:space="preserve"> </w:t>
            </w:r>
          </w:p>
          <w:p>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tc>
      </w:tr>
      <w:tr>
        <w:trPr>
          <w:trHeight w:val="70"/>
        </w:trPr>
        <w:tc>
          <w:tcPr>
            <w:tcW w:w="1525" w:type="dxa"/>
            <w:tcBorders>
              <w:top w:val="single" w:sz="4" w:space="0" w:color="auto"/>
              <w:left w:val="single" w:sz="4" w:space="0" w:color="auto"/>
              <w:bottom w:val="single" w:sz="4" w:space="0" w:color="auto"/>
              <w:right w:val="single" w:sz="4" w:space="0" w:color="auto"/>
            </w:tcBorders>
          </w:tcPr>
          <w:p>
            <w:pPr>
              <w:pStyle w:val="NoSpacing"/>
              <w:contextualSpacing/>
              <w:jc w:val="center"/>
              <w:rPr>
                <w:rFonts w:ascii="Arial" w:hAnsi="Arial" w:cs="Arial"/>
                <w:sz w:val="20"/>
                <w:szCs w:val="20"/>
              </w:rPr>
            </w:pPr>
            <w:r>
              <w:rPr>
                <w:rFonts w:ascii="Arial" w:hAnsi="Arial" w:cs="Arial"/>
                <w:sz w:val="20"/>
                <w:szCs w:val="20"/>
              </w:rPr>
              <w:t>CY 2017 AAR, Observation No. 10,</w:t>
            </w:r>
          </w:p>
          <w:p>
            <w:pPr>
              <w:pStyle w:val="NoSpacing"/>
              <w:contextualSpacing/>
              <w:jc w:val="center"/>
              <w:rPr>
                <w:rFonts w:ascii="Arial" w:hAnsi="Arial" w:cs="Arial"/>
                <w:sz w:val="20"/>
                <w:szCs w:val="20"/>
              </w:rPr>
            </w:pPr>
            <w:r>
              <w:rPr>
                <w:rFonts w:ascii="Arial" w:hAnsi="Arial" w:cs="Arial"/>
                <w:sz w:val="20"/>
                <w:szCs w:val="20"/>
              </w:rPr>
              <w:lastRenderedPageBreak/>
              <w:t>Page 78</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pPr>
              <w:numPr>
                <w:ilvl w:val="0"/>
                <w:numId w:val="1"/>
              </w:numPr>
              <w:spacing w:after="0" w:line="240" w:lineRule="auto"/>
              <w:ind w:left="338"/>
              <w:contextualSpacing/>
              <w:jc w:val="both"/>
              <w:rPr>
                <w:rFonts w:ascii="Arial" w:eastAsia="Calibri" w:hAnsi="Arial" w:cs="Arial"/>
                <w:sz w:val="20"/>
                <w:szCs w:val="20"/>
                <w:shd w:val="clear" w:color="auto" w:fill="FFFFFF"/>
              </w:rPr>
            </w:pPr>
            <w:r>
              <w:rPr>
                <w:rFonts w:ascii="Arial" w:hAnsi="Arial" w:cs="Arial"/>
                <w:sz w:val="20"/>
                <w:szCs w:val="20"/>
              </w:rPr>
              <w:lastRenderedPageBreak/>
              <w:t xml:space="preserve">The Traffic TF balance in the amount of P75.735 million </w:t>
            </w:r>
            <w:r>
              <w:rPr>
                <w:rFonts w:ascii="Arial" w:hAnsi="Arial" w:cs="Arial"/>
                <w:sz w:val="20"/>
                <w:szCs w:val="20"/>
              </w:rPr>
              <w:lastRenderedPageBreak/>
              <w:t>recorded as Due to Officers and Employees-Ordinance Violation Receipt (OVR), 25 percent sub-account under the TF was reclassified to Due to Officers and Employees-OVR, 20% and Due to Officers and Employees-OVR, 5 percent sub-accounts in the amount of P60.588 million and P15.147 million, respectively, without the necessary list of payees, thus, the corresponding back-up cash of the said account may be compromised, if the same is released to traffic enforcers        (20 per cent) and traffic enforcement units (five per cent) of the City.</w:t>
            </w:r>
          </w:p>
          <w:p>
            <w:pPr>
              <w:spacing w:after="0" w:line="240" w:lineRule="auto"/>
              <w:ind w:left="338"/>
              <w:contextualSpacing/>
              <w:jc w:val="both"/>
              <w:rPr>
                <w:rFonts w:ascii="Arial" w:hAnsi="Arial" w:cs="Arial"/>
                <w:sz w:val="20"/>
                <w:szCs w:val="20"/>
              </w:rPr>
            </w:pPr>
          </w:p>
          <w:p>
            <w:pPr>
              <w:spacing w:after="0" w:line="240" w:lineRule="auto"/>
              <w:ind w:left="346"/>
              <w:contextualSpacing/>
              <w:jc w:val="both"/>
              <w:rPr>
                <w:rFonts w:ascii="Arial" w:hAnsi="Arial" w:cs="Arial"/>
                <w:sz w:val="20"/>
                <w:szCs w:val="20"/>
                <w:lang w:val="en-US"/>
              </w:rPr>
            </w:pPr>
            <w:r>
              <w:rPr>
                <w:rFonts w:ascii="Arial" w:hAnsi="Arial" w:cs="Arial"/>
                <w:sz w:val="20"/>
                <w:szCs w:val="20"/>
              </w:rPr>
              <w:t>We recommended that Management direct the OCAT to revert the said amount from the TF to the GF in the event that the sub-account does not belong or could no longer be determined as pertaining to any specific payee, traffic enforcers and traffic enforcement units, particularly the amount recorded prior to the amendment of the Ordinance.</w:t>
            </w:r>
          </w:p>
          <w:p>
            <w:pPr>
              <w:spacing w:after="0" w:line="240" w:lineRule="auto"/>
              <w:ind w:left="338"/>
              <w:contextualSpacing/>
              <w:jc w:val="both"/>
              <w:rPr>
                <w:rFonts w:ascii="Arial" w:eastAsia="Calibri" w:hAnsi="Arial" w:cs="Arial"/>
                <w:sz w:val="20"/>
                <w:szCs w:val="20"/>
                <w:shd w:val="clear" w:color="auto" w:fill="FFFFFF"/>
              </w:rPr>
            </w:pPr>
          </w:p>
        </w:tc>
        <w:tc>
          <w:tcPr>
            <w:tcW w:w="1899" w:type="dxa"/>
            <w:tcBorders>
              <w:top w:val="single" w:sz="4" w:space="0" w:color="auto"/>
              <w:left w:val="single" w:sz="4" w:space="0" w:color="auto"/>
              <w:bottom w:val="single" w:sz="4" w:space="0" w:color="auto"/>
              <w:right w:val="single" w:sz="4" w:space="0" w:color="auto"/>
            </w:tcBorders>
          </w:tcPr>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spacing w:after="0" w:line="240" w:lineRule="auto"/>
              <w:contextualSpacing/>
              <w:jc w:val="center"/>
              <w:rPr>
                <w:rFonts w:ascii="Arial" w:hAnsi="Arial" w:cs="Arial"/>
                <w:sz w:val="20"/>
                <w:szCs w:val="20"/>
                <w:lang w:val="en-US"/>
              </w:rPr>
            </w:pPr>
            <w:r>
              <w:rPr>
                <w:rFonts w:ascii="Arial" w:hAnsi="Arial" w:cs="Arial"/>
                <w:sz w:val="20"/>
                <w:szCs w:val="20"/>
              </w:rPr>
              <w:t>Implemented</w:t>
            </w: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r>
              <w:rPr>
                <w:rFonts w:ascii="Arial" w:hAnsi="Arial" w:cs="Arial"/>
                <w:sz w:val="20"/>
                <w:szCs w:val="20"/>
              </w:rPr>
              <w:t xml:space="preserve">The amounts were already distributed to the concerned traffic enforcers and traffic units. As of December 31, 2023 the account pertains to undistributed shares in the OVR for CY 2023. </w:t>
            </w: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tc>
      </w:tr>
      <w:tr>
        <w:trPr>
          <w:trHeight w:val="70"/>
        </w:trPr>
        <w:tc>
          <w:tcPr>
            <w:tcW w:w="1525" w:type="dxa"/>
            <w:tcBorders>
              <w:top w:val="single" w:sz="4" w:space="0" w:color="auto"/>
              <w:left w:val="single" w:sz="4" w:space="0" w:color="auto"/>
              <w:bottom w:val="single" w:sz="4" w:space="0" w:color="auto"/>
              <w:right w:val="single" w:sz="4" w:space="0" w:color="auto"/>
            </w:tcBorders>
          </w:tcPr>
          <w:p>
            <w:pPr>
              <w:pStyle w:val="NoSpacing"/>
              <w:contextualSpacing/>
              <w:jc w:val="center"/>
              <w:rPr>
                <w:rFonts w:ascii="Arial" w:hAnsi="Arial" w:cs="Arial"/>
                <w:sz w:val="20"/>
                <w:szCs w:val="20"/>
              </w:rPr>
            </w:pPr>
            <w:r>
              <w:rPr>
                <w:rFonts w:ascii="Arial" w:hAnsi="Arial" w:cs="Arial"/>
                <w:sz w:val="20"/>
                <w:szCs w:val="20"/>
              </w:rPr>
              <w:lastRenderedPageBreak/>
              <w:t>CY 2017 AAR, Observation No. 11,</w:t>
            </w:r>
          </w:p>
          <w:p>
            <w:pPr>
              <w:pStyle w:val="NoSpacing"/>
              <w:contextualSpacing/>
              <w:jc w:val="center"/>
              <w:rPr>
                <w:rFonts w:ascii="Arial" w:hAnsi="Arial" w:cs="Arial"/>
                <w:sz w:val="20"/>
                <w:szCs w:val="20"/>
              </w:rPr>
            </w:pPr>
            <w:r>
              <w:rPr>
                <w:rFonts w:ascii="Arial" w:hAnsi="Arial" w:cs="Arial"/>
                <w:sz w:val="20"/>
                <w:szCs w:val="20"/>
              </w:rPr>
              <w:t>Page 80</w:t>
            </w:r>
          </w:p>
          <w:p>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pPr>
              <w:numPr>
                <w:ilvl w:val="0"/>
                <w:numId w:val="1"/>
              </w:numPr>
              <w:spacing w:after="0" w:line="240" w:lineRule="auto"/>
              <w:ind w:left="338"/>
              <w:contextualSpacing/>
              <w:jc w:val="both"/>
              <w:rPr>
                <w:rFonts w:ascii="Arial" w:eastAsia="Calibri" w:hAnsi="Arial" w:cs="Arial"/>
                <w:sz w:val="20"/>
                <w:szCs w:val="20"/>
                <w:shd w:val="clear" w:color="auto" w:fill="FFFFFF"/>
              </w:rPr>
            </w:pPr>
            <w:r>
              <w:rPr>
                <w:rFonts w:ascii="Arial" w:hAnsi="Arial" w:cs="Arial"/>
                <w:sz w:val="20"/>
                <w:szCs w:val="20"/>
              </w:rPr>
              <w:t xml:space="preserve">Out of the City’s Shares from Philippine Amusement and Gaming Corporation (PAGCOR), Lotto Charity Fund (LCF), </w:t>
            </w:r>
            <w:r>
              <w:rPr>
                <w:rFonts w:ascii="Arial" w:hAnsi="Arial" w:cs="Arial"/>
                <w:sz w:val="20"/>
                <w:szCs w:val="20"/>
              </w:rPr>
              <w:lastRenderedPageBreak/>
              <w:t xml:space="preserve">and donations and Endowment Fund from the Philippine Charity Sweepstakes Office (PCSO) in the aggregate amount of P281.149 million, only P78.027 million or </w:t>
            </w:r>
            <w:r>
              <w:rPr>
                <w:rFonts w:ascii="Arial" w:hAnsi="Arial" w:cs="Arial"/>
                <w:sz w:val="20"/>
                <w:szCs w:val="20"/>
              </w:rPr>
              <w:br/>
              <w:t>28 percent was utilized, thus, the optimum use of the funds, the intentions and the purposes for which the funds were granted were not fully achieved</w:t>
            </w:r>
            <w:r>
              <w:rPr>
                <w:rFonts w:ascii="Arial" w:hAnsi="Arial" w:cs="Arial"/>
                <w:sz w:val="20"/>
                <w:szCs w:val="20"/>
                <w:lang w:val="en-US"/>
              </w:rPr>
              <w:t>.</w:t>
            </w:r>
            <w:r>
              <w:rPr>
                <w:rFonts w:ascii="Arial" w:hAnsi="Arial" w:cs="Arial"/>
                <w:sz w:val="20"/>
                <w:szCs w:val="20"/>
              </w:rPr>
              <w:br/>
            </w:r>
            <w:r>
              <w:rPr>
                <w:rFonts w:ascii="Arial" w:hAnsi="Arial" w:cs="Arial"/>
                <w:sz w:val="20"/>
                <w:szCs w:val="20"/>
              </w:rPr>
              <w:br/>
              <w:t>The City’s Shares from PAGCOR was not fully utilized.</w:t>
            </w:r>
            <w:r>
              <w:rPr>
                <w:rFonts w:ascii="Arial" w:hAnsi="Arial" w:cs="Arial"/>
                <w:sz w:val="20"/>
                <w:szCs w:val="20"/>
                <w:lang w:val="en-US"/>
              </w:rPr>
              <w:t xml:space="preserve"> </w:t>
            </w:r>
            <w:r>
              <w:rPr>
                <w:rFonts w:ascii="Arial" w:hAnsi="Arial" w:cs="Arial"/>
                <w:sz w:val="20"/>
                <w:szCs w:val="20"/>
              </w:rPr>
              <w:t xml:space="preserve">Unutilized share from the PCSO Lotto Charity Fund and Donations to Hospitals in the amount of </w:t>
            </w:r>
            <w:r>
              <w:rPr>
                <w:rFonts w:ascii="Arial" w:hAnsi="Arial" w:cs="Arial"/>
                <w:sz w:val="20"/>
                <w:szCs w:val="20"/>
              </w:rPr>
              <w:br/>
              <w:t xml:space="preserve">P90.886 million and P1.514 million, respectively. </w:t>
            </w:r>
            <w:r>
              <w:rPr>
                <w:rFonts w:ascii="Arial" w:hAnsi="Arial" w:cs="Arial"/>
                <w:sz w:val="20"/>
                <w:szCs w:val="20"/>
                <w:lang w:val="en-US"/>
              </w:rPr>
              <w:t>Out</w:t>
            </w:r>
            <w:r>
              <w:rPr>
                <w:rFonts w:ascii="Arial" w:hAnsi="Arial" w:cs="Arial"/>
                <w:sz w:val="20"/>
                <w:szCs w:val="20"/>
              </w:rPr>
              <w:t xml:space="preserve"> of the Endowment Fund for the three city hospitals of </w:t>
            </w:r>
            <w:r>
              <w:rPr>
                <w:rFonts w:ascii="Arial" w:hAnsi="Arial" w:cs="Arial"/>
                <w:sz w:val="20"/>
                <w:szCs w:val="20"/>
              </w:rPr>
              <w:br/>
              <w:t xml:space="preserve">P3.500 million, only P0.100 million was utilized </w:t>
            </w:r>
            <w:r>
              <w:rPr>
                <w:rFonts w:ascii="Arial" w:hAnsi="Arial" w:cs="Arial"/>
                <w:sz w:val="20"/>
                <w:szCs w:val="20"/>
                <w:lang w:val="en-US"/>
              </w:rPr>
              <w:t xml:space="preserve">or </w:t>
            </w:r>
            <w:r>
              <w:rPr>
                <w:rFonts w:ascii="Arial" w:hAnsi="Arial" w:cs="Arial"/>
                <w:sz w:val="20"/>
                <w:szCs w:val="20"/>
              </w:rPr>
              <w:t>2.80 percent of the amount.</w:t>
            </w:r>
          </w:p>
          <w:p>
            <w:pPr>
              <w:spacing w:after="0" w:line="240" w:lineRule="auto"/>
              <w:ind w:left="338"/>
              <w:contextualSpacing/>
              <w:jc w:val="both"/>
              <w:rPr>
                <w:rFonts w:ascii="Arial" w:eastAsia="Calibri" w:hAnsi="Arial" w:cs="Arial"/>
                <w:sz w:val="20"/>
                <w:szCs w:val="20"/>
                <w:shd w:val="clear" w:color="auto" w:fill="FFFFFF"/>
              </w:rPr>
            </w:pPr>
          </w:p>
          <w:p>
            <w:pPr>
              <w:spacing w:after="0" w:line="240" w:lineRule="auto"/>
              <w:ind w:left="346"/>
              <w:contextualSpacing/>
              <w:jc w:val="both"/>
              <w:rPr>
                <w:rFonts w:ascii="Arial" w:hAnsi="Arial" w:cs="Arial"/>
                <w:sz w:val="20"/>
                <w:szCs w:val="20"/>
                <w:lang w:val="en-US"/>
              </w:rPr>
            </w:pPr>
            <w:r>
              <w:rPr>
                <w:rFonts w:ascii="Arial" w:hAnsi="Arial" w:cs="Arial"/>
                <w:sz w:val="20"/>
                <w:szCs w:val="20"/>
                <w:lang w:val="en-US"/>
              </w:rPr>
              <w:t>We recommended that Management:</w:t>
            </w:r>
          </w:p>
          <w:p>
            <w:pPr>
              <w:spacing w:after="0" w:line="240" w:lineRule="auto"/>
              <w:contextualSpacing/>
              <w:jc w:val="both"/>
              <w:rPr>
                <w:rFonts w:ascii="Arial" w:hAnsi="Arial" w:cs="Arial"/>
                <w:sz w:val="20"/>
                <w:szCs w:val="20"/>
                <w:lang w:val="en-US"/>
              </w:rPr>
            </w:pPr>
          </w:p>
          <w:p>
            <w:pPr>
              <w:numPr>
                <w:ilvl w:val="0"/>
                <w:numId w:val="16"/>
              </w:numPr>
              <w:spacing w:after="0" w:line="240" w:lineRule="auto"/>
              <w:ind w:left="609" w:hanging="249"/>
              <w:contextualSpacing/>
              <w:jc w:val="both"/>
              <w:rPr>
                <w:rFonts w:ascii="Arial" w:hAnsi="Arial" w:cs="Arial"/>
                <w:sz w:val="20"/>
                <w:szCs w:val="20"/>
                <w:lang w:val="en-US"/>
              </w:rPr>
            </w:pPr>
            <w:r>
              <w:rPr>
                <w:rFonts w:ascii="Arial" w:hAnsi="Arial" w:cs="Arial"/>
                <w:sz w:val="20"/>
                <w:szCs w:val="20"/>
              </w:rPr>
              <w:t>Consider in the preparation of the City’s annual plan those qualified PPAs to be funded under the PAGCOR fund to fully achieve the objectives and purposes for which the fund was granted;</w:t>
            </w:r>
          </w:p>
          <w:p>
            <w:pPr>
              <w:spacing w:after="0" w:line="240" w:lineRule="auto"/>
              <w:ind w:left="609"/>
              <w:contextualSpacing/>
              <w:jc w:val="both"/>
              <w:rPr>
                <w:rFonts w:ascii="Arial" w:hAnsi="Arial" w:cs="Arial"/>
                <w:sz w:val="20"/>
                <w:szCs w:val="20"/>
              </w:rPr>
            </w:pPr>
          </w:p>
          <w:p>
            <w:pPr>
              <w:numPr>
                <w:ilvl w:val="0"/>
                <w:numId w:val="16"/>
              </w:numPr>
              <w:spacing w:after="0" w:line="240" w:lineRule="auto"/>
              <w:ind w:left="609" w:hanging="249"/>
              <w:contextualSpacing/>
              <w:jc w:val="both"/>
              <w:rPr>
                <w:rFonts w:ascii="Arial" w:hAnsi="Arial" w:cs="Arial"/>
                <w:sz w:val="20"/>
                <w:szCs w:val="20"/>
                <w:lang w:val="en-US"/>
              </w:rPr>
            </w:pPr>
            <w:r>
              <w:rPr>
                <w:rFonts w:ascii="Arial" w:hAnsi="Arial" w:cs="Arial"/>
                <w:sz w:val="20"/>
                <w:szCs w:val="20"/>
              </w:rPr>
              <w:t xml:space="preserve">Consider in the preparation of the City’s annual plan </w:t>
            </w:r>
            <w:r>
              <w:rPr>
                <w:rFonts w:ascii="Arial" w:hAnsi="Arial" w:cs="Arial"/>
                <w:sz w:val="20"/>
                <w:szCs w:val="20"/>
              </w:rPr>
              <w:lastRenderedPageBreak/>
              <w:t>some of the PPAs which could be funded under the PCSO aligned with the intentions/purposes of the fund authorized by the Board of Directors of the said office;</w:t>
            </w:r>
          </w:p>
          <w:p>
            <w:pPr>
              <w:spacing w:after="0" w:line="240" w:lineRule="auto"/>
              <w:ind w:left="609"/>
              <w:contextualSpacing/>
              <w:jc w:val="both"/>
              <w:rPr>
                <w:rFonts w:ascii="Arial" w:hAnsi="Arial" w:cs="Arial"/>
                <w:sz w:val="20"/>
                <w:szCs w:val="20"/>
              </w:rPr>
            </w:pPr>
          </w:p>
          <w:p>
            <w:pPr>
              <w:numPr>
                <w:ilvl w:val="0"/>
                <w:numId w:val="16"/>
              </w:numPr>
              <w:spacing w:after="0" w:line="240" w:lineRule="auto"/>
              <w:ind w:left="609" w:hanging="249"/>
              <w:contextualSpacing/>
              <w:jc w:val="both"/>
              <w:rPr>
                <w:rFonts w:ascii="Arial" w:hAnsi="Arial" w:cs="Arial"/>
                <w:sz w:val="20"/>
                <w:szCs w:val="20"/>
                <w:lang w:val="en-US"/>
              </w:rPr>
            </w:pPr>
            <w:r>
              <w:rPr>
                <w:rFonts w:ascii="Arial" w:hAnsi="Arial" w:cs="Arial"/>
                <w:sz w:val="20"/>
                <w:szCs w:val="20"/>
              </w:rPr>
              <w:t>Review the previous years’ PCSO donations to hospitals and Manila Health Department to determine if there are restrictions on the said funds otherwise, consolidate them in the GF; and</w:t>
            </w:r>
          </w:p>
          <w:p>
            <w:pPr>
              <w:pStyle w:val="ListParagraph"/>
              <w:rPr>
                <w:rFonts w:ascii="Arial" w:hAnsi="Arial" w:cs="Arial"/>
                <w:sz w:val="20"/>
                <w:szCs w:val="20"/>
              </w:rPr>
            </w:pPr>
          </w:p>
          <w:p>
            <w:pPr>
              <w:numPr>
                <w:ilvl w:val="0"/>
                <w:numId w:val="16"/>
              </w:numPr>
              <w:spacing w:after="0" w:line="240" w:lineRule="auto"/>
              <w:ind w:left="609" w:hanging="249"/>
              <w:contextualSpacing/>
              <w:jc w:val="both"/>
              <w:rPr>
                <w:rFonts w:ascii="Arial" w:hAnsi="Arial" w:cs="Arial"/>
                <w:sz w:val="20"/>
                <w:szCs w:val="20"/>
                <w:lang w:val="en-US"/>
              </w:rPr>
            </w:pPr>
            <w:r>
              <w:rPr>
                <w:rFonts w:ascii="Arial" w:hAnsi="Arial" w:cs="Arial"/>
                <w:sz w:val="20"/>
                <w:szCs w:val="20"/>
              </w:rPr>
              <w:t>Identify the causes/reason for the non-implementation of the Endowment Fund Program of the city hospitals and the non-maintenance of separate depository account required in M</w:t>
            </w:r>
            <w:r>
              <w:rPr>
                <w:rFonts w:ascii="Arial" w:hAnsi="Arial" w:cs="Arial"/>
                <w:sz w:val="20"/>
                <w:szCs w:val="20"/>
                <w:lang w:val="en-US"/>
              </w:rPr>
              <w:t xml:space="preserve">OA for </w:t>
            </w:r>
            <w:r>
              <w:rPr>
                <w:rFonts w:ascii="Arial" w:hAnsi="Arial" w:cs="Arial"/>
                <w:sz w:val="20"/>
                <w:szCs w:val="20"/>
              </w:rPr>
              <w:t>Sta Ana Hospital</w:t>
            </w:r>
            <w:r>
              <w:rPr>
                <w:rFonts w:ascii="Arial" w:hAnsi="Arial" w:cs="Arial"/>
                <w:sz w:val="20"/>
                <w:szCs w:val="20"/>
                <w:lang w:val="en-US"/>
              </w:rPr>
              <w:t>.</w:t>
            </w:r>
          </w:p>
          <w:p>
            <w:pPr>
              <w:spacing w:after="0" w:line="240" w:lineRule="auto"/>
              <w:ind w:left="338"/>
              <w:contextualSpacing/>
              <w:jc w:val="both"/>
              <w:rPr>
                <w:rFonts w:ascii="Arial" w:eastAsia="Calibri" w:hAnsi="Arial" w:cs="Arial"/>
                <w:sz w:val="20"/>
                <w:szCs w:val="20"/>
                <w:shd w:val="clear" w:color="auto" w:fill="FFFFFF"/>
              </w:rPr>
            </w:pPr>
          </w:p>
        </w:tc>
        <w:tc>
          <w:tcPr>
            <w:tcW w:w="1899" w:type="dxa"/>
            <w:tcBorders>
              <w:top w:val="single" w:sz="4" w:space="0" w:color="auto"/>
              <w:left w:val="single" w:sz="4" w:space="0" w:color="auto"/>
              <w:bottom w:val="single" w:sz="4" w:space="0" w:color="auto"/>
              <w:right w:val="single" w:sz="4" w:space="0" w:color="auto"/>
            </w:tcBorders>
          </w:tcPr>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spacing w:after="0" w:line="240" w:lineRule="auto"/>
              <w:contextualSpacing/>
              <w:jc w:val="center"/>
              <w:rPr>
                <w:rFonts w:ascii="Arial" w:hAnsi="Arial" w:cs="Arial"/>
                <w:sz w:val="20"/>
                <w:szCs w:val="20"/>
                <w:lang w:val="en-US"/>
              </w:rPr>
            </w:pPr>
            <w:r>
              <w:rPr>
                <w:rFonts w:ascii="Arial" w:hAnsi="Arial" w:cs="Arial"/>
                <w:sz w:val="20"/>
                <w:szCs w:val="20"/>
              </w:rPr>
              <w:t>Implemented</w:t>
            </w: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Implemented</w:t>
            </w: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Implemented</w:t>
            </w: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lang w:val="en-US"/>
              </w:rPr>
            </w:pPr>
            <w:r>
              <w:rPr>
                <w:rFonts w:ascii="Arial" w:hAnsi="Arial" w:cs="Arial"/>
                <w:sz w:val="20"/>
                <w:szCs w:val="20"/>
              </w:rPr>
              <w:t>Implemented</w:t>
            </w:r>
          </w:p>
          <w:p>
            <w:pPr>
              <w:spacing w:after="0" w:line="240" w:lineRule="auto"/>
              <w:contextualSpacing/>
              <w:jc w:val="center"/>
              <w:rPr>
                <w:rFonts w:ascii="Arial" w:hAnsi="Arial" w:cs="Arial"/>
                <w:sz w:val="20"/>
                <w:szCs w:val="20"/>
                <w:lang w:val="en-US"/>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rPr>
                <w:rFonts w:ascii="Arial" w:hAnsi="Arial" w:cs="Arial"/>
                <w:sz w:val="20"/>
                <w:szCs w:val="20"/>
              </w:rPr>
            </w:pPr>
          </w:p>
          <w:p>
            <w:pPr>
              <w:pStyle w:val="ListParagraph"/>
              <w:ind w:left="0"/>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lang w:val="en-US"/>
              </w:rPr>
            </w:pPr>
            <w:r>
              <w:rPr>
                <w:rFonts w:ascii="Arial" w:hAnsi="Arial" w:cs="Arial"/>
                <w:sz w:val="20"/>
                <w:szCs w:val="20"/>
                <w:lang w:val="en-US"/>
              </w:rPr>
              <w:t xml:space="preserve">The recommendations cannot be implemented since they have been superseded by subsequent events. The amount received from PAGCOR and PCSO were fully utilized in the City's response to </w:t>
            </w:r>
            <w:r>
              <w:rPr>
                <w:rFonts w:ascii="Arial" w:hAnsi="Arial" w:cs="Arial"/>
                <w:sz w:val="20"/>
                <w:szCs w:val="20"/>
                <w:lang w:val="en-US"/>
              </w:rPr>
              <w:br/>
              <w:t xml:space="preserve">COVID-19 pandemic. As of </w:t>
            </w:r>
            <w:proofErr w:type="gramStart"/>
            <w:r>
              <w:rPr>
                <w:rFonts w:ascii="Arial" w:hAnsi="Arial" w:cs="Arial"/>
                <w:sz w:val="20"/>
                <w:szCs w:val="20"/>
                <w:lang w:val="en-US"/>
              </w:rPr>
              <w:t>December 31, 2023</w:t>
            </w:r>
            <w:proofErr w:type="gramEnd"/>
            <w:r>
              <w:rPr>
                <w:rFonts w:ascii="Arial" w:hAnsi="Arial" w:cs="Arial"/>
                <w:sz w:val="20"/>
                <w:szCs w:val="20"/>
                <w:lang w:val="en-US"/>
              </w:rPr>
              <w:t xml:space="preserve"> </w:t>
            </w:r>
            <w:r>
              <w:rPr>
                <w:rFonts w:ascii="Arial" w:hAnsi="Arial" w:cs="Arial"/>
                <w:sz w:val="20"/>
                <w:szCs w:val="20"/>
                <w:lang w:val="en-US"/>
              </w:rPr>
              <w:lastRenderedPageBreak/>
              <w:t xml:space="preserve">the amount remaining in the accounts pertains to CYs 2022 and 2023, and is continually being utilized by the City to the purposes for which they were intended. </w:t>
            </w: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r>
              <w:rPr>
                <w:rFonts w:ascii="Arial" w:hAnsi="Arial" w:cs="Arial"/>
                <w:sz w:val="20"/>
                <w:szCs w:val="20"/>
              </w:rPr>
              <w:t>Same as above</w:t>
            </w: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r>
              <w:rPr>
                <w:rFonts w:ascii="Arial" w:hAnsi="Arial" w:cs="Arial"/>
                <w:sz w:val="20"/>
                <w:szCs w:val="20"/>
              </w:rPr>
              <w:t>Same as above</w:t>
            </w:r>
          </w:p>
          <w:p>
            <w:pPr>
              <w:spacing w:after="0" w:line="240" w:lineRule="auto"/>
              <w:contextualSpacing/>
              <w:jc w:val="both"/>
              <w:rPr>
                <w:rFonts w:ascii="Arial" w:hAnsi="Arial" w:cs="Arial"/>
                <w:sz w:val="20"/>
                <w:szCs w:val="20"/>
                <w:lang w:val="en-US"/>
              </w:rPr>
            </w:pPr>
          </w:p>
        </w:tc>
        <w:tc>
          <w:tcPr>
            <w:tcW w:w="1842" w:type="dxa"/>
            <w:tcBorders>
              <w:top w:val="single" w:sz="4" w:space="0" w:color="auto"/>
              <w:left w:val="single" w:sz="4" w:space="0" w:color="auto"/>
              <w:bottom w:val="single" w:sz="4" w:space="0" w:color="auto"/>
              <w:right w:val="single" w:sz="4" w:space="0" w:color="auto"/>
            </w:tcBorders>
          </w:tcPr>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tc>
      </w:tr>
      <w:tr>
        <w:trPr>
          <w:trHeight w:val="70"/>
        </w:trPr>
        <w:tc>
          <w:tcPr>
            <w:tcW w:w="1525" w:type="dxa"/>
            <w:tcBorders>
              <w:top w:val="single" w:sz="4" w:space="0" w:color="auto"/>
              <w:left w:val="single" w:sz="4" w:space="0" w:color="auto"/>
              <w:bottom w:val="single" w:sz="4" w:space="0" w:color="auto"/>
              <w:right w:val="single" w:sz="4" w:space="0" w:color="auto"/>
            </w:tcBorders>
          </w:tcPr>
          <w:p>
            <w:pPr>
              <w:pStyle w:val="NoSpacing"/>
              <w:contextualSpacing/>
              <w:jc w:val="center"/>
              <w:rPr>
                <w:rFonts w:ascii="Arial" w:hAnsi="Arial" w:cs="Arial"/>
                <w:sz w:val="20"/>
                <w:szCs w:val="20"/>
              </w:rPr>
            </w:pPr>
            <w:r>
              <w:rPr>
                <w:rFonts w:ascii="Arial" w:hAnsi="Arial" w:cs="Arial"/>
                <w:sz w:val="20"/>
                <w:szCs w:val="20"/>
              </w:rPr>
              <w:lastRenderedPageBreak/>
              <w:t>CY 2017 AAR, Observation No. 12,</w:t>
            </w:r>
          </w:p>
          <w:p>
            <w:pPr>
              <w:pStyle w:val="NoSpacing"/>
              <w:contextualSpacing/>
              <w:jc w:val="center"/>
              <w:rPr>
                <w:rFonts w:ascii="Arial" w:hAnsi="Arial" w:cs="Arial"/>
                <w:sz w:val="20"/>
                <w:szCs w:val="20"/>
              </w:rPr>
            </w:pPr>
            <w:r>
              <w:rPr>
                <w:rFonts w:ascii="Arial" w:hAnsi="Arial" w:cs="Arial"/>
                <w:sz w:val="20"/>
                <w:szCs w:val="20"/>
              </w:rPr>
              <w:t>Page 83</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pPr>
              <w:numPr>
                <w:ilvl w:val="0"/>
                <w:numId w:val="1"/>
              </w:numPr>
              <w:spacing w:after="0" w:line="240" w:lineRule="auto"/>
              <w:ind w:left="338"/>
              <w:contextualSpacing/>
              <w:jc w:val="both"/>
              <w:rPr>
                <w:rFonts w:ascii="Arial" w:hAnsi="Arial" w:cs="Arial"/>
                <w:sz w:val="20"/>
                <w:szCs w:val="20"/>
                <w:shd w:val="clear" w:color="auto" w:fill="FFFFFF"/>
              </w:rPr>
            </w:pPr>
            <w:r>
              <w:rPr>
                <w:rFonts w:ascii="Arial" w:hAnsi="Arial" w:cs="Arial"/>
                <w:sz w:val="20"/>
                <w:szCs w:val="20"/>
              </w:rPr>
              <w:t xml:space="preserve">The City’s share from PAGCOR and LCF from the PCSO totaling </w:t>
            </w:r>
            <w:r>
              <w:rPr>
                <w:rFonts w:ascii="Arial" w:hAnsi="Arial" w:cs="Arial"/>
                <w:sz w:val="20"/>
                <w:szCs w:val="20"/>
              </w:rPr>
              <w:br/>
              <w:t xml:space="preserve">P185.250 million and P90.886 million, respectively, were erroneously recorded as Inter-Agency Payables (Due to Government-Owned and Controlled Corporation (GOCCs)-PAGCOR/PCSO accounts under the TF instead of Share from </w:t>
            </w:r>
            <w:r>
              <w:rPr>
                <w:rFonts w:ascii="Arial" w:hAnsi="Arial" w:cs="Arial"/>
                <w:sz w:val="20"/>
                <w:szCs w:val="20"/>
              </w:rPr>
              <w:lastRenderedPageBreak/>
              <w:t>PAGCOR/PCSO accounts in the GF books of accounts.</w:t>
            </w:r>
          </w:p>
          <w:p>
            <w:pPr>
              <w:spacing w:after="0" w:line="240" w:lineRule="auto"/>
              <w:ind w:left="338"/>
              <w:contextualSpacing/>
              <w:jc w:val="both"/>
              <w:rPr>
                <w:rFonts w:ascii="Arial" w:hAnsi="Arial" w:cs="Arial"/>
                <w:sz w:val="20"/>
                <w:szCs w:val="20"/>
                <w:shd w:val="clear" w:color="auto" w:fill="FFFFFF"/>
              </w:rPr>
            </w:pPr>
          </w:p>
          <w:p>
            <w:pPr>
              <w:spacing w:after="0" w:line="240" w:lineRule="auto"/>
              <w:ind w:left="338"/>
              <w:contextualSpacing/>
              <w:jc w:val="both"/>
              <w:rPr>
                <w:rFonts w:ascii="Arial" w:hAnsi="Arial" w:cs="Arial"/>
                <w:sz w:val="20"/>
                <w:szCs w:val="20"/>
                <w:shd w:val="clear" w:color="auto" w:fill="FFFFFF"/>
              </w:rPr>
            </w:pPr>
          </w:p>
          <w:p>
            <w:pPr>
              <w:spacing w:after="0" w:line="240" w:lineRule="auto"/>
              <w:ind w:left="346"/>
              <w:contextualSpacing/>
              <w:jc w:val="both"/>
              <w:rPr>
                <w:rFonts w:ascii="Arial" w:hAnsi="Arial" w:cs="Arial"/>
                <w:sz w:val="20"/>
                <w:szCs w:val="20"/>
                <w:lang w:val="en-US"/>
              </w:rPr>
            </w:pPr>
            <w:r>
              <w:rPr>
                <w:rFonts w:ascii="Arial" w:hAnsi="Arial" w:cs="Arial"/>
                <w:sz w:val="20"/>
                <w:szCs w:val="20"/>
              </w:rPr>
              <w:t>We recommended that the City Treasurer transfer immediately the cash in bank corresponding to the unutilized PCSO LCF from the TF to the GF in order to augment the scarce resources of the GF to be utilized for expenditures aligned with the intentions / purposes of Executive Order No. 357, series of 1996, as amended. Henceforth, maintain a separate record/cashbook of the PAGCOR funds under the GF.</w:t>
            </w:r>
          </w:p>
          <w:p>
            <w:pPr>
              <w:spacing w:after="0" w:line="240" w:lineRule="auto"/>
              <w:ind w:left="338"/>
              <w:contextualSpacing/>
              <w:jc w:val="both"/>
              <w:rPr>
                <w:rFonts w:ascii="Arial" w:hAnsi="Arial" w:cs="Arial"/>
                <w:sz w:val="20"/>
                <w:szCs w:val="20"/>
                <w:shd w:val="clear" w:color="auto" w:fill="FFFFFF"/>
              </w:rPr>
            </w:pPr>
          </w:p>
        </w:tc>
        <w:tc>
          <w:tcPr>
            <w:tcW w:w="1899" w:type="dxa"/>
            <w:tcBorders>
              <w:top w:val="single" w:sz="4" w:space="0" w:color="auto"/>
              <w:left w:val="single" w:sz="4" w:space="0" w:color="auto"/>
              <w:bottom w:val="single" w:sz="4" w:space="0" w:color="auto"/>
              <w:right w:val="single" w:sz="4" w:space="0" w:color="auto"/>
            </w:tcBorders>
          </w:tcPr>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r>
              <w:rPr>
                <w:rFonts w:ascii="Arial" w:hAnsi="Arial" w:cs="Arial"/>
                <w:sz w:val="20"/>
                <w:szCs w:val="20"/>
              </w:rPr>
              <w:t>Implemented</w:t>
            </w: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p>
            <w:pPr>
              <w:pStyle w:val="ListParagraph"/>
              <w:ind w:left="0"/>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lang w:val="en-US"/>
              </w:rPr>
            </w:pPr>
            <w:r>
              <w:rPr>
                <w:rFonts w:ascii="Arial" w:hAnsi="Arial" w:cs="Arial"/>
                <w:sz w:val="20"/>
                <w:szCs w:val="20"/>
                <w:lang w:val="en-US"/>
              </w:rPr>
              <w:t xml:space="preserve">The recommendations cannot be implemented since they have been superseded by subsequent events. The amount received from PAGCOR and PCSO were fully utilized in the City's response to </w:t>
            </w:r>
          </w:p>
          <w:p>
            <w:pPr>
              <w:spacing w:after="0" w:line="240" w:lineRule="auto"/>
              <w:contextualSpacing/>
              <w:jc w:val="both"/>
              <w:rPr>
                <w:rFonts w:ascii="Arial" w:hAnsi="Arial" w:cs="Arial"/>
                <w:sz w:val="20"/>
                <w:szCs w:val="20"/>
                <w:lang w:val="en-US"/>
              </w:rPr>
            </w:pPr>
            <w:r>
              <w:rPr>
                <w:rFonts w:ascii="Arial" w:hAnsi="Arial" w:cs="Arial"/>
                <w:sz w:val="20"/>
                <w:szCs w:val="20"/>
                <w:lang w:val="en-US"/>
              </w:rPr>
              <w:t xml:space="preserve">COVID-19 pandemic. As of </w:t>
            </w:r>
            <w:proofErr w:type="gramStart"/>
            <w:r>
              <w:rPr>
                <w:rFonts w:ascii="Arial" w:hAnsi="Arial" w:cs="Arial"/>
                <w:sz w:val="20"/>
                <w:szCs w:val="20"/>
                <w:lang w:val="en-US"/>
              </w:rPr>
              <w:t>December 31, 2023</w:t>
            </w:r>
            <w:proofErr w:type="gramEnd"/>
            <w:r>
              <w:rPr>
                <w:rFonts w:ascii="Arial" w:hAnsi="Arial" w:cs="Arial"/>
                <w:sz w:val="20"/>
                <w:szCs w:val="20"/>
                <w:lang w:val="en-US"/>
              </w:rPr>
              <w:t xml:space="preserve"> the amount remaining in the accounts pertains to CYs 2022 and 2023, and is continually being utilized by the City to the purposes for which they were intended. </w:t>
            </w:r>
          </w:p>
          <w:p>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tc>
      </w:tr>
      <w:tr>
        <w:trPr>
          <w:trHeight w:val="3260"/>
        </w:trPr>
        <w:tc>
          <w:tcPr>
            <w:tcW w:w="1525" w:type="dxa"/>
            <w:tcBorders>
              <w:top w:val="single" w:sz="4" w:space="0" w:color="auto"/>
              <w:left w:val="single" w:sz="4" w:space="0" w:color="auto"/>
              <w:bottom w:val="single" w:sz="4" w:space="0" w:color="auto"/>
              <w:right w:val="single" w:sz="4" w:space="0" w:color="auto"/>
            </w:tcBorders>
          </w:tcPr>
          <w:p>
            <w:pPr>
              <w:pStyle w:val="NoSpacing"/>
              <w:contextualSpacing/>
              <w:jc w:val="center"/>
              <w:rPr>
                <w:rFonts w:ascii="Arial" w:hAnsi="Arial" w:cs="Arial"/>
                <w:sz w:val="20"/>
                <w:szCs w:val="20"/>
              </w:rPr>
            </w:pPr>
            <w:r>
              <w:rPr>
                <w:rFonts w:ascii="Arial" w:hAnsi="Arial" w:cs="Arial"/>
                <w:sz w:val="20"/>
                <w:szCs w:val="20"/>
              </w:rPr>
              <w:t>CY 2017 AAR, Observation No. 13,</w:t>
            </w:r>
          </w:p>
          <w:p>
            <w:pPr>
              <w:pStyle w:val="NoSpacing"/>
              <w:contextualSpacing/>
              <w:jc w:val="center"/>
              <w:rPr>
                <w:rFonts w:ascii="Arial" w:hAnsi="Arial" w:cs="Arial"/>
                <w:sz w:val="20"/>
                <w:szCs w:val="20"/>
              </w:rPr>
            </w:pPr>
            <w:r>
              <w:rPr>
                <w:rFonts w:ascii="Arial" w:hAnsi="Arial" w:cs="Arial"/>
                <w:sz w:val="20"/>
                <w:szCs w:val="20"/>
              </w:rPr>
              <w:t>Page 85</w:t>
            </w:r>
          </w:p>
          <w:p>
            <w:pPr>
              <w:pStyle w:val="NoSpacing"/>
              <w:contextualSpacing/>
              <w:jc w:val="center"/>
              <w:rPr>
                <w:rFonts w:ascii="Arial" w:hAnsi="Arial" w:cs="Arial"/>
                <w:sz w:val="20"/>
                <w:szCs w:val="20"/>
              </w:rPr>
            </w:pPr>
          </w:p>
          <w:p>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pPr>
              <w:numPr>
                <w:ilvl w:val="0"/>
                <w:numId w:val="1"/>
              </w:numPr>
              <w:spacing w:after="0" w:line="240" w:lineRule="auto"/>
              <w:ind w:left="338"/>
              <w:contextualSpacing/>
              <w:jc w:val="both"/>
              <w:rPr>
                <w:rFonts w:ascii="Arial" w:hAnsi="Arial" w:cs="Arial"/>
                <w:sz w:val="20"/>
                <w:szCs w:val="20"/>
                <w:shd w:val="clear" w:color="auto" w:fill="FFFFFF"/>
              </w:rPr>
            </w:pPr>
            <w:r>
              <w:rPr>
                <w:rFonts w:ascii="Arial" w:hAnsi="Arial" w:cs="Arial"/>
                <w:sz w:val="20"/>
                <w:szCs w:val="20"/>
              </w:rPr>
              <w:t xml:space="preserve">The funds from the LDRRM, PCSO, PhilHealth, Department of Social Welfare and Development, barangay Real Property Tax shares and other sources under the TF were lumped into one bank account and the corresponding interest earned therein in the amount of </w:t>
            </w:r>
            <w:r>
              <w:rPr>
                <w:rFonts w:ascii="Arial" w:hAnsi="Arial" w:cs="Arial"/>
                <w:sz w:val="20"/>
                <w:szCs w:val="20"/>
              </w:rPr>
              <w:br/>
              <w:t xml:space="preserve">P45.823 million was recorded as Other Payables-Undistributed Interest. As a result, the cash pertaining to the interest earned for each account held in trust remained idle and was not utilized to </w:t>
            </w:r>
            <w:r>
              <w:rPr>
                <w:rFonts w:ascii="Arial" w:hAnsi="Arial" w:cs="Arial"/>
                <w:sz w:val="20"/>
                <w:szCs w:val="20"/>
              </w:rPr>
              <w:lastRenderedPageBreak/>
              <w:t xml:space="preserve">finance the </w:t>
            </w:r>
            <w:r>
              <w:rPr>
                <w:rFonts w:ascii="Arial" w:hAnsi="Arial" w:cs="Arial"/>
                <w:sz w:val="20"/>
                <w:szCs w:val="20"/>
                <w:lang w:val="en-US"/>
              </w:rPr>
              <w:t xml:space="preserve">City’s </w:t>
            </w:r>
            <w:r>
              <w:rPr>
                <w:rFonts w:ascii="Arial" w:hAnsi="Arial" w:cs="Arial"/>
                <w:sz w:val="20"/>
                <w:szCs w:val="20"/>
              </w:rPr>
              <w:t>PPAs the undistributed interest included those earned from a DBP bank account without the necessary details and HYSA.</w:t>
            </w:r>
          </w:p>
          <w:p>
            <w:pPr>
              <w:spacing w:after="0" w:line="240" w:lineRule="auto"/>
              <w:ind w:left="338"/>
              <w:contextualSpacing/>
              <w:jc w:val="both"/>
              <w:rPr>
                <w:rFonts w:ascii="Arial" w:hAnsi="Arial" w:cs="Arial"/>
                <w:sz w:val="20"/>
                <w:szCs w:val="20"/>
                <w:shd w:val="clear" w:color="auto" w:fill="FFFFFF"/>
              </w:rPr>
            </w:pPr>
          </w:p>
          <w:p>
            <w:pPr>
              <w:spacing w:after="0" w:line="240" w:lineRule="auto"/>
              <w:ind w:left="338"/>
              <w:contextualSpacing/>
              <w:jc w:val="both"/>
              <w:rPr>
                <w:rFonts w:ascii="Arial" w:hAnsi="Arial" w:cs="Arial"/>
                <w:sz w:val="20"/>
                <w:szCs w:val="20"/>
                <w:shd w:val="clear" w:color="auto" w:fill="FFFFFF"/>
              </w:rPr>
            </w:pPr>
            <w:r>
              <w:rPr>
                <w:rFonts w:ascii="Arial" w:hAnsi="Arial" w:cs="Arial"/>
                <w:sz w:val="20"/>
                <w:szCs w:val="20"/>
              </w:rPr>
              <w:t xml:space="preserve">We recommended that the City Treasurer cause the immediate transfer of the cash in bank corresponding to the interest earned from the LBP-Proper under the TF to the GF depository account based on the </w:t>
            </w:r>
            <w:proofErr w:type="spellStart"/>
            <w:r>
              <w:rPr>
                <w:rFonts w:ascii="Arial" w:hAnsi="Arial" w:cs="Arial"/>
                <w:sz w:val="20"/>
                <w:szCs w:val="20"/>
              </w:rPr>
              <w:t>recomputation</w:t>
            </w:r>
            <w:proofErr w:type="spellEnd"/>
            <w:r>
              <w:rPr>
                <w:rFonts w:ascii="Arial" w:hAnsi="Arial" w:cs="Arial"/>
                <w:sz w:val="20"/>
                <w:szCs w:val="20"/>
              </w:rPr>
              <w:t xml:space="preserve"> and identification of the fund source/s, in order to augment or make the funds available for future utilization.</w:t>
            </w:r>
          </w:p>
        </w:tc>
        <w:tc>
          <w:tcPr>
            <w:tcW w:w="1899" w:type="dxa"/>
            <w:tcBorders>
              <w:top w:val="single" w:sz="4" w:space="0" w:color="auto"/>
              <w:left w:val="single" w:sz="4" w:space="0" w:color="auto"/>
              <w:bottom w:val="single" w:sz="4" w:space="0" w:color="auto"/>
              <w:right w:val="single" w:sz="4" w:space="0" w:color="auto"/>
            </w:tcBorders>
          </w:tcPr>
          <w:p>
            <w:pPr>
              <w:pStyle w:val="ListParagraph"/>
              <w:jc w:val="center"/>
              <w:rPr>
                <w:rFonts w:ascii="Arial" w:hAnsi="Arial" w:cs="Arial"/>
                <w:sz w:val="20"/>
                <w:szCs w:val="20"/>
              </w:rPr>
            </w:pPr>
          </w:p>
          <w:p>
            <w:pPr>
              <w:pStyle w:val="ListParagraph"/>
              <w:jc w:val="center"/>
              <w:rPr>
                <w:rFonts w:ascii="Arial" w:hAnsi="Arial" w:cs="Arial"/>
                <w:sz w:val="20"/>
                <w:szCs w:val="20"/>
              </w:rPr>
            </w:pPr>
          </w:p>
          <w:p>
            <w:pPr>
              <w:pStyle w:val="ListParagraph"/>
              <w:jc w:val="center"/>
              <w:rPr>
                <w:rFonts w:ascii="Arial" w:hAnsi="Arial" w:cs="Arial"/>
                <w:sz w:val="20"/>
                <w:szCs w:val="20"/>
              </w:rPr>
            </w:pPr>
          </w:p>
          <w:p>
            <w:pPr>
              <w:pStyle w:val="ListParagraph"/>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Implemented</w:t>
            </w:r>
          </w:p>
          <w:p>
            <w:pPr>
              <w:pStyle w:val="ListParagraph"/>
              <w:ind w:left="-49"/>
              <w:jc w:val="center"/>
              <w:rPr>
                <w:rFonts w:ascii="Arial" w:hAnsi="Arial" w:cs="Arial"/>
                <w:sz w:val="20"/>
                <w:szCs w:val="20"/>
              </w:rPr>
            </w:pPr>
          </w:p>
          <w:p>
            <w:pPr>
              <w:pStyle w:val="ListParagraph"/>
              <w:jc w:val="center"/>
              <w:rPr>
                <w:rFonts w:ascii="Arial" w:hAnsi="Arial" w:cs="Arial"/>
                <w:sz w:val="20"/>
                <w:szCs w:val="20"/>
              </w:rPr>
            </w:pPr>
          </w:p>
          <w:p>
            <w:pPr>
              <w:pStyle w:val="ListParagraph"/>
              <w:jc w:val="center"/>
              <w:rPr>
                <w:rFonts w:ascii="Arial" w:hAnsi="Arial" w:cs="Arial"/>
                <w:sz w:val="20"/>
                <w:szCs w:val="20"/>
              </w:rPr>
            </w:pPr>
          </w:p>
          <w:p>
            <w:pPr>
              <w:pStyle w:val="ListParagraph"/>
              <w:jc w:val="center"/>
              <w:rPr>
                <w:rFonts w:ascii="Arial" w:hAnsi="Arial" w:cs="Arial"/>
                <w:sz w:val="20"/>
                <w:szCs w:val="20"/>
              </w:rPr>
            </w:pPr>
          </w:p>
          <w:p>
            <w:pPr>
              <w:pStyle w:val="ListParagraph"/>
              <w:jc w:val="center"/>
              <w:rPr>
                <w:rFonts w:ascii="Arial" w:hAnsi="Arial" w:cs="Arial"/>
                <w:sz w:val="20"/>
                <w:szCs w:val="20"/>
              </w:rPr>
            </w:pPr>
          </w:p>
          <w:p>
            <w:pPr>
              <w:pStyle w:val="ListParagraph"/>
              <w:jc w:val="center"/>
              <w:rPr>
                <w:rFonts w:ascii="Arial" w:hAnsi="Arial" w:cs="Arial"/>
                <w:sz w:val="20"/>
                <w:szCs w:val="20"/>
              </w:rPr>
            </w:pPr>
          </w:p>
          <w:p>
            <w:pPr>
              <w:pStyle w:val="ListParagraph"/>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jc w:val="both"/>
              <w:rPr>
                <w:rFonts w:ascii="Arial" w:hAnsi="Arial" w:cs="Arial"/>
                <w:sz w:val="20"/>
                <w:szCs w:val="20"/>
                <w:lang w:val="en-US"/>
              </w:rPr>
            </w:pPr>
            <w:r>
              <w:rPr>
                <w:rFonts w:ascii="Arial" w:hAnsi="Arial" w:cs="Arial"/>
                <w:sz w:val="20"/>
                <w:szCs w:val="20"/>
                <w:lang w:val="en-US"/>
              </w:rPr>
              <w:t xml:space="preserve">The recommendations cannot be implemented since they have been superseded by subsequent events. The amount received from PAGCOR and PCSO were fully utilized in the City's response to </w:t>
            </w:r>
          </w:p>
          <w:p>
            <w:pPr>
              <w:spacing w:after="0" w:line="240" w:lineRule="auto"/>
              <w:contextualSpacing/>
              <w:rPr>
                <w:rFonts w:ascii="Arial" w:hAnsi="Arial" w:cs="Arial"/>
                <w:sz w:val="20"/>
                <w:szCs w:val="20"/>
              </w:rPr>
            </w:pPr>
            <w:r>
              <w:rPr>
                <w:rFonts w:ascii="Arial" w:hAnsi="Arial" w:cs="Arial"/>
                <w:sz w:val="20"/>
                <w:szCs w:val="20"/>
                <w:lang w:val="en-US"/>
              </w:rPr>
              <w:t>COVID-19 pandemic. As of</w:t>
            </w:r>
            <w:r>
              <w:rPr>
                <w:rFonts w:ascii="Arial" w:hAnsi="Arial" w:cs="Arial"/>
                <w:sz w:val="20"/>
                <w:szCs w:val="20"/>
                <w:lang w:val="en-US"/>
              </w:rPr>
              <w:br/>
              <w:t xml:space="preserve">December 31, 2023 the amount remaining in the accounts pertains to CYs 2022 and 2023, and is continually being utilized by the City to the purposes for which they were intended. </w:t>
            </w:r>
          </w:p>
          <w:p>
            <w:pPr>
              <w:spacing w:after="0" w:line="240" w:lineRule="auto"/>
              <w:contextualSpacing/>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tc>
      </w:tr>
      <w:tr>
        <w:trPr>
          <w:trHeight w:val="70"/>
        </w:trPr>
        <w:tc>
          <w:tcPr>
            <w:tcW w:w="1525" w:type="dxa"/>
            <w:tcBorders>
              <w:top w:val="single" w:sz="4" w:space="0" w:color="auto"/>
              <w:left w:val="single" w:sz="4" w:space="0" w:color="auto"/>
              <w:bottom w:val="single" w:sz="4" w:space="0" w:color="auto"/>
              <w:right w:val="single" w:sz="4" w:space="0" w:color="auto"/>
            </w:tcBorders>
          </w:tcPr>
          <w:p>
            <w:pPr>
              <w:pStyle w:val="NoSpacing"/>
              <w:contextualSpacing/>
              <w:jc w:val="center"/>
              <w:rPr>
                <w:rFonts w:ascii="Arial" w:hAnsi="Arial" w:cs="Arial"/>
                <w:sz w:val="20"/>
                <w:szCs w:val="20"/>
              </w:rPr>
            </w:pPr>
            <w:r>
              <w:rPr>
                <w:rFonts w:ascii="Arial" w:hAnsi="Arial" w:cs="Arial"/>
                <w:sz w:val="20"/>
                <w:szCs w:val="20"/>
              </w:rPr>
              <w:t>CY 2017 AAR, Observation No. 15,</w:t>
            </w:r>
          </w:p>
          <w:p>
            <w:pPr>
              <w:pStyle w:val="NoSpacing"/>
              <w:contextualSpacing/>
              <w:jc w:val="center"/>
              <w:rPr>
                <w:rFonts w:ascii="Arial" w:hAnsi="Arial" w:cs="Arial"/>
                <w:sz w:val="20"/>
                <w:szCs w:val="20"/>
              </w:rPr>
            </w:pPr>
            <w:r>
              <w:rPr>
                <w:rFonts w:ascii="Arial" w:hAnsi="Arial" w:cs="Arial"/>
                <w:sz w:val="20"/>
                <w:szCs w:val="20"/>
              </w:rPr>
              <w:t>Page 87</w:t>
            </w:r>
          </w:p>
          <w:p>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pPr>
              <w:numPr>
                <w:ilvl w:val="0"/>
                <w:numId w:val="1"/>
              </w:numPr>
              <w:spacing w:after="0" w:line="240" w:lineRule="auto"/>
              <w:ind w:left="338"/>
              <w:contextualSpacing/>
              <w:jc w:val="both"/>
              <w:rPr>
                <w:rFonts w:ascii="Arial" w:hAnsi="Arial" w:cs="Arial"/>
                <w:sz w:val="20"/>
                <w:szCs w:val="20"/>
              </w:rPr>
            </w:pPr>
            <w:r>
              <w:rPr>
                <w:rFonts w:ascii="Arial" w:hAnsi="Arial" w:cs="Arial"/>
                <w:sz w:val="20"/>
                <w:szCs w:val="20"/>
              </w:rPr>
              <w:t xml:space="preserve">The release of the quarterly RPT shares for the 896 Barangays of the City for CY 2017 in the amount of </w:t>
            </w:r>
            <w:r>
              <w:rPr>
                <w:rFonts w:ascii="Arial" w:hAnsi="Arial" w:cs="Arial"/>
                <w:sz w:val="20"/>
                <w:szCs w:val="20"/>
              </w:rPr>
              <w:br/>
              <w:t xml:space="preserve">P952.225 million was delayed by 56 to 93 days, contrary to Section 271(d) of     RA No. 7160. Likewise, the accuracy of the said RPT shares recorded under the Due to Local Government Units (LGUs)-Barangay account could not be ascertained because of the (a) inclusion in the distribution list of </w:t>
            </w:r>
            <w:r>
              <w:rPr>
                <w:rFonts w:ascii="Arial" w:hAnsi="Arial" w:cs="Arial"/>
                <w:sz w:val="20"/>
                <w:szCs w:val="20"/>
              </w:rPr>
              <w:lastRenderedPageBreak/>
              <w:t xml:space="preserve">27 non-existent barangays, of which actual release was made to one barangay; </w:t>
            </w:r>
            <w:r>
              <w:rPr>
                <w:rFonts w:ascii="Arial" w:hAnsi="Arial" w:cs="Arial"/>
                <w:sz w:val="20"/>
                <w:szCs w:val="20"/>
              </w:rPr>
              <w:br/>
              <w:t>(b) unreconciled balances of the reciprocal accounts, Due from LGUs-City of Manila and Due to LGUs-Barangay account for CYs 2015 and 2016;</w:t>
            </w:r>
            <w:r>
              <w:rPr>
                <w:rFonts w:ascii="Arial" w:hAnsi="Arial" w:cs="Arial"/>
                <w:sz w:val="20"/>
                <w:szCs w:val="20"/>
              </w:rPr>
              <w:br/>
              <w:t>(c) incomplete/non-maintenance of barangay books of accounts for             CYs 2015 to 2017; and (d) lack of manpower under the OCAT to handle accounting and bookkeeping functions.</w:t>
            </w:r>
          </w:p>
          <w:p>
            <w:pPr>
              <w:spacing w:after="0" w:line="240" w:lineRule="auto"/>
              <w:ind w:left="346"/>
              <w:contextualSpacing/>
              <w:jc w:val="both"/>
              <w:rPr>
                <w:rFonts w:ascii="Arial" w:hAnsi="Arial" w:cs="Arial"/>
                <w:sz w:val="20"/>
                <w:szCs w:val="20"/>
              </w:rPr>
            </w:pPr>
          </w:p>
          <w:p>
            <w:pPr>
              <w:spacing w:after="0" w:line="240" w:lineRule="auto"/>
              <w:ind w:left="346"/>
              <w:contextualSpacing/>
              <w:jc w:val="both"/>
              <w:rPr>
                <w:rFonts w:ascii="Arial" w:hAnsi="Arial" w:cs="Arial"/>
                <w:sz w:val="20"/>
                <w:szCs w:val="20"/>
                <w:lang w:val="en-US"/>
              </w:rPr>
            </w:pPr>
            <w:r>
              <w:rPr>
                <w:rFonts w:ascii="Arial" w:hAnsi="Arial" w:cs="Arial"/>
                <w:sz w:val="20"/>
                <w:szCs w:val="20"/>
              </w:rPr>
              <w:t>We recommended that the BAD fast track the preparation of the books of accounts for CYs 2015 to 2016 for those barangays without FS and related accounting records submitted to the Audit Team.</w:t>
            </w:r>
          </w:p>
          <w:p>
            <w:pPr>
              <w:spacing w:after="0" w:line="240" w:lineRule="auto"/>
              <w:ind w:left="346"/>
              <w:contextualSpacing/>
              <w:jc w:val="both"/>
              <w:rPr>
                <w:rFonts w:ascii="Arial" w:hAnsi="Arial" w:cs="Arial"/>
                <w:sz w:val="20"/>
                <w:szCs w:val="20"/>
              </w:rPr>
            </w:pPr>
          </w:p>
        </w:tc>
        <w:tc>
          <w:tcPr>
            <w:tcW w:w="1899" w:type="dxa"/>
            <w:tcBorders>
              <w:top w:val="single" w:sz="4" w:space="0" w:color="auto"/>
              <w:left w:val="single" w:sz="4" w:space="0" w:color="auto"/>
              <w:bottom w:val="single" w:sz="4" w:space="0" w:color="auto"/>
              <w:right w:val="single" w:sz="4" w:space="0" w:color="auto"/>
            </w:tcBorders>
          </w:tcPr>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lang w:val="en-US"/>
              </w:rPr>
            </w:pPr>
            <w:r>
              <w:rPr>
                <w:rFonts w:ascii="Arial" w:hAnsi="Arial" w:cs="Arial"/>
                <w:sz w:val="20"/>
                <w:szCs w:val="20"/>
              </w:rPr>
              <w:t>Implemented</w:t>
            </w:r>
          </w:p>
          <w:p>
            <w:pPr>
              <w:spacing w:after="0" w:line="240" w:lineRule="auto"/>
              <w:contextualSpacing/>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r>
              <w:rPr>
                <w:rFonts w:ascii="Arial" w:hAnsi="Arial" w:cs="Arial"/>
                <w:sz w:val="20"/>
                <w:szCs w:val="20"/>
                <w:lang w:val="en-US"/>
              </w:rPr>
              <w:t xml:space="preserve">As of December 31, 2023, all FS for </w:t>
            </w:r>
            <w:r>
              <w:rPr>
                <w:rFonts w:ascii="Arial" w:hAnsi="Arial" w:cs="Arial"/>
                <w:sz w:val="20"/>
                <w:szCs w:val="20"/>
                <w:lang w:val="en-US"/>
              </w:rPr>
              <w:br/>
              <w:t>CYs 2015 and 2016 of the Barangays have been submitted to COA for audit.</w:t>
            </w:r>
          </w:p>
        </w:tc>
        <w:tc>
          <w:tcPr>
            <w:tcW w:w="1842" w:type="dxa"/>
            <w:tcBorders>
              <w:top w:val="single" w:sz="4" w:space="0" w:color="auto"/>
              <w:left w:val="single" w:sz="4" w:space="0" w:color="auto"/>
              <w:bottom w:val="single" w:sz="4" w:space="0" w:color="auto"/>
              <w:right w:val="single" w:sz="4" w:space="0" w:color="auto"/>
            </w:tcBorders>
          </w:tcPr>
          <w:p>
            <w:pPr>
              <w:spacing w:after="0" w:line="240" w:lineRule="auto"/>
              <w:contextualSpacing/>
              <w:jc w:val="both"/>
              <w:rPr>
                <w:rFonts w:ascii="Arial" w:hAnsi="Arial" w:cs="Arial"/>
                <w:sz w:val="20"/>
                <w:szCs w:val="20"/>
              </w:rPr>
            </w:pPr>
          </w:p>
        </w:tc>
      </w:tr>
      <w:tr>
        <w:trPr>
          <w:trHeight w:val="70"/>
        </w:trPr>
        <w:tc>
          <w:tcPr>
            <w:tcW w:w="1525" w:type="dxa"/>
            <w:tcBorders>
              <w:top w:val="single" w:sz="4" w:space="0" w:color="auto"/>
              <w:left w:val="single" w:sz="4" w:space="0" w:color="auto"/>
              <w:bottom w:val="single" w:sz="4" w:space="0" w:color="auto"/>
              <w:right w:val="single" w:sz="4" w:space="0" w:color="auto"/>
            </w:tcBorders>
          </w:tcPr>
          <w:p>
            <w:pPr>
              <w:pStyle w:val="NoSpacing"/>
              <w:contextualSpacing/>
              <w:jc w:val="center"/>
              <w:rPr>
                <w:rFonts w:ascii="Arial" w:hAnsi="Arial" w:cs="Arial"/>
                <w:sz w:val="20"/>
                <w:szCs w:val="20"/>
              </w:rPr>
            </w:pPr>
            <w:r>
              <w:rPr>
                <w:rFonts w:ascii="Arial" w:hAnsi="Arial" w:cs="Arial"/>
                <w:sz w:val="20"/>
                <w:szCs w:val="20"/>
              </w:rPr>
              <w:t>CY 2017 AAR, Observation No. 31,</w:t>
            </w:r>
          </w:p>
          <w:p>
            <w:pPr>
              <w:pStyle w:val="NoSpacing"/>
              <w:contextualSpacing/>
              <w:jc w:val="center"/>
              <w:rPr>
                <w:rFonts w:ascii="Arial" w:hAnsi="Arial" w:cs="Arial"/>
                <w:sz w:val="20"/>
                <w:szCs w:val="20"/>
              </w:rPr>
            </w:pPr>
            <w:r>
              <w:rPr>
                <w:rFonts w:ascii="Arial" w:hAnsi="Arial" w:cs="Arial"/>
                <w:sz w:val="20"/>
                <w:szCs w:val="20"/>
              </w:rPr>
              <w:t>Page 133</w:t>
            </w:r>
          </w:p>
          <w:p>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pPr>
              <w:numPr>
                <w:ilvl w:val="0"/>
                <w:numId w:val="1"/>
              </w:numPr>
              <w:spacing w:after="0" w:line="240" w:lineRule="auto"/>
              <w:ind w:left="338"/>
              <w:contextualSpacing/>
              <w:jc w:val="both"/>
              <w:rPr>
                <w:rFonts w:ascii="Arial" w:hAnsi="Arial" w:cs="Arial"/>
                <w:sz w:val="20"/>
                <w:szCs w:val="20"/>
                <w:shd w:val="clear" w:color="auto" w:fill="FFFFFF"/>
              </w:rPr>
            </w:pPr>
            <w:r>
              <w:rPr>
                <w:rFonts w:ascii="Arial" w:hAnsi="Arial" w:cs="Arial"/>
                <w:sz w:val="20"/>
                <w:szCs w:val="20"/>
              </w:rPr>
              <w:t xml:space="preserve">The ultimate goals and objectives of the City in the acquisition of Computerized Total Information Systems Management (CTISM) software and computer hardware amounting to P139.817 million were not attained since the CTISM software remained not fully operational due to </w:t>
            </w:r>
            <w:r>
              <w:rPr>
                <w:rFonts w:ascii="Arial" w:hAnsi="Arial" w:cs="Arial"/>
                <w:sz w:val="20"/>
                <w:szCs w:val="20"/>
                <w:shd w:val="clear" w:color="auto" w:fill="FFFFFF"/>
              </w:rPr>
              <w:t xml:space="preserve">   </w:t>
            </w:r>
            <w:r>
              <w:rPr>
                <w:rFonts w:ascii="Arial" w:hAnsi="Arial" w:cs="Arial"/>
                <w:sz w:val="20"/>
                <w:szCs w:val="20"/>
              </w:rPr>
              <w:t xml:space="preserve">(a) the noted glitches in the system that needs to be corrected/repaired; </w:t>
            </w:r>
            <w:r>
              <w:rPr>
                <w:rFonts w:ascii="Arial" w:hAnsi="Arial" w:cs="Arial"/>
                <w:sz w:val="20"/>
                <w:szCs w:val="20"/>
                <w:shd w:val="clear" w:color="auto" w:fill="FFFFFF"/>
              </w:rPr>
              <w:t xml:space="preserve"> </w:t>
            </w:r>
            <w:r>
              <w:rPr>
                <w:rFonts w:ascii="Arial" w:hAnsi="Arial" w:cs="Arial"/>
                <w:sz w:val="20"/>
                <w:szCs w:val="20"/>
              </w:rPr>
              <w:t xml:space="preserve">(b) the needed modification of the </w:t>
            </w:r>
            <w:r>
              <w:rPr>
                <w:rFonts w:ascii="Arial" w:hAnsi="Arial" w:cs="Arial"/>
                <w:sz w:val="20"/>
                <w:szCs w:val="20"/>
              </w:rPr>
              <w:lastRenderedPageBreak/>
              <w:t>forms installed in the systems to fit the needs of the end-user offices; and (c) the lack of trained/ competent personnel to operate the system.</w:t>
            </w:r>
            <w:r>
              <w:rPr>
                <w:rFonts w:ascii="Arial" w:hAnsi="Arial" w:cs="Arial"/>
                <w:sz w:val="20"/>
                <w:szCs w:val="20"/>
                <w:shd w:val="clear" w:color="auto" w:fill="FFFFFF"/>
              </w:rPr>
              <w:t xml:space="preserve">                </w:t>
            </w:r>
          </w:p>
          <w:p>
            <w:pPr>
              <w:spacing w:after="0" w:line="240" w:lineRule="auto"/>
              <w:ind w:left="338"/>
              <w:contextualSpacing/>
              <w:jc w:val="both"/>
              <w:rPr>
                <w:rFonts w:ascii="Arial" w:hAnsi="Arial" w:cs="Arial"/>
                <w:sz w:val="20"/>
                <w:szCs w:val="20"/>
                <w:shd w:val="clear" w:color="auto" w:fill="FFFFFF"/>
              </w:rPr>
            </w:pPr>
          </w:p>
          <w:p>
            <w:pPr>
              <w:spacing w:after="0" w:line="240" w:lineRule="auto"/>
              <w:ind w:left="346"/>
              <w:contextualSpacing/>
              <w:jc w:val="both"/>
              <w:rPr>
                <w:rFonts w:ascii="Arial" w:hAnsi="Arial" w:cs="Arial"/>
                <w:sz w:val="20"/>
                <w:szCs w:val="20"/>
              </w:rPr>
            </w:pPr>
            <w:r>
              <w:rPr>
                <w:rFonts w:ascii="Arial" w:hAnsi="Arial" w:cs="Arial"/>
                <w:sz w:val="20"/>
                <w:szCs w:val="20"/>
              </w:rPr>
              <w:t>We recommended that Management:</w:t>
            </w:r>
          </w:p>
          <w:p>
            <w:pPr>
              <w:spacing w:after="0" w:line="240" w:lineRule="auto"/>
              <w:ind w:left="346"/>
              <w:contextualSpacing/>
              <w:jc w:val="both"/>
              <w:rPr>
                <w:rFonts w:ascii="Arial" w:hAnsi="Arial" w:cs="Arial"/>
                <w:sz w:val="20"/>
                <w:szCs w:val="20"/>
              </w:rPr>
            </w:pPr>
          </w:p>
          <w:p>
            <w:pPr>
              <w:numPr>
                <w:ilvl w:val="0"/>
                <w:numId w:val="17"/>
              </w:numPr>
              <w:spacing w:after="0" w:line="240" w:lineRule="auto"/>
              <w:ind w:left="609" w:hanging="249"/>
              <w:contextualSpacing/>
              <w:jc w:val="both"/>
              <w:rPr>
                <w:rFonts w:ascii="Arial" w:hAnsi="Arial" w:cs="Arial"/>
                <w:sz w:val="20"/>
                <w:szCs w:val="20"/>
                <w:lang w:val="en-US"/>
              </w:rPr>
            </w:pPr>
            <w:r>
              <w:rPr>
                <w:rFonts w:ascii="Arial" w:hAnsi="Arial" w:cs="Arial"/>
                <w:sz w:val="20"/>
                <w:szCs w:val="20"/>
              </w:rPr>
              <w:t xml:space="preserve">Require the concerned City officials to coordinate with ICNS for the immediate modification and repair of the CTISM specifically on the </w:t>
            </w:r>
            <w:proofErr w:type="spellStart"/>
            <w:r>
              <w:rPr>
                <w:rFonts w:ascii="Arial" w:hAnsi="Arial" w:cs="Arial"/>
                <w:sz w:val="20"/>
                <w:szCs w:val="20"/>
              </w:rPr>
              <w:t>eBarangay</w:t>
            </w:r>
            <w:proofErr w:type="spellEnd"/>
            <w:r>
              <w:rPr>
                <w:rFonts w:ascii="Arial" w:hAnsi="Arial" w:cs="Arial"/>
                <w:sz w:val="20"/>
                <w:szCs w:val="20"/>
              </w:rPr>
              <w:t xml:space="preserve"> Computer and </w:t>
            </w:r>
            <w:proofErr w:type="spellStart"/>
            <w:r>
              <w:rPr>
                <w:rFonts w:ascii="Arial" w:hAnsi="Arial" w:cs="Arial"/>
                <w:sz w:val="20"/>
                <w:szCs w:val="20"/>
              </w:rPr>
              <w:t>eHospital</w:t>
            </w:r>
            <w:proofErr w:type="spellEnd"/>
            <w:r>
              <w:rPr>
                <w:rFonts w:ascii="Arial" w:hAnsi="Arial" w:cs="Arial"/>
                <w:sz w:val="20"/>
                <w:szCs w:val="20"/>
              </w:rPr>
              <w:t xml:space="preserve"> Management Systems to put them in good operating condition for its optimum utilization;</w:t>
            </w:r>
          </w:p>
          <w:p>
            <w:pPr>
              <w:spacing w:after="0" w:line="240" w:lineRule="auto"/>
              <w:ind w:left="609"/>
              <w:contextualSpacing/>
              <w:jc w:val="both"/>
              <w:rPr>
                <w:rFonts w:ascii="Arial" w:hAnsi="Arial" w:cs="Arial"/>
                <w:sz w:val="20"/>
                <w:szCs w:val="20"/>
              </w:rPr>
            </w:pPr>
          </w:p>
          <w:p>
            <w:pPr>
              <w:spacing w:after="0" w:line="240" w:lineRule="auto"/>
              <w:ind w:left="609"/>
              <w:contextualSpacing/>
              <w:jc w:val="both"/>
              <w:rPr>
                <w:rFonts w:ascii="Arial" w:hAnsi="Arial" w:cs="Arial"/>
                <w:sz w:val="20"/>
                <w:szCs w:val="20"/>
              </w:rPr>
            </w:pPr>
          </w:p>
          <w:p>
            <w:pPr>
              <w:numPr>
                <w:ilvl w:val="0"/>
                <w:numId w:val="17"/>
              </w:numPr>
              <w:spacing w:after="0" w:line="240" w:lineRule="auto"/>
              <w:ind w:left="609" w:hanging="249"/>
              <w:contextualSpacing/>
              <w:jc w:val="both"/>
              <w:rPr>
                <w:rFonts w:ascii="Arial" w:hAnsi="Arial" w:cs="Arial"/>
                <w:sz w:val="20"/>
                <w:szCs w:val="20"/>
                <w:lang w:val="en-US"/>
              </w:rPr>
            </w:pPr>
            <w:r>
              <w:rPr>
                <w:rFonts w:ascii="Arial" w:hAnsi="Arial" w:cs="Arial"/>
                <w:sz w:val="20"/>
                <w:szCs w:val="20"/>
              </w:rPr>
              <w:t>Make proper representation with the contractor for the conduct of extensive training for the hospital personnel to educate them in the proper way of operating the System; and</w:t>
            </w:r>
          </w:p>
          <w:p>
            <w:pPr>
              <w:spacing w:after="0" w:line="240" w:lineRule="auto"/>
              <w:ind w:left="609"/>
              <w:contextualSpacing/>
              <w:jc w:val="both"/>
              <w:rPr>
                <w:rFonts w:ascii="Arial" w:hAnsi="Arial" w:cs="Arial"/>
                <w:sz w:val="20"/>
                <w:szCs w:val="20"/>
                <w:lang w:val="en-US"/>
              </w:rPr>
            </w:pPr>
          </w:p>
          <w:p>
            <w:pPr>
              <w:numPr>
                <w:ilvl w:val="0"/>
                <w:numId w:val="17"/>
              </w:numPr>
              <w:spacing w:after="0" w:line="240" w:lineRule="auto"/>
              <w:ind w:left="609" w:hanging="249"/>
              <w:contextualSpacing/>
              <w:jc w:val="both"/>
              <w:rPr>
                <w:rFonts w:ascii="Arial" w:hAnsi="Arial" w:cs="Arial"/>
                <w:sz w:val="20"/>
                <w:szCs w:val="20"/>
                <w:lang w:val="en-US"/>
              </w:rPr>
            </w:pPr>
            <w:r>
              <w:rPr>
                <w:rFonts w:ascii="Arial" w:hAnsi="Arial" w:cs="Arial"/>
                <w:sz w:val="20"/>
                <w:szCs w:val="20"/>
              </w:rPr>
              <w:t xml:space="preserve">Require the Electronic Data Processing (EDP) Office to facilitate the renewal or updating of the firewall’s license for its reconfiguration, as well as, the web server for the new IP address for the immediate </w:t>
            </w:r>
            <w:r>
              <w:rPr>
                <w:rFonts w:ascii="Arial" w:hAnsi="Arial" w:cs="Arial"/>
                <w:sz w:val="20"/>
                <w:szCs w:val="20"/>
              </w:rPr>
              <w:lastRenderedPageBreak/>
              <w:t>realization of the on-line payment of real property and business taxes.</w:t>
            </w:r>
          </w:p>
          <w:p>
            <w:pPr>
              <w:spacing w:after="0" w:line="240" w:lineRule="auto"/>
              <w:ind w:left="338"/>
              <w:contextualSpacing/>
              <w:jc w:val="both"/>
              <w:rPr>
                <w:rFonts w:ascii="Arial" w:hAnsi="Arial" w:cs="Arial"/>
                <w:sz w:val="20"/>
                <w:szCs w:val="20"/>
                <w:shd w:val="clear" w:color="auto" w:fill="FFFFFF"/>
              </w:rPr>
            </w:pPr>
            <w:r>
              <w:rPr>
                <w:rFonts w:ascii="Arial" w:hAnsi="Arial" w:cs="Arial"/>
                <w:sz w:val="20"/>
                <w:szCs w:val="20"/>
                <w:shd w:val="clear" w:color="auto" w:fill="FFFFFF"/>
              </w:rPr>
              <w:t xml:space="preserve">            </w:t>
            </w:r>
          </w:p>
        </w:tc>
        <w:tc>
          <w:tcPr>
            <w:tcW w:w="1899" w:type="dxa"/>
            <w:tcBorders>
              <w:top w:val="single" w:sz="4" w:space="0" w:color="auto"/>
              <w:left w:val="single" w:sz="4" w:space="0" w:color="auto"/>
              <w:bottom w:val="single" w:sz="4" w:space="0" w:color="auto"/>
              <w:right w:val="single" w:sz="4" w:space="0" w:color="auto"/>
            </w:tcBorders>
          </w:tcPr>
          <w:p>
            <w:pPr>
              <w:pStyle w:val="ListParagraph"/>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spacing w:after="0" w:line="240" w:lineRule="auto"/>
              <w:contextualSpacing/>
              <w:jc w:val="center"/>
              <w:rPr>
                <w:rFonts w:ascii="Arial" w:hAnsi="Arial" w:cs="Arial"/>
                <w:sz w:val="20"/>
                <w:szCs w:val="20"/>
              </w:rPr>
            </w:pPr>
            <w:r>
              <w:rPr>
                <w:rFonts w:ascii="Arial" w:hAnsi="Arial" w:cs="Arial"/>
                <w:sz w:val="20"/>
                <w:szCs w:val="20"/>
              </w:rPr>
              <w:t>Implemented</w:t>
            </w: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rPr>
            </w:pPr>
          </w:p>
          <w:p>
            <w:pPr>
              <w:spacing w:after="0" w:line="240" w:lineRule="auto"/>
              <w:contextualSpacing/>
              <w:jc w:val="center"/>
              <w:rPr>
                <w:rFonts w:ascii="Arial" w:hAnsi="Arial" w:cs="Arial"/>
                <w:sz w:val="20"/>
                <w:szCs w:val="20"/>
                <w:lang w:val="en-US"/>
              </w:rPr>
            </w:pPr>
            <w:r>
              <w:rPr>
                <w:rFonts w:ascii="Arial" w:hAnsi="Arial" w:cs="Arial"/>
                <w:sz w:val="20"/>
                <w:szCs w:val="20"/>
              </w:rPr>
              <w:t>Implemented</w:t>
            </w: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pStyle w:val="ListParagraph"/>
              <w:ind w:left="-49"/>
              <w:jc w:val="center"/>
              <w:rPr>
                <w:rFonts w:ascii="Arial" w:hAnsi="Arial" w:cs="Arial"/>
                <w:sz w:val="20"/>
                <w:szCs w:val="20"/>
              </w:rPr>
            </w:pPr>
          </w:p>
          <w:p>
            <w:pPr>
              <w:spacing w:after="0" w:line="240" w:lineRule="auto"/>
              <w:contextualSpacing/>
              <w:jc w:val="center"/>
              <w:rPr>
                <w:rFonts w:ascii="Arial" w:hAnsi="Arial" w:cs="Arial"/>
                <w:sz w:val="20"/>
                <w:szCs w:val="20"/>
                <w:lang w:val="en-US"/>
              </w:rPr>
            </w:pPr>
            <w:r>
              <w:rPr>
                <w:rFonts w:ascii="Arial" w:hAnsi="Arial" w:cs="Arial"/>
                <w:sz w:val="20"/>
                <w:szCs w:val="20"/>
              </w:rPr>
              <w:t>Implemented</w:t>
            </w:r>
          </w:p>
          <w:p>
            <w:pPr>
              <w:pStyle w:val="ListParagraph"/>
              <w:ind w:left="-49"/>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rPr>
                <w:rFonts w:ascii="Arial" w:hAnsi="Arial" w:cs="Arial"/>
                <w:sz w:val="20"/>
                <w:szCs w:val="20"/>
              </w:rPr>
            </w:pPr>
          </w:p>
          <w:p>
            <w:pPr>
              <w:spacing w:after="0" w:line="240" w:lineRule="auto"/>
              <w:contextualSpacing/>
              <w:jc w:val="both"/>
              <w:rPr>
                <w:rFonts w:ascii="Arial" w:hAnsi="Arial" w:cs="Arial"/>
                <w:sz w:val="20"/>
                <w:szCs w:val="20"/>
              </w:rPr>
            </w:pPr>
            <w:r>
              <w:rPr>
                <w:rFonts w:ascii="Arial" w:hAnsi="Arial" w:cs="Arial"/>
                <w:sz w:val="20"/>
                <w:szCs w:val="20"/>
              </w:rPr>
              <w:t>Beginning CY 2023, the Barangay Accounts Division implemented the use of I-BAD, which is the counterpart of I-Smart, for the financial recording and reporting needs of the Barangays.</w:t>
            </w: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r>
              <w:rPr>
                <w:rFonts w:ascii="Arial" w:hAnsi="Arial" w:cs="Arial"/>
                <w:sz w:val="20"/>
                <w:szCs w:val="20"/>
              </w:rPr>
              <w:t xml:space="preserve">For Hospitals, the OCAT and the District Hospitals started using the Hospital Management Information Systems. </w:t>
            </w: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r>
              <w:rPr>
                <w:rFonts w:ascii="Arial" w:hAnsi="Arial" w:cs="Arial"/>
                <w:sz w:val="20"/>
                <w:szCs w:val="20"/>
              </w:rPr>
              <w:t>Hence, these audit recommendations can be closed due to supervening events.</w:t>
            </w: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rPr>
            </w:pPr>
          </w:p>
          <w:p>
            <w:pPr>
              <w:spacing w:after="0" w:line="240" w:lineRule="auto"/>
              <w:contextualSpacing/>
              <w:jc w:val="both"/>
              <w:rPr>
                <w:rFonts w:ascii="Arial" w:hAnsi="Arial" w:cs="Arial"/>
                <w:sz w:val="20"/>
                <w:szCs w:val="20"/>
                <w:lang w:val="en-US"/>
              </w:rPr>
            </w:pPr>
            <w:r>
              <w:rPr>
                <w:rFonts w:ascii="Arial" w:hAnsi="Arial" w:cs="Arial"/>
                <w:sz w:val="20"/>
                <w:szCs w:val="20"/>
              </w:rPr>
              <w:t>Same as above</w:t>
            </w:r>
          </w:p>
          <w:p>
            <w:pPr>
              <w:spacing w:after="0" w:line="240" w:lineRule="auto"/>
              <w:contextualSpacing/>
              <w:jc w:val="both"/>
              <w:rPr>
                <w:rFonts w:ascii="Arial" w:hAnsi="Arial" w:cs="Arial"/>
                <w:sz w:val="20"/>
                <w:szCs w:val="20"/>
                <w:lang w:val="en-US"/>
              </w:rPr>
            </w:pPr>
          </w:p>
          <w:p>
            <w:pPr>
              <w:spacing w:after="0" w:line="240" w:lineRule="auto"/>
              <w:contextualSpacing/>
              <w:jc w:val="both"/>
              <w:rPr>
                <w:rFonts w:ascii="Arial" w:hAnsi="Arial" w:cs="Arial"/>
                <w:sz w:val="20"/>
                <w:szCs w:val="20"/>
              </w:rPr>
            </w:pPr>
          </w:p>
          <w:p>
            <w:pPr>
              <w:spacing w:after="0" w:line="240" w:lineRule="auto"/>
              <w:contextualSpacing/>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pPr>
              <w:spacing w:after="0" w:line="240" w:lineRule="auto"/>
              <w:contextualSpacing/>
              <w:rPr>
                <w:rFonts w:ascii="Arial" w:hAnsi="Arial" w:cs="Arial"/>
                <w:sz w:val="20"/>
                <w:szCs w:val="20"/>
              </w:rPr>
            </w:pPr>
          </w:p>
        </w:tc>
      </w:tr>
      <w:bookmarkEnd w:id="0"/>
      <w:bookmarkEnd w:id="2"/>
    </w:tbl>
    <w:p>
      <w:pPr>
        <w:tabs>
          <w:tab w:val="left" w:pos="1095"/>
        </w:tabs>
        <w:rPr>
          <w:rFonts w:ascii="Arial" w:hAnsi="Arial" w:cs="Arial"/>
          <w:sz w:val="24"/>
          <w:szCs w:val="24"/>
        </w:rPr>
      </w:pPr>
    </w:p>
    <w:sectPr>
      <w:headerReference w:type="default" r:id="rId8"/>
      <w:footerReference w:type="default" r:id="rId9"/>
      <w:pgSz w:w="12240" w:h="15840" w:code="1"/>
      <w:pgMar w:top="1440" w:right="1440" w:bottom="1440" w:left="1800" w:header="720" w:footer="720" w:gutter="0"/>
      <w:pgNumType w:start="91"/>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E56724E" w16cex:dateUtc="2024-05-29T02:2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spacing w:line="240" w:lineRule="auto"/>
      </w:pPr>
      <w:r>
        <w:separator/>
      </w:r>
    </w:p>
  </w:endnote>
  <w:endnote w:type="continuationSeparator" w:id="0">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1758788"/>
      <w:docPartObj>
        <w:docPartGallery w:val="Page Numbers (Bottom of Page)"/>
        <w:docPartUnique/>
      </w:docPartObj>
    </w:sdtPr>
    <w:sdtEndPr>
      <w:rPr>
        <w:rFonts w:ascii="Arial" w:hAnsi="Arial" w:cs="Arial"/>
        <w:noProof/>
      </w:rPr>
    </w:sdtEndPr>
    <w:sdtContent>
      <w:p>
        <w:pPr>
          <w:pStyle w:val="Footer"/>
          <w:jc w:val="center"/>
          <w:rPr>
            <w:rFonts w:ascii="Arial" w:hAnsi="Arial" w:cs="Arial"/>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pPr>
      <w:pStyle w:val="Footer"/>
      <w:jc w:val="cen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pPr>
      <w:r>
        <w:separator/>
      </w:r>
    </w:p>
  </w:footnote>
  <w:footnote w:type="continuationSeparator" w:id="0">
    <w:p>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Header"/>
      <w:jc w:val="right"/>
      <w:rPr>
        <w:rFonts w:ascii="Arial" w:hAnsi="Arial" w:cs="Arial"/>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D303B"/>
    <w:multiLevelType w:val="multilevel"/>
    <w:tmpl w:val="DEC245D8"/>
    <w:lvl w:ilvl="0">
      <w:start w:val="6"/>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C622E07"/>
    <w:multiLevelType w:val="multilevel"/>
    <w:tmpl w:val="AD02A3DE"/>
    <w:lvl w:ilvl="0">
      <w:start w:val="1"/>
      <w:numFmt w:val="lowerLetter"/>
      <w:lvlText w:val="%1."/>
      <w:lvlJc w:val="left"/>
      <w:pPr>
        <w:ind w:left="1146" w:hanging="360"/>
      </w:pPr>
      <w:rPr>
        <w:rFonts w:hint="default"/>
      </w:rPr>
    </w:lvl>
    <w:lvl w:ilvl="1">
      <w:start w:val="1"/>
      <w:numFmt w:val="lowerLetter"/>
      <w:lvlText w:val="%2."/>
      <w:lvlJc w:val="left"/>
      <w:pPr>
        <w:ind w:left="1866" w:hanging="360"/>
      </w:pPr>
      <w:rPr>
        <w:rFonts w:hint="default"/>
      </w:rPr>
    </w:lvl>
    <w:lvl w:ilvl="2">
      <w:start w:val="1"/>
      <w:numFmt w:val="lowerRoman"/>
      <w:lvlText w:val="%3."/>
      <w:lvlJc w:val="right"/>
      <w:pPr>
        <w:ind w:left="2586" w:hanging="180"/>
      </w:pPr>
      <w:rPr>
        <w:rFonts w:hint="default"/>
      </w:rPr>
    </w:lvl>
    <w:lvl w:ilvl="3">
      <w:start w:val="1"/>
      <w:numFmt w:val="decimal"/>
      <w:lvlText w:val="%4."/>
      <w:lvlJc w:val="left"/>
      <w:pPr>
        <w:ind w:left="3306" w:hanging="360"/>
      </w:pPr>
      <w:rPr>
        <w:rFonts w:hint="default"/>
      </w:rPr>
    </w:lvl>
    <w:lvl w:ilvl="4">
      <w:start w:val="1"/>
      <w:numFmt w:val="lowerLetter"/>
      <w:lvlText w:val="%5."/>
      <w:lvlJc w:val="left"/>
      <w:pPr>
        <w:ind w:left="4026" w:hanging="360"/>
      </w:pPr>
      <w:rPr>
        <w:rFonts w:hint="default"/>
      </w:rPr>
    </w:lvl>
    <w:lvl w:ilvl="5">
      <w:start w:val="1"/>
      <w:numFmt w:val="lowerRoman"/>
      <w:lvlText w:val="%6."/>
      <w:lvlJc w:val="right"/>
      <w:pPr>
        <w:ind w:left="4746" w:hanging="180"/>
      </w:pPr>
      <w:rPr>
        <w:rFonts w:hint="default"/>
      </w:rPr>
    </w:lvl>
    <w:lvl w:ilvl="6">
      <w:start w:val="1"/>
      <w:numFmt w:val="decimal"/>
      <w:lvlText w:val="%7."/>
      <w:lvlJc w:val="left"/>
      <w:pPr>
        <w:ind w:left="5466" w:hanging="360"/>
      </w:pPr>
      <w:rPr>
        <w:rFonts w:hint="default"/>
      </w:rPr>
    </w:lvl>
    <w:lvl w:ilvl="7">
      <w:start w:val="1"/>
      <w:numFmt w:val="lowerLetter"/>
      <w:lvlText w:val="%8."/>
      <w:lvlJc w:val="left"/>
      <w:pPr>
        <w:ind w:left="6186" w:hanging="360"/>
      </w:pPr>
      <w:rPr>
        <w:rFonts w:hint="default"/>
      </w:rPr>
    </w:lvl>
    <w:lvl w:ilvl="8">
      <w:start w:val="1"/>
      <w:numFmt w:val="lowerRoman"/>
      <w:lvlText w:val="%9."/>
      <w:lvlJc w:val="right"/>
      <w:pPr>
        <w:ind w:left="6906" w:hanging="180"/>
      </w:pPr>
      <w:rPr>
        <w:rFonts w:hint="default"/>
      </w:rPr>
    </w:lvl>
  </w:abstractNum>
  <w:abstractNum w:abstractNumId="2" w15:restartNumberingAfterBreak="0">
    <w:nsid w:val="137C4188"/>
    <w:multiLevelType w:val="multilevel"/>
    <w:tmpl w:val="137C4188"/>
    <w:lvl w:ilvl="0">
      <w:start w:val="1"/>
      <w:numFmt w:val="bullet"/>
      <w:lvlText w:val=""/>
      <w:lvlJc w:val="left"/>
      <w:pPr>
        <w:ind w:left="1148" w:hanging="360"/>
      </w:pPr>
      <w:rPr>
        <w:rFonts w:ascii="Symbol" w:hAnsi="Symbol" w:hint="default"/>
      </w:rPr>
    </w:lvl>
    <w:lvl w:ilvl="1">
      <w:start w:val="1"/>
      <w:numFmt w:val="bullet"/>
      <w:lvlText w:val="o"/>
      <w:lvlJc w:val="left"/>
      <w:pPr>
        <w:ind w:left="1868" w:hanging="360"/>
      </w:pPr>
      <w:rPr>
        <w:rFonts w:ascii="Courier New" w:hAnsi="Courier New" w:cs="Courier New" w:hint="default"/>
      </w:rPr>
    </w:lvl>
    <w:lvl w:ilvl="2">
      <w:start w:val="1"/>
      <w:numFmt w:val="bullet"/>
      <w:lvlText w:val=""/>
      <w:lvlJc w:val="left"/>
      <w:pPr>
        <w:ind w:left="2588" w:hanging="360"/>
      </w:pPr>
      <w:rPr>
        <w:rFonts w:ascii="Wingdings" w:hAnsi="Wingdings" w:hint="default"/>
      </w:rPr>
    </w:lvl>
    <w:lvl w:ilvl="3">
      <w:start w:val="1"/>
      <w:numFmt w:val="bullet"/>
      <w:lvlText w:val=""/>
      <w:lvlJc w:val="left"/>
      <w:pPr>
        <w:ind w:left="3308" w:hanging="360"/>
      </w:pPr>
      <w:rPr>
        <w:rFonts w:ascii="Symbol" w:hAnsi="Symbol" w:hint="default"/>
      </w:rPr>
    </w:lvl>
    <w:lvl w:ilvl="4">
      <w:start w:val="1"/>
      <w:numFmt w:val="bullet"/>
      <w:lvlText w:val="o"/>
      <w:lvlJc w:val="left"/>
      <w:pPr>
        <w:ind w:left="4028" w:hanging="360"/>
      </w:pPr>
      <w:rPr>
        <w:rFonts w:ascii="Courier New" w:hAnsi="Courier New" w:cs="Courier New" w:hint="default"/>
      </w:rPr>
    </w:lvl>
    <w:lvl w:ilvl="5">
      <w:start w:val="1"/>
      <w:numFmt w:val="bullet"/>
      <w:lvlText w:val=""/>
      <w:lvlJc w:val="left"/>
      <w:pPr>
        <w:ind w:left="4748" w:hanging="360"/>
      </w:pPr>
      <w:rPr>
        <w:rFonts w:ascii="Wingdings" w:hAnsi="Wingdings" w:hint="default"/>
      </w:rPr>
    </w:lvl>
    <w:lvl w:ilvl="6">
      <w:start w:val="1"/>
      <w:numFmt w:val="bullet"/>
      <w:lvlText w:val=""/>
      <w:lvlJc w:val="left"/>
      <w:pPr>
        <w:ind w:left="5468" w:hanging="360"/>
      </w:pPr>
      <w:rPr>
        <w:rFonts w:ascii="Symbol" w:hAnsi="Symbol" w:hint="default"/>
      </w:rPr>
    </w:lvl>
    <w:lvl w:ilvl="7">
      <w:start w:val="1"/>
      <w:numFmt w:val="bullet"/>
      <w:lvlText w:val="o"/>
      <w:lvlJc w:val="left"/>
      <w:pPr>
        <w:ind w:left="6188" w:hanging="360"/>
      </w:pPr>
      <w:rPr>
        <w:rFonts w:ascii="Courier New" w:hAnsi="Courier New" w:cs="Courier New" w:hint="default"/>
      </w:rPr>
    </w:lvl>
    <w:lvl w:ilvl="8">
      <w:start w:val="1"/>
      <w:numFmt w:val="bullet"/>
      <w:lvlText w:val=""/>
      <w:lvlJc w:val="left"/>
      <w:pPr>
        <w:ind w:left="6908" w:hanging="360"/>
      </w:pPr>
      <w:rPr>
        <w:rFonts w:ascii="Wingdings" w:hAnsi="Wingdings" w:hint="default"/>
      </w:rPr>
    </w:lvl>
  </w:abstractNum>
  <w:abstractNum w:abstractNumId="3" w15:restartNumberingAfterBreak="0">
    <w:nsid w:val="156507DF"/>
    <w:multiLevelType w:val="multilevel"/>
    <w:tmpl w:val="4D343662"/>
    <w:lvl w:ilvl="0">
      <w:start w:val="3"/>
      <w:numFmt w:val="lowerLetter"/>
      <w:lvlText w:val="%1."/>
      <w:lvlJc w:val="left"/>
      <w:pPr>
        <w:ind w:left="1146" w:hanging="360"/>
      </w:pPr>
      <w:rPr>
        <w:rFonts w:hint="default"/>
      </w:rPr>
    </w:lvl>
    <w:lvl w:ilvl="1">
      <w:start w:val="1"/>
      <w:numFmt w:val="lowerLetter"/>
      <w:lvlText w:val="%2."/>
      <w:lvlJc w:val="left"/>
      <w:pPr>
        <w:ind w:left="1866" w:hanging="360"/>
      </w:pPr>
      <w:rPr>
        <w:rFonts w:hint="default"/>
      </w:rPr>
    </w:lvl>
    <w:lvl w:ilvl="2">
      <w:start w:val="1"/>
      <w:numFmt w:val="lowerRoman"/>
      <w:lvlText w:val="%3."/>
      <w:lvlJc w:val="right"/>
      <w:pPr>
        <w:ind w:left="2586" w:hanging="180"/>
      </w:pPr>
      <w:rPr>
        <w:rFonts w:hint="default"/>
      </w:rPr>
    </w:lvl>
    <w:lvl w:ilvl="3">
      <w:start w:val="1"/>
      <w:numFmt w:val="decimal"/>
      <w:lvlText w:val="%4."/>
      <w:lvlJc w:val="left"/>
      <w:pPr>
        <w:ind w:left="3306" w:hanging="360"/>
      </w:pPr>
      <w:rPr>
        <w:rFonts w:hint="default"/>
      </w:rPr>
    </w:lvl>
    <w:lvl w:ilvl="4">
      <w:start w:val="1"/>
      <w:numFmt w:val="lowerLetter"/>
      <w:lvlText w:val="%5."/>
      <w:lvlJc w:val="left"/>
      <w:pPr>
        <w:ind w:left="4026" w:hanging="360"/>
      </w:pPr>
      <w:rPr>
        <w:rFonts w:hint="default"/>
      </w:rPr>
    </w:lvl>
    <w:lvl w:ilvl="5">
      <w:start w:val="1"/>
      <w:numFmt w:val="lowerRoman"/>
      <w:lvlText w:val="%6."/>
      <w:lvlJc w:val="right"/>
      <w:pPr>
        <w:ind w:left="4746" w:hanging="180"/>
      </w:pPr>
      <w:rPr>
        <w:rFonts w:hint="default"/>
      </w:rPr>
    </w:lvl>
    <w:lvl w:ilvl="6">
      <w:start w:val="1"/>
      <w:numFmt w:val="decimal"/>
      <w:lvlText w:val="%7."/>
      <w:lvlJc w:val="left"/>
      <w:pPr>
        <w:ind w:left="5466" w:hanging="360"/>
      </w:pPr>
      <w:rPr>
        <w:rFonts w:hint="default"/>
      </w:rPr>
    </w:lvl>
    <w:lvl w:ilvl="7">
      <w:start w:val="1"/>
      <w:numFmt w:val="lowerLetter"/>
      <w:lvlText w:val="%8."/>
      <w:lvlJc w:val="left"/>
      <w:pPr>
        <w:ind w:left="6186" w:hanging="360"/>
      </w:pPr>
      <w:rPr>
        <w:rFonts w:hint="default"/>
      </w:rPr>
    </w:lvl>
    <w:lvl w:ilvl="8">
      <w:start w:val="1"/>
      <w:numFmt w:val="lowerRoman"/>
      <w:lvlText w:val="%9."/>
      <w:lvlJc w:val="right"/>
      <w:pPr>
        <w:ind w:left="6906" w:hanging="180"/>
      </w:pPr>
      <w:rPr>
        <w:rFonts w:hint="default"/>
      </w:rPr>
    </w:lvl>
  </w:abstractNum>
  <w:abstractNum w:abstractNumId="4" w15:restartNumberingAfterBreak="0">
    <w:nsid w:val="219170EE"/>
    <w:multiLevelType w:val="multilevel"/>
    <w:tmpl w:val="219170EE"/>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 w15:restartNumberingAfterBreak="0">
    <w:nsid w:val="26A53528"/>
    <w:multiLevelType w:val="multilevel"/>
    <w:tmpl w:val="26A53528"/>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6" w15:restartNumberingAfterBreak="0">
    <w:nsid w:val="27983E0B"/>
    <w:multiLevelType w:val="multilevel"/>
    <w:tmpl w:val="27983E0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2552EF1"/>
    <w:multiLevelType w:val="multilevel"/>
    <w:tmpl w:val="32552EF1"/>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15:restartNumberingAfterBreak="0">
    <w:nsid w:val="33854209"/>
    <w:multiLevelType w:val="multilevel"/>
    <w:tmpl w:val="33854209"/>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9" w15:restartNumberingAfterBreak="0">
    <w:nsid w:val="3DD67FA4"/>
    <w:multiLevelType w:val="multilevel"/>
    <w:tmpl w:val="3DD67FA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1494CEB"/>
    <w:multiLevelType w:val="multilevel"/>
    <w:tmpl w:val="41494CE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2C23E20"/>
    <w:multiLevelType w:val="multilevel"/>
    <w:tmpl w:val="42C23E20"/>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4C093BD5"/>
    <w:multiLevelType w:val="multilevel"/>
    <w:tmpl w:val="BEDC8388"/>
    <w:lvl w:ilvl="0">
      <w:start w:val="3"/>
      <w:numFmt w:val="lowerLetter"/>
      <w:lvlText w:val="%1."/>
      <w:lvlJc w:val="left"/>
      <w:pPr>
        <w:ind w:left="1146" w:hanging="360"/>
      </w:pPr>
      <w:rPr>
        <w:rFonts w:hint="default"/>
      </w:rPr>
    </w:lvl>
    <w:lvl w:ilvl="1">
      <w:start w:val="1"/>
      <w:numFmt w:val="lowerLetter"/>
      <w:lvlText w:val="%2."/>
      <w:lvlJc w:val="left"/>
      <w:pPr>
        <w:ind w:left="1866" w:hanging="360"/>
      </w:pPr>
      <w:rPr>
        <w:rFonts w:hint="default"/>
      </w:rPr>
    </w:lvl>
    <w:lvl w:ilvl="2">
      <w:start w:val="1"/>
      <w:numFmt w:val="lowerRoman"/>
      <w:lvlText w:val="%3."/>
      <w:lvlJc w:val="right"/>
      <w:pPr>
        <w:ind w:left="2586" w:hanging="180"/>
      </w:pPr>
      <w:rPr>
        <w:rFonts w:hint="default"/>
      </w:rPr>
    </w:lvl>
    <w:lvl w:ilvl="3">
      <w:start w:val="1"/>
      <w:numFmt w:val="decimal"/>
      <w:lvlText w:val="%4."/>
      <w:lvlJc w:val="left"/>
      <w:pPr>
        <w:ind w:left="3306" w:hanging="360"/>
      </w:pPr>
      <w:rPr>
        <w:rFonts w:hint="default"/>
      </w:rPr>
    </w:lvl>
    <w:lvl w:ilvl="4">
      <w:start w:val="1"/>
      <w:numFmt w:val="lowerLetter"/>
      <w:lvlText w:val="%5."/>
      <w:lvlJc w:val="left"/>
      <w:pPr>
        <w:ind w:left="4026" w:hanging="360"/>
      </w:pPr>
      <w:rPr>
        <w:rFonts w:hint="default"/>
      </w:rPr>
    </w:lvl>
    <w:lvl w:ilvl="5">
      <w:start w:val="1"/>
      <w:numFmt w:val="lowerRoman"/>
      <w:lvlText w:val="%6."/>
      <w:lvlJc w:val="right"/>
      <w:pPr>
        <w:ind w:left="4746" w:hanging="180"/>
      </w:pPr>
      <w:rPr>
        <w:rFonts w:hint="default"/>
      </w:rPr>
    </w:lvl>
    <w:lvl w:ilvl="6">
      <w:start w:val="1"/>
      <w:numFmt w:val="decimal"/>
      <w:lvlText w:val="%7."/>
      <w:lvlJc w:val="left"/>
      <w:pPr>
        <w:ind w:left="5466" w:hanging="360"/>
      </w:pPr>
      <w:rPr>
        <w:rFonts w:hint="default"/>
      </w:rPr>
    </w:lvl>
    <w:lvl w:ilvl="7">
      <w:start w:val="1"/>
      <w:numFmt w:val="lowerLetter"/>
      <w:lvlText w:val="%8."/>
      <w:lvlJc w:val="left"/>
      <w:pPr>
        <w:ind w:left="6186" w:hanging="360"/>
      </w:pPr>
      <w:rPr>
        <w:rFonts w:hint="default"/>
      </w:rPr>
    </w:lvl>
    <w:lvl w:ilvl="8">
      <w:start w:val="1"/>
      <w:numFmt w:val="lowerRoman"/>
      <w:lvlText w:val="%9."/>
      <w:lvlJc w:val="right"/>
      <w:pPr>
        <w:ind w:left="6906" w:hanging="180"/>
      </w:pPr>
      <w:rPr>
        <w:rFonts w:hint="default"/>
      </w:rPr>
    </w:lvl>
  </w:abstractNum>
  <w:abstractNum w:abstractNumId="13" w15:restartNumberingAfterBreak="0">
    <w:nsid w:val="4C1205A6"/>
    <w:multiLevelType w:val="multilevel"/>
    <w:tmpl w:val="4C1205A6"/>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4" w15:restartNumberingAfterBreak="0">
    <w:nsid w:val="57F34642"/>
    <w:multiLevelType w:val="multilevel"/>
    <w:tmpl w:val="219170EE"/>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5" w15:restartNumberingAfterBreak="0">
    <w:nsid w:val="5B175B80"/>
    <w:multiLevelType w:val="multilevel"/>
    <w:tmpl w:val="1632C31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Arial" w:hAnsi="Arial" w:cs="Arial" w:hint="default"/>
        <w:b w:val="0"/>
        <w:bCs w:val="0"/>
        <w:sz w:val="20"/>
        <w:szCs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F4D5D17"/>
    <w:multiLevelType w:val="multilevel"/>
    <w:tmpl w:val="2FC2721C"/>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2645830"/>
    <w:multiLevelType w:val="multilevel"/>
    <w:tmpl w:val="6264583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6673801"/>
    <w:multiLevelType w:val="multilevel"/>
    <w:tmpl w:val="666738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C5B1E95"/>
    <w:multiLevelType w:val="multilevel"/>
    <w:tmpl w:val="6C5B1E95"/>
    <w:lvl w:ilvl="0">
      <w:start w:val="1"/>
      <w:numFmt w:val="lowerLetter"/>
      <w:lvlText w:val="%1."/>
      <w:lvlJc w:val="left"/>
      <w:pPr>
        <w:ind w:left="702" w:hanging="360"/>
      </w:pPr>
      <w:rPr>
        <w:rFonts w:hint="default"/>
      </w:r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20" w15:restartNumberingAfterBreak="0">
    <w:nsid w:val="7DD4118E"/>
    <w:multiLevelType w:val="multilevel"/>
    <w:tmpl w:val="7DD4118E"/>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1" w15:restartNumberingAfterBreak="0">
    <w:nsid w:val="7F581EFB"/>
    <w:multiLevelType w:val="multilevel"/>
    <w:tmpl w:val="7F581EFB"/>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abstractNumId w:val="15"/>
  </w:num>
  <w:num w:numId="2">
    <w:abstractNumId w:val="8"/>
  </w:num>
  <w:num w:numId="3">
    <w:abstractNumId w:val="11"/>
  </w:num>
  <w:num w:numId="4">
    <w:abstractNumId w:val="18"/>
  </w:num>
  <w:num w:numId="5">
    <w:abstractNumId w:val="7"/>
  </w:num>
  <w:num w:numId="6">
    <w:abstractNumId w:val="5"/>
  </w:num>
  <w:num w:numId="7">
    <w:abstractNumId w:val="13"/>
  </w:num>
  <w:num w:numId="8">
    <w:abstractNumId w:val="4"/>
  </w:num>
  <w:num w:numId="9">
    <w:abstractNumId w:val="21"/>
  </w:num>
  <w:num w:numId="10">
    <w:abstractNumId w:val="1"/>
  </w:num>
  <w:num w:numId="11">
    <w:abstractNumId w:val="20"/>
  </w:num>
  <w:num w:numId="12">
    <w:abstractNumId w:val="2"/>
  </w:num>
  <w:num w:numId="13">
    <w:abstractNumId w:val="10"/>
  </w:num>
  <w:num w:numId="14">
    <w:abstractNumId w:val="19"/>
  </w:num>
  <w:num w:numId="15">
    <w:abstractNumId w:val="6"/>
  </w:num>
  <w:num w:numId="16">
    <w:abstractNumId w:val="9"/>
  </w:num>
  <w:num w:numId="17">
    <w:abstractNumId w:val="17"/>
  </w:num>
  <w:num w:numId="18">
    <w:abstractNumId w:val="14"/>
  </w:num>
  <w:num w:numId="19">
    <w:abstractNumId w:val="12"/>
  </w:num>
  <w:num w:numId="20">
    <w:abstractNumId w:val="16"/>
  </w:num>
  <w:num w:numId="21">
    <w:abstractNumId w:val="0"/>
  </w:num>
  <w:num w:numId="22">
    <w:abstractNumId w:val="3"/>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cryptProviderType="rsaAES" w:cryptAlgorithmClass="hash" w:cryptAlgorithmType="typeAny" w:cryptAlgorithmSid="14" w:cryptSpinCount="100000" w:hash="3vpAcWslRamW3Hzz+aIJzcLbSzgM+xaLQlB9exoJc3r6Robviurh2Je1KswhZ4ZJvItQ2gvTEs1+8TbwELFrvw==" w:salt="ctW5ivuTj3N6RxmED6g0y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6B0E6068-2DC9-4339-82E6-CC0FD904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Times New Roman" w:eastAsia="SimSun" w:hAnsi="Times New Roman" w:cs="Times New Roman"/>
      <w:sz w:val="22"/>
      <w:szCs w:val="22"/>
      <w:lang w:val="en-PH"/>
    </w:rPr>
  </w:style>
  <w:style w:type="paragraph" w:styleId="Heading2">
    <w:name w:val="heading 2"/>
    <w:basedOn w:val="Normal"/>
    <w:next w:val="Normal"/>
    <w:link w:val="Heading2Char"/>
    <w:qFormat/>
    <w:pPr>
      <w:keepNext/>
      <w:spacing w:after="0" w:line="240" w:lineRule="auto"/>
      <w:jc w:val="center"/>
      <w:outlineLvl w:val="1"/>
    </w:pPr>
    <w:rPr>
      <w:rFonts w:eastAsia="Times New Roman"/>
      <w:b/>
      <w:bCs/>
      <w:sz w:val="4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sz w:val="16"/>
      <w:szCs w:val="16"/>
    </w:rPr>
  </w:style>
  <w:style w:type="paragraph" w:styleId="BodyTextIndent">
    <w:name w:val="Body Text Indent"/>
    <w:basedOn w:val="Normal"/>
    <w:link w:val="BodyTextIndentChar"/>
    <w:qFormat/>
    <w:pPr>
      <w:spacing w:after="0" w:line="240" w:lineRule="auto"/>
      <w:ind w:left="1440" w:hanging="660"/>
      <w:jc w:val="both"/>
    </w:pPr>
    <w:rPr>
      <w:rFonts w:eastAsia="Times New Roman"/>
      <w:sz w:val="24"/>
      <w:szCs w:val="24"/>
      <w:lang w:val="en-GB"/>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uiPriority w:val="99"/>
    <w:unhideWhenUsed/>
    <w:qFormat/>
    <w:rPr>
      <w:vertAlign w:val="superscript"/>
    </w:rPr>
  </w:style>
  <w:style w:type="paragraph" w:styleId="FootnoteText">
    <w:name w:val="footnote text"/>
    <w:basedOn w:val="Normal"/>
    <w:link w:val="FootnoteTextChar"/>
    <w:uiPriority w:val="99"/>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paragraph" w:styleId="Subtitle">
    <w:name w:val="Subtitle"/>
    <w:basedOn w:val="Normal"/>
    <w:link w:val="SubtitleChar"/>
    <w:qFormat/>
    <w:pPr>
      <w:spacing w:after="0" w:line="240" w:lineRule="auto"/>
      <w:jc w:val="both"/>
    </w:pPr>
    <w:rPr>
      <w:rFonts w:eastAsia="Times New Roman"/>
      <w:b/>
      <w:sz w:val="20"/>
      <w:szCs w:val="20"/>
      <w:lang w:val="en-US"/>
    </w:rPr>
  </w:style>
  <w:style w:type="table" w:styleId="TableGrid">
    <w:name w:val="Table Grid"/>
    <w:basedOn w:val="TableNormal"/>
    <w:uiPriority w:val="3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qFormat/>
    <w:rPr>
      <w:rFonts w:ascii="Times New Roman" w:eastAsia="Times New Roman" w:hAnsi="Times New Roman" w:cs="Times New Roman"/>
      <w:b/>
      <w:bCs/>
      <w:sz w:val="40"/>
      <w:szCs w:val="24"/>
      <w:lang w:val="en-US"/>
    </w:rPr>
  </w:style>
  <w:style w:type="character" w:customStyle="1" w:styleId="BalloonTextChar">
    <w:name w:val="Balloon Text Char"/>
    <w:basedOn w:val="DefaultParagraphFont"/>
    <w:link w:val="BalloonText"/>
    <w:uiPriority w:val="99"/>
    <w:qFormat/>
    <w:rPr>
      <w:rFonts w:ascii="Tahoma" w:eastAsia="SimSun" w:hAnsi="Tahoma" w:cs="Times New Roman"/>
      <w:sz w:val="16"/>
      <w:szCs w:val="16"/>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en-GB"/>
    </w:rPr>
  </w:style>
  <w:style w:type="character" w:customStyle="1" w:styleId="CommentTextChar">
    <w:name w:val="Comment Text Char"/>
    <w:basedOn w:val="DefaultParagraphFont"/>
    <w:link w:val="CommentText"/>
    <w:uiPriority w:val="99"/>
    <w:qFormat/>
    <w:rPr>
      <w:rFonts w:ascii="Times New Roman" w:eastAsia="SimSun" w:hAnsi="Times New Roman" w:cs="Times New Roman"/>
      <w:sz w:val="20"/>
      <w:szCs w:val="20"/>
    </w:rPr>
  </w:style>
  <w:style w:type="character" w:customStyle="1" w:styleId="CommentSubjectChar">
    <w:name w:val="Comment Subject Char"/>
    <w:basedOn w:val="CommentTextChar"/>
    <w:link w:val="CommentSubject"/>
    <w:uiPriority w:val="99"/>
    <w:qFormat/>
    <w:rPr>
      <w:rFonts w:ascii="Times New Roman" w:eastAsia="SimSun" w:hAnsi="Times New Roman" w:cs="Times New Roman"/>
      <w:b/>
      <w:bCs/>
      <w:sz w:val="20"/>
      <w:szCs w:val="20"/>
    </w:rPr>
  </w:style>
  <w:style w:type="character" w:customStyle="1" w:styleId="FooterChar">
    <w:name w:val="Footer Char"/>
    <w:basedOn w:val="DefaultParagraphFont"/>
    <w:link w:val="Footer"/>
    <w:uiPriority w:val="99"/>
    <w:qFormat/>
    <w:rPr>
      <w:rFonts w:ascii="Times New Roman" w:eastAsia="SimSun" w:hAnsi="Times New Roman" w:cs="Times New Roman"/>
    </w:rPr>
  </w:style>
  <w:style w:type="character" w:customStyle="1" w:styleId="FootnoteTextChar">
    <w:name w:val="Footnote Text Char"/>
    <w:basedOn w:val="DefaultParagraphFont"/>
    <w:link w:val="FootnoteText"/>
    <w:uiPriority w:val="99"/>
    <w:rPr>
      <w:rFonts w:ascii="Times New Roman" w:eastAsia="SimSun" w:hAnsi="Times New Roman" w:cs="Times New Roman"/>
      <w:sz w:val="18"/>
      <w:szCs w:val="18"/>
    </w:rPr>
  </w:style>
  <w:style w:type="character" w:customStyle="1" w:styleId="HeaderChar">
    <w:name w:val="Header Char"/>
    <w:basedOn w:val="DefaultParagraphFont"/>
    <w:link w:val="Header"/>
    <w:uiPriority w:val="99"/>
    <w:qFormat/>
    <w:rPr>
      <w:rFonts w:ascii="Times New Roman" w:eastAsia="SimSun" w:hAnsi="Times New Roman" w:cs="Times New Roman"/>
    </w:rPr>
  </w:style>
  <w:style w:type="character" w:customStyle="1" w:styleId="SubtitleChar">
    <w:name w:val="Subtitle Char"/>
    <w:basedOn w:val="DefaultParagraphFont"/>
    <w:link w:val="Subtitle"/>
    <w:qFormat/>
    <w:rPr>
      <w:rFonts w:ascii="Times New Roman" w:eastAsia="Times New Roman" w:hAnsi="Times New Roman" w:cs="Times New Roman"/>
      <w:b/>
      <w:sz w:val="20"/>
      <w:szCs w:val="20"/>
      <w:lang w:val="en-US"/>
    </w:rPr>
  </w:style>
  <w:style w:type="character" w:customStyle="1" w:styleId="NoSpacingChar">
    <w:name w:val="No Spacing Char"/>
    <w:link w:val="NoSpacing"/>
    <w:uiPriority w:val="1"/>
    <w:qFormat/>
  </w:style>
  <w:style w:type="paragraph" w:styleId="NoSpacing">
    <w:name w:val="No Spacing"/>
    <w:link w:val="NoSpacingChar"/>
    <w:uiPriority w:val="1"/>
    <w:qFormat/>
    <w:rPr>
      <w:sz w:val="22"/>
      <w:szCs w:val="22"/>
      <w:lang w:val="en-PH"/>
    </w:rPr>
  </w:style>
  <w:style w:type="paragraph" w:styleId="ListParagraph">
    <w:name w:val="List Paragraph"/>
    <w:basedOn w:val="Normal"/>
    <w:uiPriority w:val="34"/>
    <w:qFormat/>
    <w:pPr>
      <w:spacing w:after="0" w:line="240" w:lineRule="auto"/>
      <w:ind w:left="720"/>
      <w:contextualSpacing/>
    </w:pPr>
    <w:rPr>
      <w:rFonts w:eastAsia="Times New Roman"/>
      <w:sz w:val="24"/>
      <w:szCs w:val="24"/>
      <w:lang w:val="en-US"/>
    </w:rPr>
  </w:style>
  <w:style w:type="paragraph" w:customStyle="1" w:styleId="Revision1">
    <w:name w:val="Revision1"/>
    <w:uiPriority w:val="99"/>
    <w:semiHidden/>
    <w:qFormat/>
    <w:rPr>
      <w:rFonts w:ascii="Times New Roman" w:eastAsia="SimSun" w:hAnsi="Times New Roman" w:cs="Times New Roman"/>
      <w:sz w:val="22"/>
      <w:szCs w:val="22"/>
      <w:lang w:val="en-PH"/>
    </w:rPr>
  </w:style>
  <w:style w:type="paragraph" w:customStyle="1" w:styleId="Revision2">
    <w:name w:val="Revision2"/>
    <w:hidden/>
    <w:uiPriority w:val="99"/>
    <w:semiHidden/>
    <w:qFormat/>
    <w:rPr>
      <w:rFonts w:ascii="Times New Roman" w:eastAsia="SimSun" w:hAnsi="Times New Roman" w:cs="Times New Roman"/>
      <w:sz w:val="22"/>
      <w:szCs w:val="22"/>
      <w:lang w:val="en-PH"/>
    </w:rPr>
  </w:style>
  <w:style w:type="paragraph" w:styleId="Revision">
    <w:name w:val="Revision"/>
    <w:hidden/>
    <w:uiPriority w:val="99"/>
    <w:semiHidden/>
    <w:rPr>
      <w:rFonts w:ascii="Times New Roman" w:eastAsia="SimSun" w:hAnsi="Times New Roman" w:cs="Times New Roman"/>
      <w:sz w:val="22"/>
      <w:szCs w:val="22"/>
      <w:lang w:val="en-PH"/>
    </w:rPr>
  </w:style>
  <w:style w:type="paragraph" w:customStyle="1" w:styleId="pf0">
    <w:name w:val="pf0"/>
    <w:basedOn w:val="Normal"/>
    <w:pPr>
      <w:spacing w:before="100" w:beforeAutospacing="1" w:after="100" w:afterAutospacing="1" w:line="240" w:lineRule="auto"/>
    </w:pPr>
    <w:rPr>
      <w:rFonts w:eastAsia="Times New Roman"/>
      <w:sz w:val="24"/>
      <w:szCs w:val="24"/>
      <w:lang w:eastAsia="en-PH"/>
    </w:rPr>
  </w:style>
  <w:style w:type="character" w:customStyle="1" w:styleId="cf01">
    <w:name w:val="cf01"/>
    <w:basedOn w:val="DefaultParagraphFont"/>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5468178">
      <w:bodyDiv w:val="1"/>
      <w:marLeft w:val="0"/>
      <w:marRight w:val="0"/>
      <w:marTop w:val="0"/>
      <w:marBottom w:val="0"/>
      <w:divBdr>
        <w:top w:val="none" w:sz="0" w:space="0" w:color="auto"/>
        <w:left w:val="none" w:sz="0" w:space="0" w:color="auto"/>
        <w:bottom w:val="none" w:sz="0" w:space="0" w:color="auto"/>
        <w:right w:val="none" w:sz="0" w:space="0" w:color="auto"/>
      </w:divBdr>
    </w:div>
    <w:div w:id="1063675470">
      <w:bodyDiv w:val="1"/>
      <w:marLeft w:val="0"/>
      <w:marRight w:val="0"/>
      <w:marTop w:val="0"/>
      <w:marBottom w:val="0"/>
      <w:divBdr>
        <w:top w:val="none" w:sz="0" w:space="0" w:color="auto"/>
        <w:left w:val="none" w:sz="0" w:space="0" w:color="auto"/>
        <w:bottom w:val="none" w:sz="0" w:space="0" w:color="auto"/>
        <w:right w:val="none" w:sz="0" w:space="0" w:color="auto"/>
      </w:divBdr>
    </w:div>
    <w:div w:id="1281646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9A24C-FB53-4348-BDD1-CB28BFA24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29</Pages>
  <Words>5406</Words>
  <Characters>31019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Status of Implementation of Prior Years' Audit Recommendations</vt:lpstr>
    </vt:vector>
  </TitlesOfParts>
  <Company/>
  <LinksUpToDate>false</LinksUpToDate>
  <CharactersWithSpaces>36353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Implementation of Prior Years' Audit Recommendations</dc:title>
  <dc:creator>COA - Manila City, NCR</dc:creator>
  <cp:lastModifiedBy>Ben A. Lazo Jr.</cp:lastModifiedBy>
  <cp:revision>2</cp:revision>
  <cp:lastPrinted>2024-05-30T07:34:00Z</cp:lastPrinted>
  <dcterms:created xsi:type="dcterms:W3CDTF">2023-05-23T05:40:00Z</dcterms:created>
  <dcterms:modified xsi:type="dcterms:W3CDTF">2024-12-12T06:57:00Z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7EEBFB92845E4C02A3BD2DC27A9A5DCA</vt:lpwstr>
  </property>
  <property fmtid="{D5CDD505-2E9C-101B-9397-08002B2CF9AE}" pid="4" name="GrammarlyDocumentId">
    <vt:lpwstr>40100ded940b59b46700d389ad285cbfc93222cffd9c56c3e9b598111ba93579</vt:lpwstr>
  </property>
</Properties>
</file>