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sz w:val="44"/>
          <w:szCs w:val="44"/>
          <w:lang w:eastAsia="zh-CN"/>
        </w:rPr>
      </w:pPr>
    </w:p>
    <w:p>
      <w:pPr>
        <w:jc w:val="center"/>
        <w:rPr>
          <w:rFonts w:hint="eastAsia" w:asciiTheme="minorEastAsia" w:hAnsiTheme="minorEastAsia" w:eastAsiaTheme="minorEastAsia" w:cstheme="minorEastAsia"/>
          <w:sz w:val="44"/>
          <w:szCs w:val="44"/>
          <w:lang w:eastAsia="zh-CN"/>
        </w:rPr>
      </w:pPr>
    </w:p>
    <w:p>
      <w:pPr>
        <w:jc w:val="center"/>
        <w:rPr>
          <w:rFonts w:hint="eastAsia" w:asciiTheme="minorEastAsia" w:hAnsiTheme="minorEastAsia" w:cstheme="minorEastAsia"/>
          <w:sz w:val="44"/>
          <w:szCs w:val="44"/>
        </w:rPr>
      </w:pPr>
      <w:r>
        <w:rPr>
          <w:rFonts w:hint="eastAsia" w:asciiTheme="minorEastAsia" w:hAnsiTheme="minorEastAsia" w:cstheme="minorEastAsia"/>
          <w:sz w:val="44"/>
          <w:szCs w:val="44"/>
        </w:rPr>
        <w:t>香港澳门台湾居民在内地（大陆）参加</w:t>
      </w:r>
    </w:p>
    <w:p>
      <w:pPr>
        <w:jc w:val="center"/>
        <w:rPr>
          <w:rFonts w:ascii="宋体" w:hAnsi="宋体" w:eastAsia="宋体" w:cs="宋体"/>
          <w:sz w:val="36"/>
          <w:szCs w:val="36"/>
          <w:shd w:val="clear" w:color="auto" w:fill="FFFFFF"/>
        </w:rPr>
      </w:pPr>
      <w:bookmarkStart w:id="0" w:name="_GoBack"/>
      <w:bookmarkEnd w:id="0"/>
      <w:r>
        <w:rPr>
          <w:rFonts w:hint="eastAsia" w:asciiTheme="minorEastAsia" w:hAnsiTheme="minorEastAsia" w:cstheme="minorEastAsia"/>
          <w:sz w:val="44"/>
          <w:szCs w:val="44"/>
        </w:rPr>
        <w:t>社会保险暂行办法</w:t>
      </w:r>
      <w:r>
        <w:rPr>
          <w:rFonts w:hint="eastAsia" w:asciiTheme="minorEastAsia" w:hAnsiTheme="minorEastAsia" w:cstheme="minorEastAsia"/>
          <w:sz w:val="44"/>
          <w:szCs w:val="44"/>
          <w:lang w:eastAsia="zh-CN"/>
        </w:rPr>
        <w:t xml:space="preserve">  </w:t>
      </w:r>
    </w:p>
    <w:p>
      <w:pPr>
        <w:ind w:firstLine="640" w:firstLineChars="200"/>
        <w:rPr>
          <w:rFonts w:hint="eastAsia" w:ascii="楷体_GB2312" w:hAnsi="楷体_GB2312" w:eastAsia="楷体_GB2312" w:cs="楷体_GB2312"/>
          <w:color w:val="333333"/>
          <w:sz w:val="32"/>
          <w:szCs w:val="32"/>
          <w:shd w:val="clear" w:color="auto" w:fill="FFFFFF"/>
        </w:rPr>
      </w:pPr>
      <w:r>
        <w:rPr>
          <w:rFonts w:hint="eastAsia" w:ascii="楷体_GB2312" w:hAnsi="楷体_GB2312" w:eastAsia="楷体_GB2312" w:cs="楷体_GB2312"/>
          <w:color w:val="333333"/>
          <w:sz w:val="32"/>
          <w:szCs w:val="32"/>
          <w:shd w:val="clear" w:color="auto" w:fill="FFFFFF"/>
          <w:lang w:val="en-US" w:eastAsia="zh-CN"/>
        </w:rPr>
        <w:t>(2019</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11</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29</w:t>
      </w:r>
      <w:r>
        <w:rPr>
          <w:rFonts w:hint="eastAsia" w:ascii="楷体_GB2312" w:hAnsi="楷体_GB2312" w:eastAsia="楷体_GB2312" w:cs="楷体_GB2312"/>
          <w:color w:val="333333"/>
          <w:sz w:val="32"/>
          <w:szCs w:val="32"/>
          <w:shd w:val="clear" w:color="auto" w:fill="FFFFFF"/>
        </w:rPr>
        <w:t>日</w:t>
      </w:r>
      <w:r>
        <w:rPr>
          <w:rFonts w:hint="eastAsia" w:ascii="楷体_GB2312" w:hAnsi="楷体_GB2312" w:eastAsia="楷体_GB2312" w:cs="楷体_GB2312"/>
          <w:color w:val="333333"/>
          <w:sz w:val="32"/>
          <w:szCs w:val="32"/>
          <w:shd w:val="clear" w:color="auto" w:fill="FFFFFF"/>
          <w:lang w:val="en-US" w:eastAsia="zh-CN"/>
        </w:rPr>
        <w:t>人力资源社会保障部</w:t>
      </w:r>
      <w:r>
        <w:rPr>
          <w:rFonts w:hint="eastAsia" w:ascii="楷体_GB2312" w:hAnsi="楷体_GB2312" w:eastAsia="楷体_GB2312" w:cs="楷体_GB2312"/>
          <w:color w:val="333333"/>
          <w:sz w:val="32"/>
          <w:szCs w:val="32"/>
          <w:shd w:val="clear" w:color="auto" w:fill="FFFFFF"/>
        </w:rPr>
        <w:t>令第4</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号公布</w:t>
      </w:r>
      <w:r>
        <w:rPr>
          <w:rFonts w:hint="eastAsia" w:ascii="楷体_GB2312" w:hAnsi="楷体_GB2312" w:eastAsia="楷体_GB2312" w:cs="楷体_GB2312"/>
          <w:color w:val="333333"/>
          <w:sz w:val="32"/>
          <w:szCs w:val="32"/>
          <w:shd w:val="clear" w:color="auto" w:fill="FFFFFF"/>
          <w:lang w:eastAsia="zh-CN"/>
        </w:rPr>
        <w:t xml:space="preserve">    </w:t>
      </w:r>
      <w:r>
        <w:rPr>
          <w:rFonts w:hint="eastAsia" w:ascii="楷体_GB2312" w:hAnsi="楷体_GB2312" w:eastAsia="楷体_GB2312" w:cs="楷体_GB2312"/>
          <w:color w:val="333333"/>
          <w:sz w:val="32"/>
          <w:szCs w:val="32"/>
          <w:shd w:val="clear" w:color="auto" w:fill="FFFFFF"/>
        </w:rPr>
        <w:t>自</w:t>
      </w:r>
      <w:r>
        <w:rPr>
          <w:rFonts w:hint="eastAsia" w:ascii="楷体_GB2312" w:hAnsi="楷体_GB2312" w:eastAsia="楷体_GB2312" w:cs="楷体_GB2312"/>
          <w:color w:val="333333"/>
          <w:sz w:val="32"/>
          <w:szCs w:val="32"/>
          <w:shd w:val="clear" w:color="auto" w:fill="FFFFFF"/>
          <w:lang w:val="en-US" w:eastAsia="zh-CN"/>
        </w:rPr>
        <w:t>2020</w:t>
      </w:r>
      <w:r>
        <w:rPr>
          <w:rFonts w:hint="eastAsia" w:ascii="楷体_GB2312" w:hAnsi="楷体_GB2312" w:eastAsia="楷体_GB2312" w:cs="楷体_GB2312"/>
          <w:color w:val="333333"/>
          <w:sz w:val="32"/>
          <w:szCs w:val="32"/>
          <w:shd w:val="clear" w:color="auto" w:fill="FFFFFF"/>
        </w:rPr>
        <w:t>年</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月</w:t>
      </w:r>
      <w:r>
        <w:rPr>
          <w:rFonts w:hint="eastAsia" w:ascii="楷体_GB2312" w:hAnsi="楷体_GB2312" w:eastAsia="楷体_GB2312" w:cs="楷体_GB2312"/>
          <w:color w:val="333333"/>
          <w:sz w:val="32"/>
          <w:szCs w:val="32"/>
          <w:shd w:val="clear" w:color="auto" w:fill="FFFFFF"/>
          <w:lang w:val="en-US" w:eastAsia="zh-CN"/>
        </w:rPr>
        <w:t>1</w:t>
      </w:r>
      <w:r>
        <w:rPr>
          <w:rFonts w:hint="eastAsia" w:ascii="楷体_GB2312" w:hAnsi="楷体_GB2312" w:eastAsia="楷体_GB2312" w:cs="楷体_GB2312"/>
          <w:color w:val="333333"/>
          <w:sz w:val="32"/>
          <w:szCs w:val="32"/>
          <w:shd w:val="clear" w:color="auto" w:fill="FFFFFF"/>
        </w:rPr>
        <w:t>日起施行</w:t>
      </w:r>
      <w:r>
        <w:rPr>
          <w:rFonts w:hint="eastAsia" w:ascii="楷体_GB2312" w:hAnsi="楷体_GB2312" w:eastAsia="楷体_GB2312" w:cs="楷体_GB2312"/>
          <w:color w:val="333333"/>
          <w:sz w:val="32"/>
          <w:szCs w:val="32"/>
          <w:shd w:val="clear" w:color="auto" w:fill="FFFFFF"/>
          <w:lang w:val="en-US" w:eastAsia="zh-CN"/>
        </w:rPr>
        <w:t>)</w:t>
      </w:r>
    </w:p>
    <w:p>
      <w:pPr>
        <w:ind w:firstLine="640" w:firstLineChars="200"/>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第一条  </w:t>
      </w:r>
      <w:r>
        <w:rPr>
          <w:rFonts w:hint="eastAsia" w:ascii="仿宋_GB2312" w:hAnsi="仿宋_GB2312" w:eastAsia="仿宋_GB2312" w:cs="仿宋_GB2312"/>
          <w:color w:val="333333"/>
          <w:sz w:val="32"/>
          <w:szCs w:val="32"/>
          <w:shd w:val="clear" w:color="auto" w:fill="FFFFFF"/>
          <w:lang w:eastAsia="zh-CN"/>
        </w:rPr>
        <w:t>为了维护在内地（大陆）就业、居住和就读的香港特别行政区、澳门特别行政区居民中的中国公民和台湾地区居民（以下简称港澳台居民）依法参加社会保险和享受社会保险待遇的合法权益，加强社会保险管理，根据《中华人民共和国社会保险法》（以下简称社会保险法）等规定，制定本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第二条  </w:t>
      </w:r>
      <w:r>
        <w:rPr>
          <w:rFonts w:hint="eastAsia" w:ascii="仿宋_GB2312" w:hAnsi="仿宋_GB2312" w:eastAsia="仿宋_GB2312" w:cs="仿宋_GB2312"/>
          <w:color w:val="333333"/>
          <w:sz w:val="32"/>
          <w:szCs w:val="32"/>
          <w:shd w:val="clear" w:color="auto" w:fill="FFFFFF"/>
          <w:lang w:eastAsia="zh-CN"/>
        </w:rPr>
        <w:t>在内地（大陆）依法注册或者登记的企业、事业单位、社会组织、有雇工的个体经济组织等用人单位（以下统称用人单位）依法聘用、招用的港澳台居民，应当依法参加职工基本养老保险、职工基本医疗保险、工伤保险、失业保险和生育保险，由用人单位和本人按照规定缴纳社会保险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在内地（大陆）依法从事个体工商经营的港澳台居民，可以按照注册地有关规定参加职工基本养老保险和职工基本医疗保险；在内地（大陆）灵活就业且办理港澳台居民居住证的港澳台居民，可以按照居住地有关规定参加职工基本养老保险和职工基本医疗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在内地（大陆）居住且办理港澳台居民居住证的未就业港澳台居民，可以在居住地按照规定参加城乡居民基本养老保险和城乡居民基本医疗保险。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在内地（大陆）就读的港澳台大学生，与内地（大陆）大学生执行同等医疗保障政策，按规定参加高等教育机构所在地城乡居民基本医疗保险。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第三条  </w:t>
      </w:r>
      <w:r>
        <w:rPr>
          <w:rFonts w:hint="eastAsia" w:ascii="仿宋_GB2312" w:hAnsi="仿宋_GB2312" w:eastAsia="仿宋_GB2312" w:cs="仿宋_GB2312"/>
          <w:color w:val="333333"/>
          <w:sz w:val="32"/>
          <w:szCs w:val="32"/>
          <w:shd w:val="clear" w:color="auto" w:fill="FFFFFF"/>
          <w:lang w:eastAsia="zh-CN"/>
        </w:rPr>
        <w:t>用人单位依法聘用、招用港澳台居民的，应当持港澳台居民有效证件，以及劳动合同、聘用合同等证明材料，为其办理社会保险登记。在内地（大陆）依法从事个体工商经营和灵活就业的港澳台居民，按照注册地（居住地）有关规定办理社会保险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已经办理港澳台居民居住证且符合在内地（大陆）参加城乡居民基本养老保险和城乡居民基本医疗保险条件的港澳台居民，持港澳台居民居住证在居住地办理社会保险登记。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第四条  </w:t>
      </w:r>
      <w:r>
        <w:rPr>
          <w:rFonts w:hint="eastAsia" w:ascii="仿宋_GB2312" w:hAnsi="仿宋_GB2312" w:eastAsia="仿宋_GB2312" w:cs="仿宋_GB2312"/>
          <w:color w:val="333333"/>
          <w:sz w:val="32"/>
          <w:szCs w:val="32"/>
          <w:shd w:val="clear" w:color="auto" w:fill="FFFFFF"/>
          <w:lang w:eastAsia="zh-CN"/>
        </w:rPr>
        <w:t>港澳台居民办理社会保险的各项业务流程与内地（大陆）居民一致。社会保险经办机构或者社会保障卡管理机构应当为港澳台居民建立社会保障号码，并发放社会保障卡。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港澳台居民在办理居住证时取得的公民身份号码作为其社会保障号码；没有公民身份号码的港澳居民的社会保障号码，由社会保险经办机构或者社会保障卡管理机构按照国家统一规定编制。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第五条  </w:t>
      </w:r>
      <w:r>
        <w:rPr>
          <w:rFonts w:hint="eastAsia" w:ascii="仿宋_GB2312" w:hAnsi="仿宋_GB2312" w:eastAsia="仿宋_GB2312" w:cs="仿宋_GB2312"/>
          <w:color w:val="333333"/>
          <w:sz w:val="32"/>
          <w:szCs w:val="32"/>
          <w:shd w:val="clear" w:color="auto" w:fill="FFFFFF"/>
          <w:lang w:eastAsia="zh-CN"/>
        </w:rPr>
        <w:t>参加社会保险的港澳台居民，依法享受社会保险待遇。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第六条  </w:t>
      </w:r>
      <w:r>
        <w:rPr>
          <w:rFonts w:hint="eastAsia" w:ascii="仿宋_GB2312" w:hAnsi="仿宋_GB2312" w:eastAsia="仿宋_GB2312" w:cs="仿宋_GB2312"/>
          <w:color w:val="333333"/>
          <w:sz w:val="32"/>
          <w:szCs w:val="32"/>
          <w:shd w:val="clear" w:color="auto" w:fill="FFFFFF"/>
          <w:lang w:eastAsia="zh-CN"/>
        </w:rPr>
        <w:t>参加职工基本养老保险的港澳台居民达到法定退休年龄时,累计缴费不足15年的，可以延长缴费至满15年。社会保险法实施前参保、延长缴费5年后仍不足15年的，可以一次性缴费至满15年。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参加城乡居民基本养老保险的港澳台居民，符合领取待遇条件的，在居住地按照有关规定领取城乡居民基本养老保险待遇。达到待遇领取年龄时，累计缴费不足15年的，可以按照有关规定延长缴费或者补缴。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职工基本医疗保险的港澳台居民，达到法定退休年龄时累计缴费达到国家规定年限的，退休后不再缴纳基本医疗保险费，按照国家规定享受基本医疗保险待遇；未达到国家规定年限的，可以缴费至国家规定年限。退休人员享受基本医疗保险待遇的缴费年限按照各地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参加城乡居民基本医疗保险的港澳台居民按照与所在统筹地区城乡居民同等标准缴费，并享受同等的基本医疗保险待遇。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参加基本医疗保险的港澳台居民，在境外就医所发生的医疗费用不纳入基本医疗保险基金支付范围。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第七条  </w:t>
      </w:r>
      <w:r>
        <w:rPr>
          <w:rFonts w:hint="eastAsia" w:ascii="仿宋_GB2312" w:hAnsi="仿宋_GB2312" w:eastAsia="仿宋_GB2312" w:cs="仿宋_GB2312"/>
          <w:color w:val="333333"/>
          <w:sz w:val="32"/>
          <w:szCs w:val="32"/>
          <w:shd w:val="clear" w:color="auto" w:fill="FFFFFF"/>
          <w:lang w:eastAsia="zh-CN"/>
        </w:rPr>
        <w:t>港澳台居民在达到规定的领取养老金条件前离开内地（大陆）的，其社会保险个人账户予以保留，再次来内地（大陆）就业、居住并继续缴费的，缴费年限累计计算；经本人书面申请终止社会保险关系的，可以将其社会保险个人账户储存额一次性支付给本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已获得香港、澳门、台湾居民身份的原内地（大陆）居民，离开内地（大陆）时选择保留社会保险关系的，返回内地（大陆）就业、居住并继续参保时，原缴费年限合并计算；离开内地（大陆）时已经选择终止社会保险关系的，原缴费年限不再合并计算，可以将其社会保险个人账户储存额一次性支付给本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第八条  </w:t>
      </w:r>
      <w:r>
        <w:rPr>
          <w:rFonts w:hint="eastAsia" w:ascii="仿宋_GB2312" w:hAnsi="仿宋_GB2312" w:eastAsia="仿宋_GB2312" w:cs="仿宋_GB2312"/>
          <w:color w:val="333333"/>
          <w:sz w:val="32"/>
          <w:szCs w:val="32"/>
          <w:shd w:val="clear" w:color="auto" w:fill="FFFFFF"/>
          <w:lang w:eastAsia="zh-CN"/>
        </w:rPr>
        <w:t>参加社会保险的港澳台居民在内地（大陆）跨统筹地区流动办理社会保险关系转移时，按照国家有关规定执行。港澳台居民参加企业职工基本养老保险的，不适用建立临时基本养老保险缴费账户的相关规定。已经领取养老保险待遇的，不再办理基本养老保险关系转移接续手续。已经享受退休人员医疗保险待遇的，不再办理基本医疗保险关系转移接续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职工基本养老保险的港澳台居民跨省流动就业的，应当转移基本养老保险关系。达到待遇领取条件时，在其基本养老保险关系所在地累计缴费年限满10年的，在该地办理待遇领取手续；在其基本养老保险关系所在地累计缴费年限不满10年的，将其基本养老保险关系转回上一个缴费年限满10年的参保地办理待遇领取手续；在各参保地累计缴费年限均不满10年的，由其缴费年限最长的参保地负责归集基本养老保险关系及相应资金，办理待遇领取手续，并支付基本养老保险待遇；如有多个缴费年限相同的最长参保地，则由其最后一个缴费年限最长的参保地负责归集基本养老保险关系及相应资金，办理待遇领取手续，并支付基本养老保险待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参加职工基本养老保险的港澳台居民跨省流动就业，达到法定退休年龄时累计缴费不足15年的，按照本条第二款有关待遇领取地的规定确定继续缴费地后，按照本办法第六条第一款办理。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第九条  </w:t>
      </w:r>
      <w:r>
        <w:rPr>
          <w:rFonts w:hint="eastAsia" w:ascii="仿宋_GB2312" w:hAnsi="仿宋_GB2312" w:eastAsia="仿宋_GB2312" w:cs="仿宋_GB2312"/>
          <w:color w:val="333333"/>
          <w:sz w:val="32"/>
          <w:szCs w:val="32"/>
          <w:shd w:val="clear" w:color="auto" w:fill="FFFFFF"/>
          <w:lang w:eastAsia="zh-CN"/>
        </w:rPr>
        <w:t>按月领取基本养老保险、工伤保险待遇的港澳台居民，应当按照社会保险经办机构的规定，办理领取待遇资格认证。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按月领取基本养老保险、工伤保险、失业保险待遇的港澳台居民丧失领取资格条件后，本人或者其亲属应当于1个月内向社会保险经办机构如实报告情况。因未主动报告而多领取的待遇应当及时退还社会保险经办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　第十条  </w:t>
      </w:r>
      <w:r>
        <w:rPr>
          <w:rFonts w:hint="eastAsia" w:ascii="仿宋_GB2312" w:hAnsi="仿宋_GB2312" w:eastAsia="仿宋_GB2312" w:cs="仿宋_GB2312"/>
          <w:color w:val="333333"/>
          <w:sz w:val="32"/>
          <w:szCs w:val="32"/>
          <w:shd w:val="clear" w:color="auto" w:fill="FFFFFF"/>
          <w:lang w:eastAsia="zh-CN"/>
        </w:rPr>
        <w:t>各级财政对在内地（大陆）参加城乡居民基本养老保险和城乡居民基本医疗保险（港澳台大学生除外）的港澳台居民，按照与所在统筹地区城乡居民相同的标准给予补助。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各级财政对港澳台大学生参加城乡居民基本医疗保险补助政策按照有关规定执行。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　第十一条  </w:t>
      </w:r>
      <w:r>
        <w:rPr>
          <w:rFonts w:hint="eastAsia" w:ascii="仿宋_GB2312" w:hAnsi="仿宋_GB2312" w:eastAsia="仿宋_GB2312" w:cs="仿宋_GB2312"/>
          <w:color w:val="333333"/>
          <w:sz w:val="32"/>
          <w:szCs w:val="32"/>
          <w:shd w:val="clear" w:color="auto" w:fill="FFFFFF"/>
          <w:lang w:eastAsia="zh-CN"/>
        </w:rPr>
        <w:t>已在香港、澳门、台湾参加当地社会保险，并继续保留社会保险关系的港澳台居民，可以持相关授权机构出具的证明，不在内地（大陆）参加基本养老保险和失业保险。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　第十二条  </w:t>
      </w:r>
      <w:r>
        <w:rPr>
          <w:rFonts w:hint="eastAsia" w:ascii="仿宋_GB2312" w:hAnsi="仿宋_GB2312" w:eastAsia="仿宋_GB2312" w:cs="仿宋_GB2312"/>
          <w:color w:val="333333"/>
          <w:sz w:val="32"/>
          <w:szCs w:val="32"/>
          <w:shd w:val="clear" w:color="auto" w:fill="FFFFFF"/>
          <w:lang w:eastAsia="zh-CN"/>
        </w:rPr>
        <w:t>内地（大陆）与香港、澳门、台湾有关机构就社会保险事宜作出具体安排的，按照相关规定办理。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第十三条  </w:t>
      </w:r>
      <w:r>
        <w:rPr>
          <w:rFonts w:hint="eastAsia" w:ascii="仿宋_GB2312" w:hAnsi="仿宋_GB2312" w:eastAsia="仿宋_GB2312" w:cs="仿宋_GB2312"/>
          <w:color w:val="333333"/>
          <w:sz w:val="32"/>
          <w:szCs w:val="32"/>
          <w:shd w:val="clear" w:color="auto" w:fill="FFFFFF"/>
          <w:lang w:eastAsia="zh-CN"/>
        </w:rPr>
        <w:t>社会保险行政部门或者社会保险费征收机构应当按照社会保险法的规定，对港澳台居民参加社会保险的情况进行监督检查。用人单位未依法为聘用、招用的港澳台居民办理社会保险登记或者未依法为其缴纳社会保险费的，按照社会保险法等法律、行政法规和有关规章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仿宋_GB2312" w:hAnsi="仿宋_GB2312" w:eastAsia="仿宋_GB2312" w:cs="仿宋_GB2312"/>
          <w:color w:val="333333"/>
          <w:sz w:val="32"/>
          <w:szCs w:val="32"/>
          <w:shd w:val="clear" w:color="auto" w:fill="FFFFFF"/>
          <w:lang w:eastAsia="zh-CN"/>
        </w:rPr>
      </w:pPr>
      <w:r>
        <w:rPr>
          <w:rFonts w:hint="eastAsia" w:ascii="黑体" w:hAnsi="黑体" w:eastAsia="黑体" w:cs="黑体"/>
          <w:color w:val="333333"/>
          <w:sz w:val="32"/>
          <w:szCs w:val="32"/>
          <w:shd w:val="clear" w:color="auto" w:fill="FFFFFF"/>
          <w:lang w:eastAsia="zh-CN"/>
        </w:rPr>
        <w:t xml:space="preserve">　　第十四条  </w:t>
      </w:r>
      <w:r>
        <w:rPr>
          <w:rFonts w:hint="eastAsia" w:ascii="仿宋_GB2312" w:hAnsi="仿宋_GB2312" w:eastAsia="仿宋_GB2312" w:cs="仿宋_GB2312"/>
          <w:color w:val="333333"/>
          <w:sz w:val="32"/>
          <w:szCs w:val="32"/>
          <w:shd w:val="clear" w:color="auto" w:fill="FFFFFF"/>
          <w:lang w:eastAsia="zh-CN"/>
        </w:rPr>
        <w:t>办法所称“港澳台居民有效证件”，指港澳居民来往内地通行证、港澳台居民居住证。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楷体_GB2312" w:hAnsi="楷体_GB2312" w:eastAsia="楷体_GB2312" w:cs="楷体_GB2312"/>
          <w:color w:val="333333"/>
          <w:sz w:val="32"/>
          <w:szCs w:val="32"/>
          <w:shd w:val="clear" w:color="auto" w:fill="FFFFFF"/>
          <w:lang w:eastAsia="zh-CN"/>
        </w:rPr>
      </w:pPr>
      <w:r>
        <w:rPr>
          <w:rFonts w:hint="eastAsia" w:ascii="仿宋_GB2312" w:hAnsi="仿宋_GB2312" w:eastAsia="仿宋_GB2312" w:cs="仿宋_GB2312"/>
          <w:color w:val="333333"/>
          <w:sz w:val="32"/>
          <w:szCs w:val="32"/>
          <w:shd w:val="clear" w:color="auto" w:fill="FFFFFF"/>
          <w:lang w:eastAsia="zh-CN"/>
        </w:rPr>
        <w:t>　　</w:t>
      </w:r>
      <w:r>
        <w:rPr>
          <w:rFonts w:hint="eastAsia" w:ascii="黑体" w:hAnsi="黑体" w:eastAsia="黑体" w:cs="黑体"/>
          <w:color w:val="333333"/>
          <w:sz w:val="32"/>
          <w:szCs w:val="32"/>
          <w:shd w:val="clear" w:color="auto" w:fill="FFFFFF"/>
          <w:lang w:eastAsia="zh-CN"/>
        </w:rPr>
        <w:t xml:space="preserve">第十五条  </w:t>
      </w:r>
      <w:r>
        <w:rPr>
          <w:rFonts w:hint="eastAsia" w:ascii="仿宋_GB2312" w:hAnsi="仿宋_GB2312" w:eastAsia="仿宋_GB2312" w:cs="仿宋_GB2312"/>
          <w:color w:val="333333"/>
          <w:sz w:val="32"/>
          <w:szCs w:val="32"/>
          <w:shd w:val="clear" w:color="auto" w:fill="FFFFFF"/>
          <w:lang w:eastAsia="zh-CN"/>
        </w:rPr>
        <w:t>本办法自2020年1月1日起施行。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eastAsia" w:ascii="楷体_GB2312" w:hAnsi="楷体_GB2312" w:eastAsia="楷体_GB2312" w:cs="楷体_GB2312"/>
          <w:color w:val="333333"/>
          <w:sz w:val="32"/>
          <w:szCs w:val="32"/>
          <w:shd w:val="clear" w:color="auto" w:fill="FFFFFF"/>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333333"/>
          <w:sz w:val="32"/>
          <w:szCs w:val="32"/>
          <w:shd w:val="clear" w:color="auto" w:fill="FFFFFF"/>
          <w:lang w:eastAsia="zh-CN"/>
        </w:rPr>
      </w:pPr>
    </w:p>
    <w:sectPr>
      <w:headerReference r:id="rId3" w:type="default"/>
      <w:footerReference r:id="rId4" w:type="default"/>
      <w:pgSz w:w="11906" w:h="16838"/>
      <w:pgMar w:top="1962" w:right="1474" w:bottom="1848" w:left="1587"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小标宋简体">
    <w:altName w:val="微软雅黑"/>
    <w:panose1 w:val="00000000000000000000"/>
    <w:charset w:val="86"/>
    <w:family w:val="auto"/>
    <w:pitch w:val="default"/>
    <w:sig w:usb0="00000000" w:usb1="00000000" w:usb2="00000000" w:usb3="00000000" w:csb0="00040000" w:csb1="00000000"/>
  </w:font>
  <w:font w:name="楷体_GB2312">
    <w:altName w:val="楷体"/>
    <w:panose1 w:val="02010609030101010101"/>
    <w:charset w:val="86"/>
    <w:family w:val="roman"/>
    <w:pitch w:val="default"/>
    <w:sig w:usb0="00000000" w:usb1="00000000" w:usb2="00000010" w:usb3="00000000" w:csb0="00040000" w:csb1="00000000"/>
  </w:font>
  <w:font w:name="仿宋_GB2312">
    <w:altName w:val="仿宋"/>
    <w:panose1 w:val="02010609030101010101"/>
    <w:charset w:val="86"/>
    <w:family w:val="roma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仿宋_GB2312">
    <w:altName w:val="仿宋"/>
    <w:panose1 w:val="02010609030101010101"/>
    <w:charset w:val="86"/>
    <w:family w:val="swiss"/>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仿宋_GB2312">
    <w:altName w:val="仿宋"/>
    <w:panose1 w:val="02010609030101010101"/>
    <w:charset w:val="86"/>
    <w:family w:val="decorative"/>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4788" w:leftChars="2280" w:firstLine="6400" w:firstLineChars="2000"/>
      <w:rPr>
        <w:rFonts w:eastAsia="仿宋"/>
        <w:sz w:val="32"/>
        <w:szCs w:val="48"/>
      </w:rPr>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4"/>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- 1 -</w:t>
                    </w:r>
                    <w:r>
                      <w:rPr>
                        <w:rFonts w:hint="eastAsia" w:ascii="宋体" w:hAnsi="宋体" w:eastAsia="宋体" w:cs="宋体"/>
                        <w:sz w:val="28"/>
                        <w:szCs w:val="28"/>
                      </w:rPr>
                      <w:fldChar w:fldCharType="end"/>
                    </w:r>
                  </w:p>
                </w:txbxContent>
              </v:textbox>
            </v:shape>
          </w:pict>
        </mc:Fallback>
      </mc:AlternateContent>
    </w:r>
    <w:r>
      <w:rPr>
        <w:rFonts w:hint="eastAsia" w:eastAsia="仿宋"/>
        <w:sz w:val="32"/>
        <w:szCs w:val="48"/>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r>
      <w:rPr>
        <w:color w:val="FAFAFA"/>
        <w:sz w:val="3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74295</wp:posOffset>
              </wp:positionV>
              <wp:extent cx="5616575" cy="1905"/>
              <wp:effectExtent l="0" t="0" r="0" b="0"/>
              <wp:wrapNone/>
              <wp:docPr id="3" name="直接连接符 3"/>
              <wp:cNvGraphicFramePr/>
              <a:graphic xmlns:a="http://schemas.openxmlformats.org/drawingml/2006/main">
                <a:graphicData uri="http://schemas.microsoft.com/office/word/2010/wordprocessingShape">
                  <wps:wsp>
                    <wps:cNvCnPr/>
                    <wps:spPr>
                      <a:xfrm>
                        <a:off x="0" y="0"/>
                        <a:ext cx="5616575" cy="1905"/>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pt;margin-top:5.85pt;height:0.15pt;width:442.25pt;z-index:251661312;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zp6XR1AAAAAYBAAAPAAAAAAAAAAEAIAAAACIA&#10;AABkcnMvZG93bnJldi54bWxQSwECFAAUAAAACACHTuJAJ6qAjdQBAAB1AwAADgAAAAAAAAABACAA&#10;AAAjAQAAZHJzL2Uyb0RvYy54bWxQSwUGAAAAAAYABgBZAQAAaQUAAAAA&#10;">
              <v:fill on="f" focussize="0,0"/>
              <v:stroke weight="1.75pt" color="#005192" miterlimit="8" joinstyle="miter"/>
              <v:imagedata o:title=""/>
              <o:lock v:ext="edit" aspectratio="f"/>
            </v:line>
          </w:pict>
        </mc:Fallback>
      </mc:AlternateContent>
    </w:r>
    <w:r>
      <w:rPr>
        <w:rFonts w:hint="eastAsia" w:eastAsia="仿宋"/>
        <w:color w:val="FAFAFA"/>
        <w:sz w:val="32"/>
        <w:szCs w:val="48"/>
      </w:rPr>
      <w:t>X</w:t>
    </w:r>
    <w:r>
      <w:rPr>
        <w:rFonts w:hint="eastAsia" w:ascii="宋体" w:hAnsi="宋体" w:eastAsia="宋体" w:cs="宋体"/>
        <w:b/>
        <w:bCs/>
        <w:color w:val="005192"/>
        <w:sz w:val="28"/>
        <w:szCs w:val="44"/>
        <w:lang w:val="en-US" w:eastAsia="zh-CN"/>
      </w:rPr>
      <w:t>人力资源社会保障部</w:t>
    </w:r>
    <w:r>
      <w:rPr>
        <w:rFonts w:hint="eastAsia" w:ascii="宋体" w:hAnsi="宋体" w:eastAsia="宋体" w:cs="宋体"/>
        <w:b/>
        <w:bCs/>
        <w:color w:val="005192"/>
        <w:sz w:val="28"/>
        <w:szCs w:val="44"/>
      </w:rPr>
      <w:t>发布</w:t>
    </w:r>
    <w:r>
      <w:rPr>
        <w:rFonts w:hint="eastAsia" w:ascii="宋体" w:hAnsi="宋体" w:eastAsia="宋体" w:cs="宋体"/>
        <w:b/>
        <w:bCs/>
        <w:color w:val="005192"/>
        <w:sz w:val="28"/>
        <w:szCs w:val="44"/>
        <w:lang w:eastAsia="zh-CN"/>
      </w:rPr>
      <w:t xml:space="preserve">          </w:t>
    </w:r>
  </w:p>
  <w:p>
    <w:pPr>
      <w:pStyle w:val="5"/>
      <w:wordWrap w:val="0"/>
      <w:ind w:left="4788" w:leftChars="2280" w:firstLine="6400" w:firstLineChars="2000"/>
      <w:jc w:val="right"/>
      <w:rPr>
        <w:rFonts w:hint="eastAsia" w:ascii="宋体" w:hAnsi="宋体" w:eastAsia="宋体" w:cs="宋体"/>
        <w:b/>
        <w:bCs/>
        <w:color w:val="005192"/>
        <w:sz w:val="28"/>
        <w:szCs w:val="44"/>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extAlignment w:val="center"/>
      <w:rPr>
        <w:rFonts w:ascii="宋体" w:hAnsi="宋体" w:eastAsia="宋体" w:cs="宋体"/>
        <w:b/>
        <w:bCs/>
        <w:color w:val="005192"/>
        <w:sz w:val="32"/>
      </w:rPr>
    </w:pPr>
    <w:r>
      <w:rPr>
        <w:rFonts w:ascii="宋体" w:hAnsi="宋体" w:eastAsia="宋体" w:cs="宋体"/>
        <w:b/>
        <w:bCs/>
        <w:color w:val="005192"/>
        <w:sz w:val="32"/>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690245</wp:posOffset>
              </wp:positionV>
              <wp:extent cx="5620385" cy="0"/>
              <wp:effectExtent l="0" t="0" r="0" b="0"/>
              <wp:wrapNone/>
              <wp:docPr id="2" name="直接连接符 2"/>
              <wp:cNvGraphicFramePr/>
              <a:graphic xmlns:a="http://schemas.openxmlformats.org/drawingml/2006/main">
                <a:graphicData uri="http://schemas.microsoft.com/office/word/2010/wordprocessingShape">
                  <wps:wsp>
                    <wps:cNvCnPr/>
                    <wps:spPr>
                      <a:xfrm>
                        <a:off x="4133850" y="864870"/>
                        <a:ext cx="5620385" cy="0"/>
                      </a:xfrm>
                      <a:prstGeom prst="line">
                        <a:avLst/>
                      </a:prstGeom>
                      <a:noFill/>
                      <a:ln w="22225" cap="flat" cmpd="sng" algn="ctr">
                        <a:solidFill>
                          <a:srgbClr val="005192"/>
                        </a:solidFill>
                        <a:prstDash val="solid"/>
                        <a:miter lim="800000"/>
                      </a:ln>
                      <a:effectLst/>
                    </wps:spPr>
                    <wps:bodyPr/>
                  </wps:wsp>
                </a:graphicData>
              </a:graphic>
            </wp:anchor>
          </w:drawing>
        </mc:Choice>
        <mc:Fallback>
          <w:pict>
            <v:line id="_x0000_s1026" o:spid="_x0000_s1026" o:spt="20" style="position:absolute;left:0pt;margin-left:-0.3pt;margin-top:54.35pt;height:0pt;width:442.55pt;z-index:251660288;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R0DW1QAAAAkBAAAPAAAAAAAA&#10;AAEAIAAAACIAAABkcnMvZG93bnJldi54bWxQSwECFAAUAAAACACHTuJA1M5IVdwBAAB9AwAADgAA&#10;AAAAAAABACAAAAAkAQAAZHJzL2Uyb0RvYy54bWxQSwUGAAAAAAYABgBZAQAAcgUAAAAA&#10;">
              <v:fill on="f" focussize="0,0"/>
              <v:stroke weight="1.75pt" color="#005192" miterlimit="8" joinstyle="miter"/>
              <v:imagedata o:title=""/>
              <o:lock v:ext="edit" aspectratio="f"/>
            </v:line>
          </w:pict>
        </mc:Fallback>
      </mc:AlternateContent>
    </w:r>
  </w:p>
  <w:p>
    <w:pPr>
      <w:pStyle w:val="5"/>
      <w:textAlignment w:val="center"/>
      <w:rPr>
        <w:rFonts w:ascii="宋体" w:hAnsi="宋体" w:eastAsia="宋体" w:cs="宋体"/>
        <w:b/>
        <w:bCs/>
        <w:color w:val="005192"/>
        <w:sz w:val="32"/>
        <w:szCs w:val="32"/>
      </w:rPr>
    </w:pPr>
    <w:r>
      <w:rPr>
        <w:rFonts w:hint="eastAsia" w:ascii="宋体" w:hAnsi="宋体" w:eastAsia="宋体" w:cs="宋体"/>
        <w:b/>
        <w:bCs/>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hint="eastAsia" w:ascii="宋体" w:hAnsi="宋体" w:eastAsia="宋体" w:cs="宋体"/>
        <w:b/>
        <w:bCs/>
        <w:color w:val="005192"/>
        <w:sz w:val="32"/>
        <w:szCs w:val="32"/>
        <w:lang w:val="en-US" w:eastAsia="zh-CN"/>
      </w:rPr>
      <w:t>人力资源社会保障部</w:t>
    </w:r>
    <w:r>
      <w:rPr>
        <w:rFonts w:hint="eastAsia" w:ascii="宋体" w:hAnsi="宋体" w:eastAsia="宋体" w:cs="宋体"/>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2F24"/>
    <w:rsid w:val="00172A27"/>
    <w:rsid w:val="00306145"/>
    <w:rsid w:val="00C853D2"/>
    <w:rsid w:val="019E71BD"/>
    <w:rsid w:val="04B679C3"/>
    <w:rsid w:val="080F63D8"/>
    <w:rsid w:val="09341458"/>
    <w:rsid w:val="0B0912D7"/>
    <w:rsid w:val="137D464B"/>
    <w:rsid w:val="152D2DCA"/>
    <w:rsid w:val="1D28053C"/>
    <w:rsid w:val="1DEC284C"/>
    <w:rsid w:val="1E6523AC"/>
    <w:rsid w:val="22440422"/>
    <w:rsid w:val="27715D8C"/>
    <w:rsid w:val="2D7A40F3"/>
    <w:rsid w:val="31A15F24"/>
    <w:rsid w:val="395347B5"/>
    <w:rsid w:val="39A232A0"/>
    <w:rsid w:val="39E745AA"/>
    <w:rsid w:val="3B5A6BBB"/>
    <w:rsid w:val="3EDA13A6"/>
    <w:rsid w:val="42F058B7"/>
    <w:rsid w:val="436109F6"/>
    <w:rsid w:val="43C9400D"/>
    <w:rsid w:val="441A38D4"/>
    <w:rsid w:val="460E1150"/>
    <w:rsid w:val="4BC77339"/>
    <w:rsid w:val="4C9236C5"/>
    <w:rsid w:val="505C172E"/>
    <w:rsid w:val="50E71E92"/>
    <w:rsid w:val="52F46F0B"/>
    <w:rsid w:val="53D8014D"/>
    <w:rsid w:val="55E064E0"/>
    <w:rsid w:val="572C6D10"/>
    <w:rsid w:val="5DC34279"/>
    <w:rsid w:val="608816D1"/>
    <w:rsid w:val="60EF4E7F"/>
    <w:rsid w:val="665233C1"/>
    <w:rsid w:val="66833654"/>
    <w:rsid w:val="6AD9688B"/>
    <w:rsid w:val="6D0E3F22"/>
    <w:rsid w:val="7C9011D9"/>
    <w:rsid w:val="7CAF571D"/>
    <w:rsid w:val="7DC651C5"/>
    <w:rsid w:val="7FCC2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9"/>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annotation reference"/>
    <w:basedOn w:val="6"/>
    <w:uiPriority w:val="0"/>
    <w:rPr>
      <w:sz w:val="21"/>
      <w:szCs w:val="21"/>
    </w:rPr>
  </w:style>
  <w:style w:type="character" w:customStyle="1" w:styleId="9">
    <w:name w:val="批注框文本 Char"/>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Pages>
  <Words>111</Words>
  <Characters>636</Characters>
  <Lines>5</Lines>
  <Paragraphs>1</Paragraphs>
  <ScaleCrop>false</ScaleCrop>
  <LinksUpToDate>false</LinksUpToDate>
  <CharactersWithSpaces>746</CharactersWithSpaces>
  <Application>WPS Office_10.8.0.5472_F1E327BC-269C-435d-A152-05C5408002CA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user</cp:lastModifiedBy>
  <cp:lastPrinted>2021-10-26T03:30:00Z</cp:lastPrinted>
  <dcterms:modified xsi:type="dcterms:W3CDTF">2021-12-23T09:39:22Z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y fmtid="{D5CDD505-2E9C-101B-9397-08002B2CF9AE}" pid="3" name="ICV">
    <vt:lpwstr>48C61CB29D3F4D9384F5922CF0F7FFB4</vt:lpwstr>
  </property>
</Properties>
</file>