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09" w:rsidRDefault="00964909">
      <w:pPr>
        <w:jc w:val="center"/>
        <w:rPr>
          <w:rFonts w:asciiTheme="minorEastAsia" w:hAnsiTheme="minorEastAsia" w:cstheme="minorEastAsia"/>
          <w:sz w:val="44"/>
          <w:szCs w:val="44"/>
        </w:rPr>
      </w:pPr>
    </w:p>
    <w:p w:rsidR="00964909" w:rsidRDefault="00964909">
      <w:pPr>
        <w:rPr>
          <w:rFonts w:asciiTheme="minorEastAsia" w:hAnsiTheme="minorEastAsia" w:cstheme="minorEastAsia"/>
          <w:sz w:val="44"/>
          <w:szCs w:val="44"/>
        </w:rPr>
      </w:pPr>
    </w:p>
    <w:p w:rsidR="00964909" w:rsidRDefault="0005347F">
      <w:pPr>
        <w:jc w:val="center"/>
        <w:rPr>
          <w:rFonts w:ascii="宋体" w:eastAsia="宋体" w:hAnsi="宋体" w:cs="宋体"/>
          <w:sz w:val="36"/>
          <w:szCs w:val="36"/>
          <w:shd w:val="clear" w:color="auto" w:fill="FFFFFF"/>
        </w:rPr>
      </w:pPr>
      <w:r>
        <w:rPr>
          <w:rFonts w:asciiTheme="minorEastAsia" w:hAnsiTheme="minorEastAsia" w:cstheme="minorEastAsia"/>
          <w:sz w:val="44"/>
          <w:szCs w:val="44"/>
        </w:rPr>
        <w:t>违反《劳动法》有关劳动合同规定的赔偿办法</w:t>
      </w:r>
    </w:p>
    <w:p w:rsidR="00964909" w:rsidRDefault="0005347F">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(1995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5</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10</w:t>
      </w:r>
      <w:r>
        <w:rPr>
          <w:rFonts w:ascii="楷体_GB2312" w:eastAsia="楷体_GB2312" w:hAnsi="楷体_GB2312" w:cs="楷体_GB2312" w:hint="eastAsia"/>
          <w:color w:val="333333"/>
          <w:sz w:val="32"/>
          <w:szCs w:val="32"/>
          <w:shd w:val="clear" w:color="auto" w:fill="FFFFFF"/>
        </w:rPr>
        <w:t>日</w:t>
      </w:r>
      <w:r>
        <w:rPr>
          <w:rFonts w:ascii="楷体_GB2312" w:eastAsia="楷体_GB2312" w:hAnsi="楷体_GB2312" w:cs="楷体_GB2312"/>
          <w:color w:val="333333"/>
          <w:sz w:val="32"/>
          <w:szCs w:val="32"/>
          <w:shd w:val="clear" w:color="auto" w:fill="FFFFFF"/>
        </w:rPr>
        <w:t>劳部发〔</w:t>
      </w:r>
      <w:r>
        <w:rPr>
          <w:rFonts w:ascii="楷体_GB2312" w:eastAsia="楷体_GB2312" w:hAnsi="楷体_GB2312" w:cs="楷体_GB2312"/>
          <w:color w:val="333333"/>
          <w:sz w:val="32"/>
          <w:szCs w:val="32"/>
          <w:shd w:val="clear" w:color="auto" w:fill="FFFFFF"/>
        </w:rPr>
        <w:t>1995</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223</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自公布</w:t>
      </w:r>
      <w:r>
        <w:rPr>
          <w:rFonts w:ascii="楷体_GB2312" w:eastAsia="楷体_GB2312" w:hAnsi="楷体_GB2312" w:cs="楷体_GB2312"/>
          <w:color w:val="333333"/>
          <w:sz w:val="32"/>
          <w:szCs w:val="32"/>
          <w:shd w:val="clear" w:color="auto" w:fill="FFFFFF"/>
        </w:rPr>
        <w:t>之日起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964909" w:rsidRDefault="00964909">
      <w:pPr>
        <w:rPr>
          <w:rFonts w:ascii="宋体" w:eastAsia="宋体" w:hAnsi="宋体" w:cs="宋体"/>
          <w:color w:val="333333"/>
          <w:sz w:val="36"/>
          <w:szCs w:val="36"/>
          <w:shd w:val="clear" w:color="auto" w:fill="FFFFFF"/>
        </w:rPr>
      </w:pP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为明确违反劳动法有关劳动合同规定的赔偿责任，维护劳动合同双方当事人的合法权益，根据《中华人民共和国劳动法》的有关规定，制定本办法。</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用人单位有下列情形之一，对劳动者造成损害的，应赔偿劳动者损失；</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（一）用人单位故意拖延不订立劳动合同，即招用后故意不按规定订立劳动合同以及劳动合同到期后故意不及时续订劳动合同的；</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（二）由于用人单位的原因订立无效劳动合同，或订立部分无效劳动合同的；</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（三）用人单位违反规定或劳动合同的</w:t>
      </w:r>
      <w:bookmarkStart w:id="0" w:name="_GoBack"/>
      <w:bookmarkEnd w:id="0"/>
      <w:r>
        <w:rPr>
          <w:rFonts w:ascii="仿宋_GB2312" w:eastAsia="仿宋_GB2312" w:hAnsi="仿宋_GB2312" w:cs="仿宋_GB2312"/>
          <w:color w:val="333333"/>
          <w:sz w:val="32"/>
          <w:szCs w:val="32"/>
          <w:shd w:val="clear" w:color="auto" w:fill="FFFFFF"/>
        </w:rPr>
        <w:t>约定侵害女职工或未成年工合法权益的；</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（四）用人单位违反规定或劳动合同的约定解除劳动合同</w:t>
      </w:r>
      <w:r>
        <w:rPr>
          <w:rFonts w:ascii="仿宋_GB2312" w:eastAsia="仿宋_GB2312" w:hAnsi="仿宋_GB2312" w:cs="仿宋_GB2312"/>
          <w:color w:val="333333"/>
          <w:sz w:val="32"/>
          <w:szCs w:val="32"/>
          <w:shd w:val="clear" w:color="auto" w:fill="FFFFFF"/>
        </w:rPr>
        <w:lastRenderedPageBreak/>
        <w:t>的。</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本办法第二条规定的赔偿，按下列规定执行：</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（一）造成劳动者工资收入损失的，按劳动者本人应得工资收入支付给劳动者，并加付应得工资收入</w:t>
      </w:r>
      <w:r>
        <w:rPr>
          <w:rFonts w:ascii="仿宋_GB2312" w:eastAsia="仿宋_GB2312" w:hAnsi="仿宋_GB2312" w:cs="仿宋_GB2312"/>
          <w:color w:val="333333"/>
          <w:sz w:val="32"/>
          <w:szCs w:val="32"/>
          <w:shd w:val="clear" w:color="auto" w:fill="FFFFFF"/>
        </w:rPr>
        <w:t>25%</w:t>
      </w:r>
      <w:r>
        <w:rPr>
          <w:rFonts w:ascii="仿宋_GB2312" w:eastAsia="仿宋_GB2312" w:hAnsi="仿宋_GB2312" w:cs="仿宋_GB2312"/>
          <w:color w:val="333333"/>
          <w:sz w:val="32"/>
          <w:szCs w:val="32"/>
          <w:shd w:val="clear" w:color="auto" w:fill="FFFFFF"/>
        </w:rPr>
        <w:t>的赔偿费用。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（二）造成劳动者劳动保护待遇损失的，应</w:t>
      </w:r>
      <w:r>
        <w:rPr>
          <w:rFonts w:ascii="仿宋_GB2312" w:eastAsia="仿宋_GB2312" w:hAnsi="仿宋_GB2312" w:cs="仿宋_GB2312"/>
          <w:color w:val="333333"/>
          <w:sz w:val="32"/>
          <w:szCs w:val="32"/>
          <w:shd w:val="clear" w:color="auto" w:fill="FFFFFF"/>
        </w:rPr>
        <w:t>按国家规定补足劳动者的劳动保护津贴和用品；</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（三）造成劳动者工伤、医疗待遇损失的，除按国家规定为劳动者提供工伤、医疗待遇外，还应支付劳动者相当于医疗费用</w:t>
      </w:r>
      <w:r>
        <w:rPr>
          <w:rFonts w:ascii="仿宋_GB2312" w:eastAsia="仿宋_GB2312" w:hAnsi="仿宋_GB2312" w:cs="仿宋_GB2312"/>
          <w:color w:val="333333"/>
          <w:sz w:val="32"/>
          <w:szCs w:val="32"/>
          <w:shd w:val="clear" w:color="auto" w:fill="FFFFFF"/>
        </w:rPr>
        <w:t>25%</w:t>
      </w:r>
      <w:r>
        <w:rPr>
          <w:rFonts w:ascii="仿宋_GB2312" w:eastAsia="仿宋_GB2312" w:hAnsi="仿宋_GB2312" w:cs="仿宋_GB2312"/>
          <w:color w:val="333333"/>
          <w:sz w:val="32"/>
          <w:szCs w:val="32"/>
          <w:shd w:val="clear" w:color="auto" w:fill="FFFFFF"/>
        </w:rPr>
        <w:t>的赔偿费用；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（四）造成女职工和未成年工身体健康损害的，除按国家规定提供治疗期间的医疗待遇外，还应支付相当于其医疗费用</w:t>
      </w:r>
      <w:r>
        <w:rPr>
          <w:rFonts w:ascii="仿宋_GB2312" w:eastAsia="仿宋_GB2312" w:hAnsi="仿宋_GB2312" w:cs="仿宋_GB2312"/>
          <w:color w:val="333333"/>
          <w:sz w:val="32"/>
          <w:szCs w:val="32"/>
          <w:shd w:val="clear" w:color="auto" w:fill="FFFFFF"/>
        </w:rPr>
        <w:t>25%</w:t>
      </w:r>
      <w:r>
        <w:rPr>
          <w:rFonts w:ascii="仿宋_GB2312" w:eastAsia="仿宋_GB2312" w:hAnsi="仿宋_GB2312" w:cs="仿宋_GB2312"/>
          <w:color w:val="333333"/>
          <w:sz w:val="32"/>
          <w:szCs w:val="32"/>
          <w:shd w:val="clear" w:color="auto" w:fill="FFFFFF"/>
        </w:rPr>
        <w:t>的赔偿费用；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（五）劳动合同约定的其他赔偿费用。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劳动者违反规定或劳动合同的约定解除劳动合同，对用人单位造成损失的，劳动者应赔偿用人单位下列损失：</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（一）用人单位招收录用其所支付的费用；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（二）用人单位为其支付的培训费用</w:t>
      </w:r>
      <w:r>
        <w:rPr>
          <w:rFonts w:ascii="仿宋_GB2312" w:eastAsia="仿宋_GB2312" w:hAnsi="仿宋_GB2312" w:cs="仿宋_GB2312"/>
          <w:color w:val="333333"/>
          <w:sz w:val="32"/>
          <w:szCs w:val="32"/>
          <w:shd w:val="clear" w:color="auto" w:fill="FFFFFF"/>
        </w:rPr>
        <w:t>，双方另有约定的按约定办理；</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（三）对生产、经营和工作造成的直接经济损失；</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（四）劳动合同约定的其他赔偿费用。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劳动者违反劳动合同中约定的保密事项，对用人单位造成经济损失的，按《反不正当竞争法》第二十条的规定支付用人单位赔偿费用。</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招用尚未解除劳动合同的劳动者，对原用人单位造成经济损失的，除该劳动者承担直接赔偿责任外，该用人单位应当承担连带赔偿责任。其连带赔偿的份额应不低于对原用人单位造成经济损失总额的百分之七十。向原用人单位赔偿下列损失：</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（一）对生产、经营和工作造成的直接经济损失；</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（二）因获取商业秘密给原用人单位造成的经济损失。</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赔偿本条第（二）项规定的损失，按《反不正当竞争法》第二十条的规定执行。</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因赔偿引起争议的，按照国家有关劳动争议处理的规定办理。</w:t>
      </w:r>
    </w:p>
    <w:p w:rsidR="00964909" w:rsidRDefault="0005347F" w:rsidP="00517EB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本办法自发布之日起施行。</w:t>
      </w:r>
    </w:p>
    <w:p w:rsidR="00964909" w:rsidRDefault="00964909">
      <w:pPr>
        <w:rPr>
          <w:rFonts w:ascii="仿宋_GB2312" w:eastAsia="仿宋_GB2312" w:hAnsi="仿宋_GB2312" w:cs="仿宋_GB2312"/>
          <w:color w:val="333333"/>
          <w:sz w:val="32"/>
          <w:szCs w:val="32"/>
          <w:shd w:val="clear" w:color="auto" w:fill="FFFFFF"/>
        </w:rPr>
      </w:pPr>
    </w:p>
    <w:sectPr w:rsidR="00964909" w:rsidSect="00964909">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47F" w:rsidRDefault="0005347F" w:rsidP="00964909">
      <w:r>
        <w:separator/>
      </w:r>
    </w:p>
  </w:endnote>
  <w:endnote w:type="continuationSeparator" w:id="0">
    <w:p w:rsidR="0005347F" w:rsidRDefault="0005347F" w:rsidP="009649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909" w:rsidRDefault="00964909">
    <w:pPr>
      <w:pStyle w:val="a6"/>
      <w:ind w:leftChars="2280" w:left="4788" w:firstLineChars="2000" w:firstLine="6400"/>
      <w:rPr>
        <w:rFonts w:eastAsia="仿宋"/>
        <w:sz w:val="32"/>
        <w:szCs w:val="48"/>
      </w:rPr>
    </w:pPr>
    <w:r w:rsidRPr="00964909">
      <w:rPr>
        <w:sz w:val="32"/>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964909" w:rsidRDefault="00964909">
                <w:pPr>
                  <w:pStyle w:val="a5"/>
                </w:pPr>
                <w:r>
                  <w:rPr>
                    <w:rFonts w:ascii="宋体" w:eastAsia="宋体" w:hAnsi="宋体" w:cs="宋体" w:hint="eastAsia"/>
                    <w:sz w:val="28"/>
                    <w:szCs w:val="28"/>
                  </w:rPr>
                  <w:fldChar w:fldCharType="begin"/>
                </w:r>
                <w:r w:rsidR="0005347F">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17EB8">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05347F">
      <w:rPr>
        <w:rFonts w:eastAsia="仿宋" w:hint="eastAsia"/>
        <w:sz w:val="32"/>
        <w:szCs w:val="48"/>
      </w:rPr>
      <w:t xml:space="preserve">  </w:t>
    </w:r>
  </w:p>
  <w:p w:rsidR="00964909" w:rsidRDefault="00964909">
    <w:pPr>
      <w:pStyle w:val="a6"/>
      <w:wordWrap w:val="0"/>
      <w:ind w:leftChars="2280" w:left="4788" w:firstLineChars="2000" w:firstLine="6400"/>
      <w:jc w:val="right"/>
      <w:rPr>
        <w:rFonts w:ascii="宋体" w:eastAsia="宋体" w:hAnsi="宋体" w:cs="宋体"/>
        <w:b/>
        <w:bCs/>
        <w:color w:val="005192"/>
        <w:sz w:val="28"/>
        <w:szCs w:val="44"/>
      </w:rPr>
    </w:pPr>
    <w:r w:rsidRPr="00964909">
      <w:rPr>
        <w:color w:val="FAFAFA"/>
        <w:sz w:val="32"/>
      </w:rPr>
      <w:pict>
        <v:line id="_x0000_s409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05347F">
      <w:rPr>
        <w:rFonts w:eastAsia="仿宋" w:hint="eastAsia"/>
        <w:color w:val="FAFAFA"/>
        <w:sz w:val="32"/>
        <w:szCs w:val="48"/>
      </w:rPr>
      <w:t>X</w:t>
    </w:r>
    <w:r w:rsidR="0005347F">
      <w:rPr>
        <w:rFonts w:ascii="宋体" w:eastAsia="宋体" w:hAnsi="宋体" w:cs="宋体" w:hint="eastAsia"/>
        <w:b/>
        <w:bCs/>
        <w:color w:val="005192"/>
        <w:sz w:val="28"/>
        <w:szCs w:val="44"/>
      </w:rPr>
      <w:t>人力资源社会保障部发布</w:t>
    </w:r>
    <w:r w:rsidR="0005347F">
      <w:rPr>
        <w:rFonts w:ascii="宋体" w:eastAsia="宋体" w:hAnsi="宋体" w:cs="宋体" w:hint="eastAsia"/>
        <w:b/>
        <w:bCs/>
        <w:color w:val="005192"/>
        <w:sz w:val="28"/>
        <w:szCs w:val="44"/>
      </w:rPr>
      <w:t xml:space="preserve">     </w:t>
    </w:r>
  </w:p>
  <w:p w:rsidR="00964909" w:rsidRDefault="00964909">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47F" w:rsidRDefault="0005347F" w:rsidP="00964909">
      <w:r>
        <w:separator/>
      </w:r>
    </w:p>
  </w:footnote>
  <w:footnote w:type="continuationSeparator" w:id="0">
    <w:p w:rsidR="0005347F" w:rsidRDefault="0005347F" w:rsidP="009649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909" w:rsidRDefault="00964909">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4097"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964909" w:rsidRDefault="0005347F">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5347F"/>
    <w:rsid w:val="000E2F24"/>
    <w:rsid w:val="00172A27"/>
    <w:rsid w:val="00245BBD"/>
    <w:rsid w:val="00306145"/>
    <w:rsid w:val="003651C3"/>
    <w:rsid w:val="00517EB8"/>
    <w:rsid w:val="005E347B"/>
    <w:rsid w:val="00620F74"/>
    <w:rsid w:val="008E2AF0"/>
    <w:rsid w:val="00924D89"/>
    <w:rsid w:val="00964909"/>
    <w:rsid w:val="00993B92"/>
    <w:rsid w:val="009A6C62"/>
    <w:rsid w:val="00A80451"/>
    <w:rsid w:val="00C627EB"/>
    <w:rsid w:val="00C853D2"/>
    <w:rsid w:val="00E0730B"/>
    <w:rsid w:val="00E81384"/>
    <w:rsid w:val="019E71BD"/>
    <w:rsid w:val="04B679C3"/>
    <w:rsid w:val="080F63D8"/>
    <w:rsid w:val="09341458"/>
    <w:rsid w:val="0B0912D7"/>
    <w:rsid w:val="152D2DCA"/>
    <w:rsid w:val="15BE440C"/>
    <w:rsid w:val="1DEC284C"/>
    <w:rsid w:val="1E6523AC"/>
    <w:rsid w:val="22440422"/>
    <w:rsid w:val="31A15F24"/>
    <w:rsid w:val="395347B5"/>
    <w:rsid w:val="39A232A0"/>
    <w:rsid w:val="39E745AA"/>
    <w:rsid w:val="3B5A6BBB"/>
    <w:rsid w:val="3EDA13A6"/>
    <w:rsid w:val="42F058B7"/>
    <w:rsid w:val="436109F6"/>
    <w:rsid w:val="441A38D4"/>
    <w:rsid w:val="46CF378C"/>
    <w:rsid w:val="4BC77339"/>
    <w:rsid w:val="4C9236C5"/>
    <w:rsid w:val="505C172E"/>
    <w:rsid w:val="52F46F0B"/>
    <w:rsid w:val="53D8014D"/>
    <w:rsid w:val="55E064E0"/>
    <w:rsid w:val="572C6D10"/>
    <w:rsid w:val="5B4654A6"/>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490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964909"/>
    <w:pPr>
      <w:jc w:val="left"/>
    </w:pPr>
  </w:style>
  <w:style w:type="paragraph" w:styleId="a4">
    <w:name w:val="Balloon Text"/>
    <w:basedOn w:val="a"/>
    <w:link w:val="Char"/>
    <w:qFormat/>
    <w:rsid w:val="00964909"/>
    <w:rPr>
      <w:sz w:val="18"/>
      <w:szCs w:val="18"/>
    </w:rPr>
  </w:style>
  <w:style w:type="paragraph" w:styleId="a5">
    <w:name w:val="footer"/>
    <w:basedOn w:val="a"/>
    <w:qFormat/>
    <w:rsid w:val="00964909"/>
    <w:pPr>
      <w:tabs>
        <w:tab w:val="center" w:pos="4153"/>
        <w:tab w:val="right" w:pos="8306"/>
      </w:tabs>
      <w:snapToGrid w:val="0"/>
      <w:jc w:val="left"/>
    </w:pPr>
    <w:rPr>
      <w:sz w:val="18"/>
    </w:rPr>
  </w:style>
  <w:style w:type="paragraph" w:styleId="a6">
    <w:name w:val="header"/>
    <w:basedOn w:val="a"/>
    <w:qFormat/>
    <w:rsid w:val="0096490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964909"/>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rsid w:val="00964909"/>
    <w:rPr>
      <w:sz w:val="21"/>
      <w:szCs w:val="21"/>
    </w:rPr>
  </w:style>
  <w:style w:type="character" w:customStyle="1" w:styleId="Char">
    <w:name w:val="批注框文本 Char"/>
    <w:basedOn w:val="a0"/>
    <w:link w:val="a4"/>
    <w:rsid w:val="0096490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13DAAF-5B36-4B32-A50B-8607438D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Words>
  <Characters>898</Characters>
  <Application>Microsoft Office Word</Application>
  <DocSecurity>0</DocSecurity>
  <Lines>7</Lines>
  <Paragraphs>2</Paragraphs>
  <ScaleCrop>false</ScaleCrop>
  <Company>Lenovo (Beijing) Limited</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2021-12-24T05:45:00Z</cp:lastPrinted>
  <dcterms:created xsi:type="dcterms:W3CDTF">2021-12-21T06:44:00Z</dcterms:created>
  <dcterms:modified xsi:type="dcterms:W3CDTF">2021-12-24T05:46:00Z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