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hint="eastAsia"/>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w:t>
      </w:r>
      <w:proofErr w:type="spellStart"/>
      <w:r w:rsidR="00247219">
        <w:rPr>
          <w:rFonts w:ascii="Verdana" w:hAnsi="Verdana" w:cs="Arial" w:hint="eastAsia"/>
          <w:color w:val="000000"/>
          <w:sz w:val="20"/>
          <w:szCs w:val="20"/>
        </w:rPr>
        <w:t>pomelo</w:t>
      </w:r>
      <w:proofErr w:type="spellEnd"/>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hint="eastAsi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Pr="00D25205" w:rsidRDefault="00F85B25" w:rsidP="003F1B1C">
      <w:pPr>
        <w:rPr>
          <w:rFonts w:ascii="Verdana" w:hAnsi="Verdana"/>
          <w:sz w:val="20"/>
          <w:szCs w:val="20"/>
        </w:rPr>
      </w:pPr>
      <w:bookmarkStart w:id="0" w:name="_GoBack"/>
      <w:bookmarkEnd w:id="0"/>
    </w:p>
    <w:sectPr w:rsidR="00F85B25" w:rsidRPr="00D25205"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09E" w:rsidRDefault="00AC609E" w:rsidP="00033C41">
      <w:r>
        <w:separator/>
      </w:r>
    </w:p>
  </w:endnote>
  <w:endnote w:type="continuationSeparator" w:id="0">
    <w:p w:rsidR="00AC609E" w:rsidRDefault="00AC609E"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09E" w:rsidRDefault="00AC609E" w:rsidP="00033C41">
      <w:r>
        <w:separator/>
      </w:r>
    </w:p>
  </w:footnote>
  <w:footnote w:type="continuationSeparator" w:id="0">
    <w:p w:rsidR="00AC609E" w:rsidRDefault="00AC609E"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4E5F"/>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39779</TotalTime>
  <Pages>3</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419</cp:revision>
  <cp:lastPrinted>2013-09-30T11:27:00Z</cp:lastPrinted>
  <dcterms:created xsi:type="dcterms:W3CDTF">2012-02-10T15:58:00Z</dcterms:created>
  <dcterms:modified xsi:type="dcterms:W3CDTF">2013-10-04T05:18:00Z</dcterms:modified>
</cp:coreProperties>
</file>