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965871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>If you don’t care about the changes in the origina</w:t>
      </w:r>
      <w:bookmarkStart w:id="0" w:name="_GoBack"/>
      <w:bookmarkEnd w:id="0"/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lastRenderedPageBreak/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965871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965871">
        <w:fldChar w:fldCharType="begin"/>
      </w:r>
      <w:r w:rsidR="00965871">
        <w:instrText xml:space="preserve"> HYPERLINK "http://www.kernel.org/pub/software/scm/git/docs/git-grep.html" </w:instrText>
      </w:r>
      <w:r w:rsidR="00965871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965871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871" w:rsidRDefault="00965871" w:rsidP="009D4C7D">
      <w:r>
        <w:separator/>
      </w:r>
    </w:p>
  </w:endnote>
  <w:endnote w:type="continuationSeparator" w:id="0">
    <w:p w:rsidR="00965871" w:rsidRDefault="00965871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871" w:rsidRDefault="00965871" w:rsidP="009D4C7D">
      <w:r>
        <w:separator/>
      </w:r>
    </w:p>
  </w:footnote>
  <w:footnote w:type="continuationSeparator" w:id="0">
    <w:p w:rsidR="00965871" w:rsidRDefault="00965871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5157"/>
    <w:rsid w:val="004B6792"/>
    <w:rsid w:val="004B6C0E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871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BAFE-1CCE-4CCD-BF8E-ACEC97CC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77526</TotalTime>
  <Pages>13</Pages>
  <Words>4707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1992</cp:revision>
  <dcterms:created xsi:type="dcterms:W3CDTF">2011-08-23T08:46:00Z</dcterms:created>
  <dcterms:modified xsi:type="dcterms:W3CDTF">2014-02-19T08:05:00Z</dcterms:modified>
</cp:coreProperties>
</file>