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34"/>
        </w:rPr>
        <w:t>IPsecTrace — MASTER RESEARCH INDEX</w:t>
      </w:r>
    </w:p>
    <w:p>
      <w:pPr>
        <w:spacing w:after="160"/>
      </w:pPr>
      <w:r>
        <w:rPr>
          <w:rFonts w:ascii="Calibri" w:hAnsi="Calibri"/>
          <w:i/>
          <w:color w:val="4A5568"/>
          <w:sz w:val="21"/>
        </w:rPr>
        <w:t>Authoritative Reference Guide, Document Map, and Reading Roadmap</w:t>
      </w:r>
    </w:p>
    <w:p>
      <w:pPr>
        <w:keepNext/>
        <w:spacing w:before="220" w:after="60"/>
      </w:pPr>
      <w:r>
        <w:rPr>
          <w:rFonts w:ascii="Calibri" w:hAnsi="Calibri"/>
          <w:b/>
          <w:color w:val="1B365D"/>
          <w:sz w:val="25"/>
        </w:rPr>
        <w:t>1. Executive Overview</w:t>
      </w:r>
    </w:p>
    <w:p>
      <w:r>
        <w:t>IPsecTrace presents a protocol-aware multi-view IPsec traffic analysis framework that combines deterministic protocol forensics with encrypted-side statistical and temporal representation learning, self-supervised sequence representation, experimental novelty detection, and evidence-grounded reporting without requiring payload decryption.</w:t>
      </w:r>
    </w:p>
    <w:tbl>
      <w:tblPr>
        <w:tblW w:type="auto" w:w="0"/>
        <w:jc w:val="center"/>
        <w:tblLayout w:type="fixed"/>
        <w:tblLook w:firstColumn="1" w:firstRow="1" w:lastColumn="0" w:lastRow="0" w:noHBand="0" w:noVBand="1" w:val="04A0"/>
      </w:tblPr>
      <w:tblGrid>
        <w:gridCol w:w="10080"/>
      </w:tblGrid>
      <w:tr>
        <w:tc>
          <w:tcPr>
            <w:tcW w:type="dxa" w:w="10080"/>
            <w:tcMar>
              <w:top w:w="80" w:type="dxa"/>
              <w:bottom w:w="80" w:type="dxa"/>
              <w:left w:w="140" w:type="dxa"/>
              <w:right w:w="140" w:type="dxa"/>
            </w:tcMar>
            <w:shd w:fill="F8FAFC"/>
            <w:tcBorders>
              <w:left w:val="single" w:sz="24" w:space="0" w:color="005691"/>
              <w:top w:val="none"/>
              <w:right w:val="none"/>
              <w:bottom w:val="none"/>
            </w:tcBorders>
          </w:tcPr>
          <w:p>
            <w:pPr>
              <w:spacing w:after="0" w:line="276" w:lineRule="auto"/>
            </w:pPr>
            <w:r>
              <w:rPr>
                <w:b/>
                <w:color w:val="1B365D"/>
                <w:sz w:val="19"/>
              </w:rPr>
              <w:t xml:space="preserve">Core Research Charter: </w:t>
            </w:r>
            <w:r>
              <w:rPr>
                <w:color w:val="2D3748"/>
                <w:sz w:val="19"/>
              </w:rPr>
              <w:t>This package contains exactly six core research white papers plus this master index, designed for direct upload to Google Drive and native viewing in Google Docs. All empirical figures, tables, and claims are directly grounded in the verified native IPsec benchmark dataset (1,829 flow windows across 294 PCAPs).</w:t>
            </w:r>
          </w:p>
        </w:tc>
      </w:tr>
    </w:tbl>
    <w:p>
      <w:pPr>
        <w:spacing w:after="40"/>
      </w:pP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520"/>
        <w:gridCol w:w="2520"/>
        <w:gridCol w:w="2520"/>
        <w:gridCol w:w="2520"/>
      </w:tblGrid>
      <w:tr>
        <w:tc>
          <w:tcPr>
            <w:tcW w:type="dxa" w:w="1152"/>
            <w:tcMar>
              <w:top w:w="90" w:type="dxa"/>
              <w:bottom w:w="90" w:type="dxa"/>
              <w:left w:w="110" w:type="dxa"/>
              <w:right w:w="110" w:type="dxa"/>
            </w:tcMar>
            <w:shd w:fill="F1F5F9"/>
          </w:tcPr>
          <w:p>
            <w:r>
              <w:rPr>
                <w:rFonts w:ascii="Calibri" w:hAnsi="Calibri"/>
                <w:b/>
                <w:color w:val="1B365D"/>
                <w:sz w:val="18"/>
              </w:rPr>
              <w:t>Document #</w:t>
            </w:r>
          </w:p>
        </w:tc>
        <w:tc>
          <w:tcPr>
            <w:tcW w:type="dxa" w:w="3600"/>
            <w:tcMar>
              <w:top w:w="90" w:type="dxa"/>
              <w:bottom w:w="90" w:type="dxa"/>
              <w:left w:w="110" w:type="dxa"/>
              <w:right w:w="110" w:type="dxa"/>
            </w:tcMar>
            <w:shd w:fill="F1F5F9"/>
          </w:tcPr>
          <w:p>
            <w:r>
              <w:rPr>
                <w:rFonts w:ascii="Calibri" w:hAnsi="Calibri"/>
                <w:b/>
                <w:color w:val="1B365D"/>
                <w:sz w:val="18"/>
              </w:rPr>
              <w:t>Title &amp; Filename</w:t>
            </w:r>
          </w:p>
        </w:tc>
        <w:tc>
          <w:tcPr>
            <w:tcW w:type="dxa" w:w="4464"/>
            <w:tcMar>
              <w:top w:w="90" w:type="dxa"/>
              <w:bottom w:w="90" w:type="dxa"/>
              <w:left w:w="110" w:type="dxa"/>
              <w:right w:w="110" w:type="dxa"/>
            </w:tcMar>
            <w:shd w:fill="F1F5F9"/>
          </w:tcPr>
          <w:p>
            <w:r>
              <w:rPr>
                <w:rFonts w:ascii="Calibri" w:hAnsi="Calibri"/>
                <w:b/>
                <w:color w:val="1B365D"/>
                <w:sz w:val="18"/>
              </w:rPr>
              <w:t>Focus &amp; Target Content</w:t>
            </w:r>
          </w:p>
        </w:tc>
        <w:tc>
          <w:tcPr>
            <w:tcW w:type="dxa" w:w="864"/>
            <w:tcMar>
              <w:top w:w="90" w:type="dxa"/>
              <w:bottom w:w="90" w:type="dxa"/>
              <w:left w:w="110" w:type="dxa"/>
              <w:right w:w="110" w:type="dxa"/>
            </w:tcMar>
            <w:shd w:fill="F1F5F9"/>
          </w:tcPr>
          <w:p>
            <w:r>
              <w:rPr>
                <w:rFonts w:ascii="Calibri" w:hAnsi="Calibri"/>
                <w:b/>
                <w:color w:val="1B365D"/>
                <w:sz w:val="18"/>
              </w:rPr>
              <w:t>Pages</w:t>
            </w:r>
          </w:p>
        </w:tc>
      </w:tr>
      <w:tr>
        <w:tc>
          <w:tcPr>
            <w:tcW w:type="dxa" w:w="1152"/>
            <w:tcMar>
              <w:top w:w="60" w:type="dxa"/>
              <w:bottom w:w="60" w:type="dxa"/>
              <w:left w:w="110" w:type="dxa"/>
              <w:right w:w="110" w:type="dxa"/>
            </w:tcMar>
          </w:tcPr>
          <w:p>
            <w:r>
              <w:rPr>
                <w:rFonts w:ascii="Calibri" w:hAnsi="Calibri"/>
                <w:color w:val="2D3748"/>
                <w:sz w:val="17"/>
              </w:rPr>
              <w:t>Doc 01</w:t>
            </w:r>
          </w:p>
        </w:tc>
        <w:tc>
          <w:tcPr>
            <w:tcW w:type="dxa" w:w="3600"/>
            <w:tcMar>
              <w:top w:w="60" w:type="dxa"/>
              <w:bottom w:w="60" w:type="dxa"/>
              <w:left w:w="110" w:type="dxa"/>
              <w:right w:w="110" w:type="dxa"/>
            </w:tcMar>
          </w:tcPr>
          <w:p>
            <w:r>
              <w:rPr>
                <w:rFonts w:ascii="Calibri" w:hAnsi="Calibri"/>
                <w:color w:val="2D3748"/>
                <w:sz w:val="17"/>
              </w:rPr>
              <w:t>Executive White Paper</w:t>
              <w:br/>
              <w:t>(01_IPsecTrace_Executive_White_Paper.docx)</w:t>
            </w:r>
          </w:p>
        </w:tc>
        <w:tc>
          <w:tcPr>
            <w:tcW w:type="dxa" w:w="4464"/>
            <w:tcMar>
              <w:top w:w="60" w:type="dxa"/>
              <w:bottom w:w="60" w:type="dxa"/>
              <w:left w:w="110" w:type="dxa"/>
              <w:right w:w="110" w:type="dxa"/>
            </w:tcMar>
          </w:tcPr>
          <w:p>
            <w:r>
              <w:rPr>
                <w:rFonts w:ascii="Calibri" w:hAnsi="Calibri"/>
                <w:color w:val="2D3748"/>
                <w:sz w:val="17"/>
              </w:rPr>
              <w:t>Complete standalone research overview: problem, architecture, verified results, and security value.</w:t>
            </w:r>
          </w:p>
        </w:tc>
        <w:tc>
          <w:tcPr>
            <w:tcW w:type="dxa" w:w="864"/>
            <w:tcMar>
              <w:top w:w="60" w:type="dxa"/>
              <w:bottom w:w="60" w:type="dxa"/>
              <w:left w:w="110" w:type="dxa"/>
              <w:right w:w="110" w:type="dxa"/>
            </w:tcMar>
          </w:tcPr>
          <w:p>
            <w:r>
              <w:rPr>
                <w:rFonts w:ascii="Calibri" w:hAnsi="Calibri"/>
                <w:color w:val="2D3748"/>
                <w:sz w:val="17"/>
              </w:rPr>
              <w:t>4–5</w:t>
            </w:r>
          </w:p>
        </w:tc>
      </w:tr>
      <w:tr>
        <w:tc>
          <w:tcPr>
            <w:tcW w:type="dxa" w:w="1152"/>
            <w:tcMar>
              <w:top w:w="60" w:type="dxa"/>
              <w:bottom w:w="60" w:type="dxa"/>
              <w:left w:w="110" w:type="dxa"/>
              <w:right w:w="110" w:type="dxa"/>
            </w:tcMar>
            <w:shd w:fill="FAFAFA"/>
          </w:tcPr>
          <w:p>
            <w:r>
              <w:rPr>
                <w:rFonts w:ascii="Calibri" w:hAnsi="Calibri"/>
                <w:color w:val="2D3748"/>
                <w:sz w:val="17"/>
              </w:rPr>
              <w:t>Doc 02</w:t>
            </w:r>
          </w:p>
        </w:tc>
        <w:tc>
          <w:tcPr>
            <w:tcW w:type="dxa" w:w="3600"/>
            <w:tcMar>
              <w:top w:w="60" w:type="dxa"/>
              <w:bottom w:w="60" w:type="dxa"/>
              <w:left w:w="110" w:type="dxa"/>
              <w:right w:w="110" w:type="dxa"/>
            </w:tcMar>
            <w:shd w:fill="FAFAFA"/>
          </w:tcPr>
          <w:p>
            <w:r>
              <w:rPr>
                <w:rFonts w:ascii="Calibri" w:hAnsi="Calibri"/>
                <w:color w:val="2D3748"/>
                <w:sz w:val="17"/>
              </w:rPr>
              <w:t>System Architecture &amp; Technical Design</w:t>
              <w:br/>
              <w:t>(02_IPsecTrace_System_Architecture.docx)</w:t>
            </w:r>
          </w:p>
        </w:tc>
        <w:tc>
          <w:tcPr>
            <w:tcW w:type="dxa" w:w="4464"/>
            <w:tcMar>
              <w:top w:w="60" w:type="dxa"/>
              <w:bottom w:w="60" w:type="dxa"/>
              <w:left w:w="110" w:type="dxa"/>
              <w:right w:w="110" w:type="dxa"/>
            </w:tcMar>
            <w:shd w:fill="FAFAFA"/>
          </w:tcPr>
          <w:p>
            <w:r>
              <w:rPr>
                <w:rFonts w:ascii="Calibri" w:hAnsi="Calibri"/>
                <w:color w:val="2D3748"/>
                <w:sz w:val="17"/>
              </w:rPr>
              <w:t>End-to-end capture, protocol analysis, dual-branch ML, rule engine, and technology stack.</w:t>
            </w:r>
          </w:p>
        </w:tc>
        <w:tc>
          <w:tcPr>
            <w:tcW w:type="dxa" w:w="864"/>
            <w:tcMar>
              <w:top w:w="60" w:type="dxa"/>
              <w:bottom w:w="60" w:type="dxa"/>
              <w:left w:w="110" w:type="dxa"/>
              <w:right w:w="110" w:type="dxa"/>
            </w:tcMar>
            <w:shd w:fill="FAFAFA"/>
          </w:tcPr>
          <w:p>
            <w:r>
              <w:rPr>
                <w:rFonts w:ascii="Calibri" w:hAnsi="Calibri"/>
                <w:color w:val="2D3748"/>
                <w:sz w:val="17"/>
              </w:rPr>
              <w:t>4–5</w:t>
            </w:r>
          </w:p>
        </w:tc>
      </w:tr>
      <w:tr>
        <w:tc>
          <w:tcPr>
            <w:tcW w:type="dxa" w:w="1152"/>
            <w:tcMar>
              <w:top w:w="60" w:type="dxa"/>
              <w:bottom w:w="60" w:type="dxa"/>
              <w:left w:w="110" w:type="dxa"/>
              <w:right w:w="110" w:type="dxa"/>
            </w:tcMar>
          </w:tcPr>
          <w:p>
            <w:r>
              <w:rPr>
                <w:rFonts w:ascii="Calibri" w:hAnsi="Calibri"/>
                <w:color w:val="2D3748"/>
                <w:sz w:val="17"/>
              </w:rPr>
              <w:t>Doc 03</w:t>
            </w:r>
          </w:p>
        </w:tc>
        <w:tc>
          <w:tcPr>
            <w:tcW w:type="dxa" w:w="3600"/>
            <w:tcMar>
              <w:top w:w="60" w:type="dxa"/>
              <w:bottom w:w="60" w:type="dxa"/>
              <w:left w:w="110" w:type="dxa"/>
              <w:right w:w="110" w:type="dxa"/>
            </w:tcMar>
          </w:tcPr>
          <w:p>
            <w:r>
              <w:rPr>
                <w:rFonts w:ascii="Calibri" w:hAnsi="Calibri"/>
                <w:color w:val="2D3748"/>
                <w:sz w:val="17"/>
              </w:rPr>
              <w:t>Dataset &amp; Experimental Methodology</w:t>
              <w:br/>
              <w:t>(03_IPsecTrace_Dataset_Methodology.docx)</w:t>
            </w:r>
          </w:p>
        </w:tc>
        <w:tc>
          <w:tcPr>
            <w:tcW w:type="dxa" w:w="4464"/>
            <w:tcMar>
              <w:top w:w="60" w:type="dxa"/>
              <w:bottom w:w="60" w:type="dxa"/>
              <w:left w:w="110" w:type="dxa"/>
              <w:right w:w="110" w:type="dxa"/>
            </w:tcMar>
          </w:tcPr>
          <w:p>
            <w:r>
              <w:rPr>
                <w:rFonts w:ascii="Calibri" w:hAnsi="Calibri"/>
                <w:color w:val="2D3748"/>
                <w:sz w:val="17"/>
              </w:rPr>
              <w:t>DS1_NATIVE_IPSEC_ENHANCED (1,829 windows), 5-fold GroupKFold zero-leakage isolation.</w:t>
            </w:r>
          </w:p>
        </w:tc>
        <w:tc>
          <w:tcPr>
            <w:tcW w:type="dxa" w:w="864"/>
            <w:tcMar>
              <w:top w:w="60" w:type="dxa"/>
              <w:bottom w:w="60" w:type="dxa"/>
              <w:left w:w="110" w:type="dxa"/>
              <w:right w:w="110" w:type="dxa"/>
            </w:tcMar>
          </w:tcPr>
          <w:p>
            <w:r>
              <w:rPr>
                <w:rFonts w:ascii="Calibri" w:hAnsi="Calibri"/>
                <w:color w:val="2D3748"/>
                <w:sz w:val="17"/>
              </w:rPr>
              <w:t>4–5</w:t>
            </w:r>
          </w:p>
        </w:tc>
      </w:tr>
      <w:tr>
        <w:tc>
          <w:tcPr>
            <w:tcW w:type="dxa" w:w="1152"/>
            <w:tcMar>
              <w:top w:w="60" w:type="dxa"/>
              <w:bottom w:w="60" w:type="dxa"/>
              <w:left w:w="110" w:type="dxa"/>
              <w:right w:w="110" w:type="dxa"/>
            </w:tcMar>
            <w:shd w:fill="FAFAFA"/>
          </w:tcPr>
          <w:p>
            <w:r>
              <w:rPr>
                <w:rFonts w:ascii="Calibri" w:hAnsi="Calibri"/>
                <w:color w:val="2D3748"/>
                <w:sz w:val="17"/>
              </w:rPr>
              <w:t>Doc 04</w:t>
            </w:r>
          </w:p>
        </w:tc>
        <w:tc>
          <w:tcPr>
            <w:tcW w:type="dxa" w:w="3600"/>
            <w:tcMar>
              <w:top w:w="60" w:type="dxa"/>
              <w:bottom w:w="60" w:type="dxa"/>
              <w:left w:w="110" w:type="dxa"/>
              <w:right w:w="110" w:type="dxa"/>
            </w:tcMar>
            <w:shd w:fill="FAFAFA"/>
          </w:tcPr>
          <w:p>
            <w:r>
              <w:rPr>
                <w:rFonts w:ascii="Calibri" w:hAnsi="Calibri"/>
                <w:color w:val="2D3748"/>
                <w:sz w:val="17"/>
              </w:rPr>
              <w:t>Machine Learning Experiments &amp; Results</w:t>
              <w:br/>
              <w:t>(04_IPsecTrace_ML_Experiments_Results.docx)</w:t>
            </w:r>
          </w:p>
        </w:tc>
        <w:tc>
          <w:tcPr>
            <w:tcW w:type="dxa" w:w="4464"/>
            <w:tcMar>
              <w:top w:w="60" w:type="dxa"/>
              <w:bottom w:w="60" w:type="dxa"/>
              <w:left w:w="110" w:type="dxa"/>
              <w:right w:w="110" w:type="dxa"/>
            </w:tcMar>
            <w:shd w:fill="FAFAFA"/>
          </w:tcPr>
          <w:p>
            <w:r>
              <w:rPr>
                <w:rFonts w:ascii="Calibri" w:hAnsi="Calibri"/>
                <w:color w:val="2D3748"/>
                <w:sz w:val="17"/>
              </w:rPr>
              <w:t>Authoritative 6-model benchmark, Model C Hybrid (+13.35%), ablations, and negative findings.</w:t>
            </w:r>
          </w:p>
        </w:tc>
        <w:tc>
          <w:tcPr>
            <w:tcW w:type="dxa" w:w="864"/>
            <w:tcMar>
              <w:top w:w="60" w:type="dxa"/>
              <w:bottom w:w="60" w:type="dxa"/>
              <w:left w:w="110" w:type="dxa"/>
              <w:right w:w="110" w:type="dxa"/>
            </w:tcMar>
            <w:shd w:fill="FAFAFA"/>
          </w:tcPr>
          <w:p>
            <w:r>
              <w:rPr>
                <w:rFonts w:ascii="Calibri" w:hAnsi="Calibri"/>
                <w:color w:val="2D3748"/>
                <w:sz w:val="17"/>
              </w:rPr>
              <w:t>4–5</w:t>
            </w:r>
          </w:p>
        </w:tc>
      </w:tr>
      <w:tr>
        <w:tc>
          <w:tcPr>
            <w:tcW w:type="dxa" w:w="1152"/>
            <w:tcMar>
              <w:top w:w="60" w:type="dxa"/>
              <w:bottom w:w="60" w:type="dxa"/>
              <w:left w:w="110" w:type="dxa"/>
              <w:right w:w="110" w:type="dxa"/>
            </w:tcMar>
          </w:tcPr>
          <w:p>
            <w:r>
              <w:rPr>
                <w:rFonts w:ascii="Calibri" w:hAnsi="Calibri"/>
                <w:color w:val="2D3748"/>
                <w:sz w:val="17"/>
              </w:rPr>
              <w:t>Doc 05</w:t>
            </w:r>
          </w:p>
        </w:tc>
        <w:tc>
          <w:tcPr>
            <w:tcW w:type="dxa" w:w="3600"/>
            <w:tcMar>
              <w:top w:w="60" w:type="dxa"/>
              <w:bottom w:w="60" w:type="dxa"/>
              <w:left w:w="110" w:type="dxa"/>
              <w:right w:w="110" w:type="dxa"/>
            </w:tcMar>
          </w:tcPr>
          <w:p>
            <w:r>
              <w:rPr>
                <w:rFonts w:ascii="Calibri" w:hAnsi="Calibri"/>
                <w:color w:val="2D3748"/>
                <w:sz w:val="17"/>
              </w:rPr>
              <w:t>Security Analysis &amp; Real-PCAP Evidence</w:t>
              <w:br/>
              <w:t>(05_IPsecTrace_Security_Real_PCAP_Evidence.docx)</w:t>
            </w:r>
          </w:p>
        </w:tc>
        <w:tc>
          <w:tcPr>
            <w:tcW w:type="dxa" w:w="4464"/>
            <w:tcMar>
              <w:top w:w="60" w:type="dxa"/>
              <w:bottom w:w="60" w:type="dxa"/>
              <w:left w:w="110" w:type="dxa"/>
              <w:right w:w="110" w:type="dxa"/>
            </w:tcMar>
          </w:tcPr>
          <w:p>
            <w:r>
              <w:rPr>
                <w:rFonts w:ascii="Calibri" w:hAnsi="Calibri"/>
                <w:color w:val="2D3748"/>
                <w:sz w:val="17"/>
              </w:rPr>
              <w:t>Deterministic forensics authority, real-PCAP dynamic evaluation, OOD detection, attribution.</w:t>
            </w:r>
          </w:p>
        </w:tc>
        <w:tc>
          <w:tcPr>
            <w:tcW w:type="dxa" w:w="864"/>
            <w:tcMar>
              <w:top w:w="60" w:type="dxa"/>
              <w:bottom w:w="60" w:type="dxa"/>
              <w:left w:w="110" w:type="dxa"/>
              <w:right w:w="110" w:type="dxa"/>
            </w:tcMar>
          </w:tcPr>
          <w:p>
            <w:r>
              <w:rPr>
                <w:rFonts w:ascii="Calibri" w:hAnsi="Calibri"/>
                <w:color w:val="2D3748"/>
                <w:sz w:val="17"/>
              </w:rPr>
              <w:t>4–5</w:t>
            </w:r>
          </w:p>
        </w:tc>
      </w:tr>
      <w:tr>
        <w:tc>
          <w:tcPr>
            <w:tcW w:type="dxa" w:w="1152"/>
            <w:tcMar>
              <w:top w:w="60" w:type="dxa"/>
              <w:bottom w:w="60" w:type="dxa"/>
              <w:left w:w="110" w:type="dxa"/>
              <w:right w:w="110" w:type="dxa"/>
            </w:tcMar>
            <w:shd w:fill="FAFAFA"/>
          </w:tcPr>
          <w:p>
            <w:r>
              <w:rPr>
                <w:rFonts w:ascii="Calibri" w:hAnsi="Calibri"/>
                <w:color w:val="2D3748"/>
                <w:sz w:val="17"/>
              </w:rPr>
              <w:t>Doc 06</w:t>
            </w:r>
          </w:p>
        </w:tc>
        <w:tc>
          <w:tcPr>
            <w:tcW w:type="dxa" w:w="3600"/>
            <w:tcMar>
              <w:top w:w="60" w:type="dxa"/>
              <w:bottom w:w="60" w:type="dxa"/>
              <w:left w:w="110" w:type="dxa"/>
              <w:right w:w="110" w:type="dxa"/>
            </w:tcMar>
            <w:shd w:fill="FAFAFA"/>
          </w:tcPr>
          <w:p>
            <w:r>
              <w:rPr>
                <w:rFonts w:ascii="Calibri" w:hAnsi="Calibri"/>
                <w:color w:val="2D3748"/>
                <w:sz w:val="17"/>
              </w:rPr>
              <w:t>Reproducibility, Limitations &amp; Future Work</w:t>
              <w:br/>
              <w:t>(06_IPsecTrace_Reproducibility_Limitations_Future_Work.docx)</w:t>
            </w:r>
          </w:p>
        </w:tc>
        <w:tc>
          <w:tcPr>
            <w:tcW w:type="dxa" w:w="4464"/>
            <w:tcMar>
              <w:top w:w="60" w:type="dxa"/>
              <w:bottom w:w="60" w:type="dxa"/>
              <w:left w:w="110" w:type="dxa"/>
              <w:right w:w="110" w:type="dxa"/>
            </w:tcMar>
            <w:shd w:fill="FAFAFA"/>
          </w:tcPr>
          <w:p>
            <w:r>
              <w:rPr>
                <w:rFonts w:ascii="Calibri" w:hAnsi="Calibri"/>
                <w:color w:val="2D3748"/>
                <w:sz w:val="17"/>
              </w:rPr>
              <w:t>Exact CLI execution commands, 30/30 backend tests, scientific caveats, and research roadmap.</w:t>
            </w:r>
          </w:p>
        </w:tc>
        <w:tc>
          <w:tcPr>
            <w:tcW w:type="dxa" w:w="864"/>
            <w:tcMar>
              <w:top w:w="60" w:type="dxa"/>
              <w:bottom w:w="60" w:type="dxa"/>
              <w:left w:w="110" w:type="dxa"/>
              <w:right w:w="110" w:type="dxa"/>
            </w:tcMar>
            <w:shd w:fill="FAFAFA"/>
          </w:tcPr>
          <w:p>
            <w:r>
              <w:rPr>
                <w:rFonts w:ascii="Calibri" w:hAnsi="Calibri"/>
                <w:color w:val="2D3748"/>
                <w:sz w:val="17"/>
              </w:rPr>
              <w:t>4–5</w:t>
            </w:r>
          </w:p>
        </w:tc>
      </w:tr>
    </w:tbl>
    <w:p>
      <w:pPr>
        <w:spacing w:after="6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4A5568"/>
        <w:sz w:val="16"/>
      </w:rPr>
      <w:t>CONFIDENTIAL &amp; PROPRIETARY — IPsecTrace CORE BENCHMARK PACKAGE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A5568"/>
        <w:sz w:val="17"/>
      </w:rPr>
      <w:t>IPsecTrace Research Documentation | IPsecTrace — MASTER RESEARCH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