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4"/>
        </w:rPr>
        <w:t>IPsecTrace — EXECUTIVE WHITE PAPER</w:t>
      </w:r>
    </w:p>
    <w:p>
      <w:pPr>
        <w:spacing w:after="160"/>
      </w:pPr>
      <w:r>
        <w:rPr>
          <w:rFonts w:ascii="Calibri" w:hAnsi="Calibri"/>
          <w:i/>
          <w:color w:val="4A5568"/>
          <w:sz w:val="21"/>
        </w:rPr>
        <w:t>A Protocol-Aware Multi-View Framework for Encrypted IPsec Traffic Forensics and Behavior Attribution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1. Abstract</w:t>
      </w:r>
    </w:p>
    <w:p>
      <w:r>
        <w:t>Internet Protocol Security (IPsec) encapsulates, authenticates, and encrypts enterprise network communications, rendering traditional Deep Packet Inspection (DPI) obsolete without intrusive payload decryption appliances. This paper introduces IPsecTrace, a protocol-aware multi-view IPsec traffic analysis framework that combines deterministic protocol forensics with encrypted-side statistical and temporal representation learning, self-supervised sequence representation, experimental novelty detection, and evidence-grounded reporting without requiring payload decryption. Evaluated across 1,829 native IPsec flow windows from 294 capture runs under a strict 5-fold GroupKFold protocol with zero PCAP leakage, our winning Hybrid Tabular + Sequence model achieves 80.25% ± 13.77% accuracy and 81.89% ± 9.15% Macro-F1 (+13.35% over canonical tabular baselines). We demonstrate deterministic cryptographic compliance verification, sequence-based traffic behavior attribution, and robust out-of-distribution (OOD) detection (AUROC = 0.9962), establishing a non-intrusive paradigm for zero-trust IPsec security monitoring.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2. High-Level Architecture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0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4A5568"/>
          <w:sz w:val="17"/>
        </w:rPr>
        <w:t>Figure 1: High-Level IPsecTrace Multi-View Architecture.</w:t>
      </w:r>
    </w:p>
    <w:p>
      <w:pPr>
        <w:keepNext/>
        <w:spacing w:before="220" w:after="60"/>
      </w:pPr>
      <w:r>
        <w:rPr>
          <w:rFonts w:ascii="Calibri" w:hAnsi="Calibri"/>
          <w:b/>
          <w:color w:val="1B365D"/>
          <w:sz w:val="25"/>
        </w:rPr>
        <w:t>3. Key Experimental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3168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Model ID &amp; Description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Accuracy (Mean ± Std)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Macro-F1 (Mean ± Std)</w:t>
            </w:r>
          </w:p>
        </w:tc>
        <w:tc>
          <w:tcPr>
            <w:tcW w:type="dxa" w:w="2304"/>
            <w:tcMar>
              <w:top w:w="90" w:type="dxa"/>
              <w:bottom w:w="90" w:type="dxa"/>
              <w:left w:w="110" w:type="dxa"/>
              <w:right w:w="110" w:type="dxa"/>
            </w:tcMar>
            <w:shd w:fill="F1F5F9"/>
          </w:tcPr>
          <w:p>
            <w:r>
              <w:rPr>
                <w:rFonts w:ascii="Calibri" w:hAnsi="Calibri"/>
                <w:b/>
                <w:color w:val="1B365D"/>
                <w:sz w:val="18"/>
              </w:rPr>
              <w:t>Weighted-F1 (Mean ± Std)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A: Canonical Tabular XGBoost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66.91% ± 18.66%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73.91% ± 4.84%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68.22% ± 18.65%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B1: Sequence Transformer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69.96% ± 26.40%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77.66% ± 14.59%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68.29% ± 30.87%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B2: Protocol-Aware Sequence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67.23% ± 22.06%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70.95% ± 10.62%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64.75% ± 26.99%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B3: SSL Pretrained Sequence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72.25% ± 25.73%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76.18% ± 13.33%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68.51% ± 30.06%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C: Hybrid Tabular + Sequence (Best)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80.25% ± 13.77%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81.89% ± 9.15%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</w:tcPr>
          <w:p>
            <w:r>
              <w:rPr>
                <w:rFonts w:ascii="Calibri" w:hAnsi="Calibri"/>
                <w:color w:val="2D3748"/>
                <w:sz w:val="17"/>
              </w:rPr>
              <w:t>81.56% ± 12.48%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D: Multi-View IPsec (Negative Finding)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61.33% ± 25.07%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70.28% ± 9.54%</w:t>
            </w:r>
          </w:p>
        </w:tc>
        <w:tc>
          <w:tcPr>
            <w:tcW w:type="dxa" w:w="2304"/>
            <w:tcMar>
              <w:top w:w="60" w:type="dxa"/>
              <w:bottom w:w="60" w:type="dxa"/>
              <w:left w:w="110" w:type="dxa"/>
              <w:right w:w="110" w:type="dxa"/>
            </w:tcMar>
            <w:shd w:fill="FAFAFA"/>
          </w:tcPr>
          <w:p>
            <w:r>
              <w:rPr>
                <w:rFonts w:ascii="Calibri" w:hAnsi="Calibri"/>
                <w:color w:val="2D3748"/>
                <w:sz w:val="17"/>
              </w:rPr>
              <w:t>58.13% ± 30.02%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4A5568"/>
        <w:sz w:val="16"/>
      </w:rPr>
      <w:t>CONFIDENTIAL &amp; PROPRIETARY — IPsecTrace CORE BENCHMARK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4A5568"/>
        <w:sz w:val="17"/>
      </w:rPr>
      <w:t>IPsecTrace Research Documentation | IPsecTrace — EXECUTIVE WHITE PAPER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