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4"/>
        </w:rPr>
        <w:t>IPsecTrace — SYSTEM ARCHITECTURE &amp; TECHNICAL DESIGN</w:t>
      </w:r>
    </w:p>
    <w:p>
      <w:pPr>
        <w:spacing w:after="160"/>
      </w:pPr>
      <w:r>
        <w:rPr>
          <w:rFonts w:ascii="Calibri" w:hAnsi="Calibri"/>
          <w:i/>
          <w:color w:val="4A5568"/>
          <w:sz w:val="21"/>
        </w:rPr>
        <w:t>Comprehensive Pipeline Engineering, Dual-Branch Representation, and Technology Stack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1. System Overview</w:t>
      </w:r>
    </w:p>
    <w:p>
      <w:r>
        <w:t>The IPsecTrace platform is an enterprise-grade, non-intrusive traffic inspection and protocol compliance engine.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76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e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A5568"/>
          <w:sz w:val="17"/>
        </w:rPr>
        <w:t>Figure 2: Detailed IPsecTrace Architectural Pipeline.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A5568"/>
          <w:sz w:val="17"/>
        </w:rPr>
        <w:t>Figure 3: End-to-End User Interaction and Execution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4A5568"/>
        <w:sz w:val="16"/>
      </w:rPr>
      <w:t>CONFIDENTIAL &amp; PROPRIETARY — IPsecTrace CORE BENCHMARK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A5568"/>
        <w:sz w:val="17"/>
      </w:rPr>
      <w:t>IPsecTrace Research Documentation | IPsecTrace — SYSTEM ARCHITECTURE &amp;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