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IPsecTrace — DATASET &amp; EXPERIMENTAL METHODOLOGY</w:t>
      </w:r>
    </w:p>
    <w:p>
      <w:pPr>
        <w:spacing w:after="160"/>
      </w:pPr>
      <w:r>
        <w:rPr>
          <w:rFonts w:ascii="Calibri" w:hAnsi="Calibri"/>
          <w:i/>
          <w:color w:val="4A5568"/>
          <w:sz w:val="21"/>
        </w:rPr>
        <w:t>Dataset Construction, Physical Group Partitioning, and Zero-Leakage Protocol Rigor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Dataset Overview</w:t>
      </w:r>
    </w:p>
    <w:p>
      <w:r>
        <w:t>Primary native IPsec benchmark dataset DS1_NATIVE_IPSEC_ENHANCED consists of 1,829 flow windows across 294 PCAPs and 157 physical experiment groups.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4: Traffic Class Sample Distribution across Native IPsec Dataset.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A5568"/>
        <w:sz w:val="16"/>
      </w:rPr>
      <w:t>CONFIDENTIAL &amp; PROPRIETARY — IPsecTrace CORE BENCHMARK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A5568"/>
        <w:sz w:val="17"/>
      </w:rPr>
      <w:t>IPsecTrace Research Documentation | IPsecTrace — DATASET &amp; EXPERIMENTAL METHODOLOGY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